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3339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响应报价表</w:t>
      </w:r>
    </w:p>
    <w:p w14:paraId="6C070CC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项目名称：                                                       包：</w:t>
      </w:r>
    </w:p>
    <w:p w14:paraId="65427C8F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 </w:t>
      </w:r>
    </w:p>
    <w:p w14:paraId="29D85E9C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供应商全称：                  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93"/>
        <w:gridCol w:w="1993"/>
        <w:gridCol w:w="2131"/>
      </w:tblGrid>
      <w:tr w14:paraId="72FC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569" w:type="dxa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D1C9239">
            <w:pPr>
              <w:kinsoku w:val="0"/>
              <w:spacing w:line="460" w:lineRule="exact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9BB1340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</w:p>
          <w:p w14:paraId="744338EB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4586" w:type="dxa"/>
            <w:gridSpan w:val="2"/>
            <w:noWrap w:val="0"/>
            <w:vAlign w:val="center"/>
          </w:tcPr>
          <w:p w14:paraId="6E30D9F3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</w:t>
            </w:r>
          </w:p>
        </w:tc>
        <w:tc>
          <w:tcPr>
            <w:tcW w:w="2131" w:type="dxa"/>
            <w:vMerge w:val="restart"/>
            <w:noWrap w:val="0"/>
            <w:vAlign w:val="center"/>
          </w:tcPr>
          <w:p w14:paraId="45CA26E1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总报价</w:t>
            </w:r>
          </w:p>
        </w:tc>
      </w:tr>
      <w:tr w14:paraId="2CFB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569" w:type="dxa"/>
            <w:vMerge w:val="continue"/>
            <w:tcBorders>
              <w:tl2br w:val="single" w:color="auto" w:sz="4" w:space="0"/>
            </w:tcBorders>
            <w:noWrap w:val="0"/>
            <w:vAlign w:val="top"/>
          </w:tcPr>
          <w:p w14:paraId="73C877F6">
            <w:pPr>
              <w:kinsoku w:val="0"/>
              <w:spacing w:line="460" w:lineRule="exact"/>
              <w:jc w:val="center"/>
            </w:pPr>
          </w:p>
        </w:tc>
        <w:tc>
          <w:tcPr>
            <w:tcW w:w="2593" w:type="dxa"/>
            <w:noWrap w:val="0"/>
            <w:vAlign w:val="center"/>
          </w:tcPr>
          <w:p w14:paraId="770E2DD1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费率</w:t>
            </w:r>
          </w:p>
        </w:tc>
        <w:tc>
          <w:tcPr>
            <w:tcW w:w="1993" w:type="dxa"/>
            <w:noWrap w:val="0"/>
            <w:vAlign w:val="center"/>
          </w:tcPr>
          <w:p w14:paraId="2CFB243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金额</w:t>
            </w:r>
          </w:p>
        </w:tc>
        <w:tc>
          <w:tcPr>
            <w:tcW w:w="2131" w:type="dxa"/>
            <w:vMerge w:val="continue"/>
            <w:noWrap w:val="0"/>
            <w:vAlign w:val="center"/>
          </w:tcPr>
          <w:p w14:paraId="6B9B38F5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4A0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9" w:type="dxa"/>
            <w:vMerge w:val="restart"/>
            <w:noWrap w:val="0"/>
            <w:vAlign w:val="center"/>
          </w:tcPr>
          <w:p w14:paraId="7997F4C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3" w:type="dxa"/>
            <w:noWrap w:val="0"/>
            <w:vAlign w:val="center"/>
          </w:tcPr>
          <w:p w14:paraId="5A29E16C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基础费率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‰</w:t>
            </w:r>
          </w:p>
        </w:tc>
        <w:tc>
          <w:tcPr>
            <w:tcW w:w="1993" w:type="dxa"/>
            <w:noWrap w:val="0"/>
            <w:vAlign w:val="center"/>
          </w:tcPr>
          <w:p w14:paraId="74FA6E9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31" w:type="dxa"/>
            <w:vMerge w:val="restart"/>
            <w:noWrap w:val="0"/>
            <w:vAlign w:val="center"/>
          </w:tcPr>
          <w:p w14:paraId="38FB1AF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FB9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9" w:type="dxa"/>
            <w:vMerge w:val="continue"/>
            <w:noWrap w:val="0"/>
            <w:vAlign w:val="center"/>
          </w:tcPr>
          <w:p w14:paraId="173E863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3" w:type="dxa"/>
            <w:noWrap w:val="0"/>
            <w:vAlign w:val="center"/>
          </w:tcPr>
          <w:p w14:paraId="24B70A9D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成果费率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%</w:t>
            </w:r>
          </w:p>
        </w:tc>
        <w:tc>
          <w:tcPr>
            <w:tcW w:w="1993" w:type="dxa"/>
            <w:noWrap w:val="0"/>
            <w:vAlign w:val="center"/>
          </w:tcPr>
          <w:p w14:paraId="3488B763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31" w:type="dxa"/>
            <w:vMerge w:val="continue"/>
            <w:noWrap w:val="0"/>
            <w:vAlign w:val="center"/>
          </w:tcPr>
          <w:p w14:paraId="27DE93CD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6A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4"/>
            <w:noWrap w:val="0"/>
            <w:vAlign w:val="center"/>
          </w:tcPr>
          <w:p w14:paraId="1626FF63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  <w:p w14:paraId="3DF959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1、最终审定结果确认的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/>
                <w:sz w:val="24"/>
              </w:rPr>
              <w:t>费用按相关标准报出基础费率以及成果费率计算，以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4"/>
              </w:rPr>
              <w:t>文件的内容和要求作为响应依据；如按照最终审定结果确认的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/>
                <w:sz w:val="24"/>
              </w:rPr>
              <w:t>费用高于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4"/>
              </w:rPr>
              <w:t>预算金额，采购人按预算金额支付，多出部分不予支付；</w:t>
            </w:r>
          </w:p>
          <w:p w14:paraId="1A2B311D">
            <w:pPr>
              <w:kinsoku w:val="0"/>
              <w:spacing w:line="5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2、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24"/>
              </w:rPr>
              <w:t>应在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4"/>
              </w:rPr>
              <w:t>报价表中报出基础费率以及成果费率。表内基础费用及成果费用计算方式按 “送审价×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24"/>
              </w:rPr>
              <w:t>所报基础费率+审减成果×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24"/>
              </w:rPr>
              <w:t>所报成果费率”计算，其中审减成果为（送审价*审减率（1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>%）），合计金额应与作为评审依据的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4"/>
              </w:rPr>
              <w:t>报价一致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</w:tbl>
    <w:p w14:paraId="3FEBF2D5">
      <w:pPr>
        <w:kinsoku w:val="0"/>
        <w:spacing w:line="500" w:lineRule="exact"/>
        <w:rPr>
          <w:rFonts w:hint="eastAsia" w:ascii="宋体" w:hAnsi="宋体"/>
        </w:rPr>
      </w:pPr>
    </w:p>
    <w:p w14:paraId="0DBC0BD8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</w:t>
      </w:r>
    </w:p>
    <w:p w14:paraId="6B9D5D20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405A3ABB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10B7E39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18A7047B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最终</w:t>
      </w:r>
      <w:r>
        <w:rPr>
          <w:rFonts w:hint="eastAsia" w:ascii="宋体" w:hAnsi="宋体"/>
          <w:b/>
          <w:sz w:val="32"/>
          <w:szCs w:val="32"/>
        </w:rPr>
        <w:t>报价表</w:t>
      </w:r>
    </w:p>
    <w:p w14:paraId="3AECC4E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项目名称：                                                       包：</w:t>
      </w:r>
    </w:p>
    <w:p w14:paraId="72389CA7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 </w:t>
      </w:r>
    </w:p>
    <w:p w14:paraId="5767553F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供应商全称：                  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93"/>
        <w:gridCol w:w="1993"/>
        <w:gridCol w:w="2131"/>
      </w:tblGrid>
      <w:tr w14:paraId="019A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569" w:type="dxa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B4EA53B">
            <w:pPr>
              <w:kinsoku w:val="0"/>
              <w:spacing w:line="460" w:lineRule="exact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2F3FC611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</w:p>
          <w:p w14:paraId="3DF50D52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4586" w:type="dxa"/>
            <w:gridSpan w:val="2"/>
            <w:noWrap w:val="0"/>
            <w:vAlign w:val="center"/>
          </w:tcPr>
          <w:p w14:paraId="650A5220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</w:t>
            </w:r>
          </w:p>
        </w:tc>
        <w:tc>
          <w:tcPr>
            <w:tcW w:w="2131" w:type="dxa"/>
            <w:vMerge w:val="restart"/>
            <w:noWrap w:val="0"/>
            <w:vAlign w:val="center"/>
          </w:tcPr>
          <w:p w14:paraId="7A57AC4C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总报价</w:t>
            </w:r>
          </w:p>
        </w:tc>
      </w:tr>
      <w:tr w14:paraId="4CDE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569" w:type="dxa"/>
            <w:vMerge w:val="continue"/>
            <w:tcBorders>
              <w:tl2br w:val="single" w:color="auto" w:sz="4" w:space="0"/>
            </w:tcBorders>
            <w:noWrap w:val="0"/>
            <w:vAlign w:val="top"/>
          </w:tcPr>
          <w:p w14:paraId="00460A84">
            <w:pPr>
              <w:kinsoku w:val="0"/>
              <w:spacing w:line="460" w:lineRule="exact"/>
              <w:jc w:val="center"/>
            </w:pPr>
          </w:p>
        </w:tc>
        <w:tc>
          <w:tcPr>
            <w:tcW w:w="2593" w:type="dxa"/>
            <w:noWrap w:val="0"/>
            <w:vAlign w:val="center"/>
          </w:tcPr>
          <w:p w14:paraId="448C0C98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费率</w:t>
            </w:r>
          </w:p>
        </w:tc>
        <w:tc>
          <w:tcPr>
            <w:tcW w:w="1993" w:type="dxa"/>
            <w:noWrap w:val="0"/>
            <w:vAlign w:val="center"/>
          </w:tcPr>
          <w:p w14:paraId="0432782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金额</w:t>
            </w:r>
          </w:p>
        </w:tc>
        <w:tc>
          <w:tcPr>
            <w:tcW w:w="2131" w:type="dxa"/>
            <w:vMerge w:val="continue"/>
            <w:noWrap w:val="0"/>
            <w:vAlign w:val="center"/>
          </w:tcPr>
          <w:p w14:paraId="24072B4B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52CC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9" w:type="dxa"/>
            <w:vMerge w:val="restart"/>
            <w:noWrap w:val="0"/>
            <w:vAlign w:val="center"/>
          </w:tcPr>
          <w:p w14:paraId="4898B4C0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3" w:type="dxa"/>
            <w:noWrap w:val="0"/>
            <w:vAlign w:val="center"/>
          </w:tcPr>
          <w:p w14:paraId="27920037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基础费率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‰</w:t>
            </w:r>
          </w:p>
        </w:tc>
        <w:tc>
          <w:tcPr>
            <w:tcW w:w="1993" w:type="dxa"/>
            <w:noWrap w:val="0"/>
            <w:vAlign w:val="center"/>
          </w:tcPr>
          <w:p w14:paraId="637C7667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31" w:type="dxa"/>
            <w:vMerge w:val="restart"/>
            <w:noWrap w:val="0"/>
            <w:vAlign w:val="center"/>
          </w:tcPr>
          <w:p w14:paraId="4875A17C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821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9" w:type="dxa"/>
            <w:vMerge w:val="continue"/>
            <w:noWrap w:val="0"/>
            <w:vAlign w:val="center"/>
          </w:tcPr>
          <w:p w14:paraId="7F947467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3" w:type="dxa"/>
            <w:noWrap w:val="0"/>
            <w:vAlign w:val="center"/>
          </w:tcPr>
          <w:p w14:paraId="59AE0B30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成果费率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%</w:t>
            </w:r>
          </w:p>
        </w:tc>
        <w:tc>
          <w:tcPr>
            <w:tcW w:w="1993" w:type="dxa"/>
            <w:noWrap w:val="0"/>
            <w:vAlign w:val="center"/>
          </w:tcPr>
          <w:p w14:paraId="4A6769F9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31" w:type="dxa"/>
            <w:vMerge w:val="continue"/>
            <w:noWrap w:val="0"/>
            <w:vAlign w:val="center"/>
          </w:tcPr>
          <w:p w14:paraId="08C8ADD7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DD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4"/>
            <w:noWrap w:val="0"/>
            <w:vAlign w:val="center"/>
          </w:tcPr>
          <w:p w14:paraId="5C893EE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  <w:p w14:paraId="119E1A2D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1、最终审定结果确认的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/>
                <w:sz w:val="24"/>
              </w:rPr>
              <w:t>费用按相关标准报出基础费率以及成果费率计算，以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4"/>
              </w:rPr>
              <w:t>文件的内容和要求作为响应依据；如按照最终审定结果确认的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/>
                <w:sz w:val="24"/>
              </w:rPr>
              <w:t>费用高于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4"/>
              </w:rPr>
              <w:t>预算金额，采购人按预算金额支付，多出部分不予支付；</w:t>
            </w:r>
          </w:p>
          <w:p w14:paraId="1354D7E3">
            <w:pPr>
              <w:kinsoku w:val="0"/>
              <w:spacing w:line="5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2、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24"/>
              </w:rPr>
              <w:t>应在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4"/>
              </w:rPr>
              <w:t>报价表中报出基础费率以及成果费率。表内基础费用及成果费用计算方式按 “送审价×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24"/>
              </w:rPr>
              <w:t>所报基础费率+审减成果×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24"/>
              </w:rPr>
              <w:t>所报成果费率”计算，其中审减成果为（送审价*审减率（1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>%）），合计金额应与作为评审依据的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4"/>
              </w:rPr>
              <w:t>报价一致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</w:tbl>
    <w:p w14:paraId="32260E75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</w:t>
      </w:r>
    </w:p>
    <w:p w14:paraId="50106E7C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20CDDF48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0F177D2D">
      <w:pPr>
        <w:pStyle w:val="2"/>
        <w:rPr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color w:val="FF0000"/>
          <w:sz w:val="28"/>
          <w:szCs w:val="28"/>
          <w:lang w:eastAsia="zh-CN"/>
        </w:rPr>
        <w:t>注：最终报价表在项目电子化交易系统上传标书时无须提供，各供应商在最终报价结束，经代理公司电话通知后10分钟内将加盖公章的最终报价表发送至代理公司邮箱：2393656437@qq.com。（打印时删除标红字体）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NjU3ZjZiMThlY2Y5NTBhZmNkMzIwZjQ0NDYzZTUifQ=="/>
  </w:docVars>
  <w:rsids>
    <w:rsidRoot w:val="4D437DBC"/>
    <w:rsid w:val="0EAB0378"/>
    <w:rsid w:val="40682F10"/>
    <w:rsid w:val="470F17F7"/>
    <w:rsid w:val="4D437DBC"/>
    <w:rsid w:val="607B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671</Characters>
  <Lines>0</Lines>
  <Paragraphs>0</Paragraphs>
  <TotalTime>10</TotalTime>
  <ScaleCrop>false</ScaleCrop>
  <LinksUpToDate>false</LinksUpToDate>
  <CharactersWithSpaces>1133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2023-09-27T09:34:00Z</dcterms:created>
  <dc:creator>谢婷婷</dc:creator>
  <cp:lastModifiedBy>Cx330</cp:lastModifiedBy>
  <dcterms:modified xsi:type="dcterms:W3CDTF">2026-06-12T06:20:25Z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37BB7DCFF42F49908AFEE8C66038445E_13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