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版本号：SZT2026-SN-QC-ZC-GC-078920260731001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操场、校舍施工项目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SZT2026-SN-QC-ZC-GC-0789</w:t>
      </w:r>
      <w:r>
        <w:br/>
      </w:r>
      <w:r>
        <w:br/>
      </w:r>
      <w:r>
        <w:br/>
      </w:r>
    </w:p>
    <w:p>
      <w:pPr>
        <w:pStyle w:val="null3"/>
        <w:jc w:val="center"/>
        <w:outlineLvl w:val="2"/>
      </w:pPr>
      <w:r>
        <w:rPr>
          <w:rFonts w:ascii="仿宋_GB2312" w:hAnsi="仿宋_GB2312" w:cs="仿宋_GB2312" w:eastAsia="仿宋_GB2312"/>
          <w:sz w:val="28"/>
          <w:b/>
        </w:rPr>
        <w:t>西安市未央区雷寨小学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西安市未央区雷寨小学</w:t>
      </w:r>
      <w:r>
        <w:rPr>
          <w:rFonts w:ascii="仿宋_GB2312" w:hAnsi="仿宋_GB2312" w:cs="仿宋_GB2312" w:eastAsia="仿宋_GB2312"/>
        </w:rPr>
        <w:t>委托，拟对</w:t>
      </w:r>
      <w:r>
        <w:rPr>
          <w:rFonts w:ascii="仿宋_GB2312" w:hAnsi="仿宋_GB2312" w:cs="仿宋_GB2312" w:eastAsia="仿宋_GB2312"/>
        </w:rPr>
        <w:t>操场、校舍施工项目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SZT2026-SN-QC-ZC-GC-0789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操场、校舍施工项目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西安市未央区雷寨小学操场、校舍施工项目。具体内容详见本项目竞争性磋商文件、图纸及工程量清单。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采购包1（操场、校舍施工项目）：属于专门面向中小企业采购。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1、供应商资格：供应商需具备国家建设行政主管部门颁发的建筑装修装饰工程专业承包二级及以上资质，和有效期内的安全生产许可证。</w:t>
      </w:r>
    </w:p>
    <w:p>
      <w:pPr>
        <w:pStyle w:val="null3"/>
      </w:pPr>
      <w:r>
        <w:rPr>
          <w:rFonts w:ascii="仿宋_GB2312" w:hAnsi="仿宋_GB2312" w:cs="仿宋_GB2312" w:eastAsia="仿宋_GB2312"/>
        </w:rPr>
        <w:t>2、拟派项目经理：拟派项目经理须具备建设行政主管部门颁发的建筑工程专业注册建造师二级及以上执业资格和有效的安全生产考核合格B证，在本单位注册。</w:t>
      </w:r>
    </w:p>
    <w:p>
      <w:pPr>
        <w:pStyle w:val="null3"/>
      </w:pPr>
      <w:r>
        <w:rPr>
          <w:rFonts w:ascii="仿宋_GB2312" w:hAnsi="仿宋_GB2312" w:cs="仿宋_GB2312" w:eastAsia="仿宋_GB2312"/>
        </w:rPr>
        <w:t>3、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西安市未央区雷寨小学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西安市未央区雷寨村151号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13359282426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采购包1：483,307.23元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代理服务费收费标准：招标代理服务费由成交供应商承担，成交供应商在领取中标通知书时向采购代理机构支付招标代理服务费。招标代理服务费的收取按定额6000元收取。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西安市未央区雷寨小学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西安市未央区雷寨小学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西安市未央区雷寨小学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483,307.23</w:t>
      </w:r>
    </w:p>
    <w:p>
      <w:pPr>
        <w:pStyle w:val="null3"/>
      </w:pPr>
      <w:r>
        <w:rPr>
          <w:rFonts w:ascii="仿宋_GB2312" w:hAnsi="仿宋_GB2312" w:cs="仿宋_GB2312" w:eastAsia="仿宋_GB2312"/>
        </w:rPr>
        <w:t>采购包最高限价（元）: 483,307.23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操场、校舍施工项目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483,307.23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标的名称：操场、校舍施工项目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一、工程概况</w:t>
            </w:r>
          </w:p>
          <w:p>
            <w:pPr>
              <w:pStyle w:val="null3"/>
              <w:jc w:val="left"/>
            </w:pPr>
            <w:r>
              <w:rPr>
                <w:rFonts w:ascii="仿宋_GB2312" w:hAnsi="仿宋_GB2312" w:cs="仿宋_GB2312" w:eastAsia="仿宋_GB2312"/>
                <w:sz w:val="20"/>
                <w:color w:val="000000"/>
              </w:rPr>
              <w:t>项目名称：西安市未央区雷寨小学操场、校舍施工项目</w:t>
            </w:r>
          </w:p>
          <w:p>
            <w:pPr>
              <w:pStyle w:val="null3"/>
              <w:jc w:val="left"/>
            </w:pPr>
            <w:r>
              <w:rPr>
                <w:rFonts w:ascii="仿宋_GB2312" w:hAnsi="仿宋_GB2312" w:cs="仿宋_GB2312" w:eastAsia="仿宋_GB2312"/>
                <w:sz w:val="20"/>
                <w:color w:val="000000"/>
              </w:rPr>
              <w:t>建设地点：本工程位于未央区雷寨小学校内。</w:t>
            </w:r>
          </w:p>
          <w:p>
            <w:pPr>
              <w:pStyle w:val="null3"/>
              <w:jc w:val="left"/>
            </w:pPr>
            <w:r>
              <w:rPr>
                <w:rFonts w:ascii="仿宋_GB2312" w:hAnsi="仿宋_GB2312" w:cs="仿宋_GB2312" w:eastAsia="仿宋_GB2312"/>
                <w:sz w:val="20"/>
                <w:color w:val="000000"/>
              </w:rPr>
              <w:t>二、编制依据</w:t>
            </w:r>
          </w:p>
          <w:p>
            <w:pPr>
              <w:pStyle w:val="null3"/>
              <w:jc w:val="left"/>
            </w:pPr>
            <w:r>
              <w:rPr>
                <w:rFonts w:ascii="仿宋_GB2312" w:hAnsi="仿宋_GB2312" w:cs="仿宋_GB2312" w:eastAsia="仿宋_GB2312"/>
                <w:sz w:val="20"/>
                <w:color w:val="000000"/>
              </w:rPr>
              <w:t>1、依据雷寨小学校舍维修改造项目施工图纸改造范围；</w:t>
            </w:r>
          </w:p>
          <w:p>
            <w:pPr>
              <w:pStyle w:val="null3"/>
              <w:jc w:val="left"/>
            </w:pPr>
            <w:r>
              <w:rPr>
                <w:rFonts w:ascii="仿宋_GB2312" w:hAnsi="仿宋_GB2312" w:cs="仿宋_GB2312" w:eastAsia="仿宋_GB2312"/>
                <w:sz w:val="20"/>
                <w:color w:val="000000"/>
              </w:rPr>
              <w:t>2、《建设工程工程量清单计价标准 DB 61/T 5126 - 2025》、《房屋建筑与装饰工程工程量计算标准 DB 61/T 5129 - 2025》、《市政工程工程量计算标准 DB 61/T 5128 - 2025》、《通用安装工程工程量计算标准 DB 61/T 5130 - 2025》、《陕西省房屋建筑与装饰工程消耗量定额（2025）》、《陕西省安装工程消耗量定额（2025）》、《陕西省市政工程消耗量定额（2025）》以及与定额配套使用的《陕西省建设工程费用规则（2025）》、《陕西省房屋建筑与装饰工程基价表（2025）》、《陕西省安装工程基价表（2025）》、《陕西省市政工程基价表（2025）》、及其他有关的计价依据和办法；</w:t>
            </w:r>
          </w:p>
          <w:p>
            <w:pPr>
              <w:pStyle w:val="null3"/>
              <w:jc w:val="left"/>
            </w:pPr>
            <w:r>
              <w:rPr>
                <w:rFonts w:ascii="仿宋_GB2312" w:hAnsi="仿宋_GB2312" w:cs="仿宋_GB2312" w:eastAsia="仿宋_GB2312"/>
                <w:sz w:val="20"/>
                <w:color w:val="000000"/>
              </w:rPr>
              <w:t>3、人工单价按综合工种分为综合一类工、综合二类工、综合三类工；</w:t>
            </w:r>
          </w:p>
          <w:p>
            <w:pPr>
              <w:pStyle w:val="null3"/>
              <w:jc w:val="left"/>
            </w:pPr>
            <w:r>
              <w:rPr>
                <w:rFonts w:ascii="仿宋_GB2312" w:hAnsi="仿宋_GB2312" w:cs="仿宋_GB2312" w:eastAsia="仿宋_GB2312"/>
                <w:sz w:val="20"/>
                <w:color w:val="000000"/>
              </w:rPr>
              <w:t>4、现行国家和陕西省建筑施工规范；</w:t>
            </w:r>
          </w:p>
          <w:p>
            <w:pPr>
              <w:pStyle w:val="null3"/>
              <w:jc w:val="left"/>
            </w:pPr>
            <w:r>
              <w:rPr>
                <w:rFonts w:ascii="仿宋_GB2312" w:hAnsi="仿宋_GB2312" w:cs="仿宋_GB2312" w:eastAsia="仿宋_GB2312"/>
                <w:sz w:val="20"/>
                <w:color w:val="000000"/>
              </w:rPr>
              <w:t>5、编制使用软件:广联达云计价平台GCCP7.0（7.5000.23.3版本）</w:t>
            </w:r>
          </w:p>
          <w:p>
            <w:pPr>
              <w:pStyle w:val="null3"/>
              <w:jc w:val="left"/>
            </w:pPr>
            <w:r>
              <w:rPr>
                <w:rFonts w:ascii="仿宋_GB2312" w:hAnsi="仿宋_GB2312" w:cs="仿宋_GB2312" w:eastAsia="仿宋_GB2312"/>
                <w:sz w:val="20"/>
                <w:color w:val="000000"/>
              </w:rPr>
              <w:t>6、本项目按照施工图纸进行编制，具体工程量以实际改造为准。</w:t>
            </w:r>
          </w:p>
          <w:p>
            <w:pPr>
              <w:pStyle w:val="null3"/>
            </w:pPr>
            <w:r>
              <w:rPr>
                <w:rFonts w:ascii="仿宋_GB2312" w:hAnsi="仿宋_GB2312" w:cs="仿宋_GB2312" w:eastAsia="仿宋_GB2312"/>
                <w:sz w:val="20"/>
                <w:color w:val="000000"/>
              </w:rPr>
              <w:t>三、工程量清单详见附件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1、工期：30天（具体开工日期以收到采购人通知为准） 2、付款方式：施工完成并验收合格后付至合同金额的60%。结算审计后，应按照评审后的金额支付工程款至97%。剩余合同金额的3%作为质保金，质保期结束后无息退还。 3、保修期一年。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供应商需具备国家建设行政主管部门颁发的建筑装修装饰工程专业承包二级及以上资质，和有效期内的安全生产许可证。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拟派项目经理须具备建设行政主管部门颁发的建筑工程专业注册建造师二级及以上执业资格和有效的安全生产考核合格B证，在本单位注册。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已标价工程量清单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工期、保修期、付款方式、响应有效期</w:t>
            </w:r>
          </w:p>
        </w:tc>
        <w:tc>
          <w:tcPr>
            <w:tcW w:type="dxa" w:w="3322"/>
          </w:tcPr>
          <w:p>
            <w:pPr>
              <w:pStyle w:val="null3"/>
            </w:pPr>
            <w:r>
              <w:rPr>
                <w:rFonts w:ascii="仿宋_GB2312" w:hAnsi="仿宋_GB2312" w:cs="仿宋_GB2312" w:eastAsia="仿宋_GB2312"/>
              </w:rPr>
              <w:t>应满足竞争性磋商文件中要求</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是否符合磋商文件规定的其他情形。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供应商提供本项目施工方案，包含：①施工概述②施工工艺③施工方法④交叉施工措施。以上4项内容每一项内容全面详细、阐述条理清晰得2分，满分8分，每项存在一处缺陷，扣0.1分，扣完为止。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有现场文明施工的措施，且措施周全、具体、有效。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有现场环境保护措施，且措施周全、具体、有效。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人员齐备、专业配套、相关岗位证书齐全。 1.项目经理及项目部人员配备齐全、专业配套、相关岗位证书齐全，满足项目实际要求得4分； 2.项目经理及项目部人员配备较合理、专业配套、相关岗位证书较齐全，基本满足项目实际要求得2分； 3.项目经理及项目部人员配备不够齐全得1分；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 1.方案内容完整详尽、科学合理、切实可行、针对性强，完全满足施工要求得4分；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安全管理人员配备合理，制度健全，各道工序安全技术措施针对性强，符合实际且满足要求措施是否完备齐全、先进、合理、切实可行。 1.方案及措施内容完整详尽、科学合理、切实可行、针对性强，完全满足施工要求得4分； 2.方案及措施基本完整、较合理可行、针对性不强、基本满足施工要求2分；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1.投入的施工机械、设备具有详细计划，设备数量、选型配置、进场数量、时间安排合理满足施工需求得4分； 2.投入的施工机械、设备具有较完整的计划，设备数量、选型配置、进场数量、时间安排较满足施工需求得2分；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供应商提供针对本项目的工期进度安排计划，包含：①保证工期实施措施方案②施工进度表或施工网络图。 以上2项内容每一项内容全面详细、阐述条理清晰得2分，满分4分，每项存在一处缺陷，扣0.1分，扣完为止。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 1.方案及措施内容完整详尽、科学合理、切实可行、针对性强，完全满足施工要求得3分；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针对本项目应急预案的承诺情况，以及合理化建议。 1.方案内容完整详尽、科学合理、切实可行、针对性强，完全满足施工要求得3分；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提供2023年1月1日起至今类似工程业绩，每个有效业绩得1分，满分5分。（时间以合同签订日期为准，提供合同复印件加盖公章）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