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版本号：LHZBZC2026057W20260626001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多靶磁控溅射镀膜机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LHZBZC2026057W</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多靶磁控溅射镀膜机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LHZBZC2026057W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多靶磁控溅射镀膜机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多靶磁控溅射镀膜机，采用送取样室+镀膜室的双腔室结构，可长期保持腔体内部的洁净度；集成一套φ6cm离子源，可实现镀膜前的样品表面清洗、表面改性及增强附着力；设置有旋转加热样品台，能提升薄膜的材料性能和均匀性；配备三套溅射靶，可实现制作多层结构的半导体薄膜和光学薄膜。设备能够实现Φ6-Φ8英寸晶圆及向下兼容，能完成膜层的自动化可控制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高禧、吴元帅、黄沛、李晨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开户银行：招商银行股份有限公司西安南大街支行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包；80万～400万项目参照国家计委颁发的《招标代理服务收费管理暂行办法》（计价格〔2002〕1980号）及（发改办价格〔2011〕534号）规定的70.00%计费。400万元以上项目参照国家计委颁发的《招标代理服务收费管理暂行办法》（计价格〔2002〕1980号）及（发改办价格〔2011〕534号）规定的65.00%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联系人：高禧、吴元帅、黄沛</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靶磁控溅射镀膜机，采用送取样室+镀膜室的双腔室结构，可长期保持腔体内部的洁净度；集成一套φ6cm离子源，可实现镀膜前的样品表面清洗、表面改性及增强附着力；设置有旋转加热样品台，能提升薄膜的材料性能和均匀性；配备三套溅射靶，可实现制作多层结构的半导体薄膜和光学薄膜。设备能够实现Φ6-Φ8英寸晶圆及向下兼容，能完成膜层的自动化可控制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多靶磁控溅射镀膜机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标的名称：多靶磁控溅射镀膜机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239"/>
              <w:gridCol w:w="738"/>
              <w:gridCol w:w="297"/>
              <w:gridCol w:w="1279"/>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配置清单</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货物名称</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配置内容</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多靶磁控溅射镀膜机硬件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高真空镀膜室、送取样室、真空抽气系统、真空测量系统、压力控制系统、功率源系统、离子源清洗系统、工艺气路系统、冷却系统、空压气动系统</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多靶磁控溅射镀膜机控制系统</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电气控制系统、自动控制软件</w:t>
                  </w:r>
                </w:p>
              </w:tc>
            </w:tr>
          </w:tbl>
          <w:p>
            <w:pPr>
              <w:pStyle w:val="null3"/>
              <w:jc w:val="both"/>
            </w:pPr>
            <w:r>
              <w:rPr>
                <w:rFonts w:ascii="仿宋_GB2312" w:hAnsi="仿宋_GB2312" w:cs="仿宋_GB2312" w:eastAsia="仿宋_GB2312"/>
                <w:sz w:val="24"/>
                <w:b/>
                <w:color w:val="000000"/>
              </w:rPr>
              <w:t>一、多靶磁控溅射镀膜机硬件：</w:t>
            </w:r>
          </w:p>
          <w:p>
            <w:pPr>
              <w:pStyle w:val="null3"/>
              <w:jc w:val="both"/>
            </w:pPr>
            <w:r>
              <w:rPr>
                <w:rFonts w:ascii="仿宋_GB2312" w:hAnsi="仿宋_GB2312" w:cs="仿宋_GB2312" w:eastAsia="仿宋_GB2312"/>
                <w:sz w:val="24"/>
                <w:color w:val="000000"/>
              </w:rPr>
              <w:t>1、支持直流与射频倾斜共溅射方式；</w:t>
            </w:r>
          </w:p>
          <w:p>
            <w:pPr>
              <w:pStyle w:val="null3"/>
              <w:jc w:val="both"/>
            </w:pPr>
            <w:r>
              <w:rPr>
                <w:rFonts w:ascii="仿宋_GB2312" w:hAnsi="仿宋_GB2312" w:cs="仿宋_GB2312" w:eastAsia="仿宋_GB2312"/>
                <w:sz w:val="24"/>
                <w:color w:val="000000"/>
              </w:rPr>
              <w:t>▲2、溅射工位：Φ8英寸单工位，可实现样片尺寸Φ6-Φ8英寸晶圆及向下兼容；</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设备采用送取样室</w:t>
            </w:r>
            <w:r>
              <w:rPr>
                <w:rFonts w:ascii="仿宋_GB2312" w:hAnsi="仿宋_GB2312" w:cs="仿宋_GB2312" w:eastAsia="仿宋_GB2312"/>
                <w:sz w:val="24"/>
                <w:color w:val="000000"/>
              </w:rPr>
              <w:t>+镀膜室的双腔室结构，镀膜室极限真空：≤5E-5Pa，由送取样室取送完样片后，抽至8.0E-4Pa≤5分钟；送取样室极限真空：≤5Pa，由大气抽至5Pa≤5分钟；</w:t>
            </w:r>
          </w:p>
          <w:p>
            <w:pPr>
              <w:pStyle w:val="null3"/>
              <w:jc w:val="both"/>
            </w:pPr>
            <w:r>
              <w:rPr>
                <w:rFonts w:ascii="仿宋_GB2312" w:hAnsi="仿宋_GB2312" w:cs="仿宋_GB2312" w:eastAsia="仿宋_GB2312"/>
                <w:sz w:val="24"/>
                <w:color w:val="000000"/>
              </w:rPr>
              <w:t>4、3路工艺气路：Ar(100sccm)、O2(10sccm)、N2(20sccm)，精度±0.1sccm；</w:t>
            </w:r>
          </w:p>
          <w:p>
            <w:pPr>
              <w:pStyle w:val="null3"/>
              <w:jc w:val="both"/>
            </w:pPr>
            <w:r>
              <w:rPr>
                <w:rFonts w:ascii="仿宋_GB2312" w:hAnsi="仿宋_GB2312" w:cs="仿宋_GB2312" w:eastAsia="仿宋_GB2312"/>
                <w:sz w:val="24"/>
                <w:color w:val="000000"/>
              </w:rPr>
              <w:t>5、工件台转速：0～30转/分钟可调；</w:t>
            </w:r>
          </w:p>
          <w:p>
            <w:pPr>
              <w:pStyle w:val="null3"/>
              <w:jc w:val="both"/>
            </w:pPr>
            <w:r>
              <w:rPr>
                <w:rFonts w:ascii="仿宋_GB2312" w:hAnsi="仿宋_GB2312" w:cs="仿宋_GB2312" w:eastAsia="仿宋_GB2312"/>
                <w:sz w:val="24"/>
                <w:color w:val="000000"/>
              </w:rPr>
              <w:t>6、压力控制范围：0.5Pa～2.0Pa，精度±0.01Pa，调压稳定时间≤30秒；</w:t>
            </w:r>
          </w:p>
          <w:p>
            <w:pPr>
              <w:pStyle w:val="null3"/>
              <w:jc w:val="both"/>
            </w:pPr>
            <w:r>
              <w:rPr>
                <w:rFonts w:ascii="仿宋_GB2312" w:hAnsi="仿宋_GB2312" w:cs="仿宋_GB2312" w:eastAsia="仿宋_GB2312"/>
                <w:sz w:val="24"/>
                <w:color w:val="000000"/>
              </w:rPr>
              <w:t>▲7、镀膜不均匀性: Φ8英寸≤±5.0%；</w:t>
            </w:r>
          </w:p>
          <w:p>
            <w:pPr>
              <w:pStyle w:val="null3"/>
              <w:jc w:val="both"/>
            </w:pPr>
            <w:r>
              <w:rPr>
                <w:rFonts w:ascii="仿宋_GB2312" w:hAnsi="仿宋_GB2312" w:cs="仿宋_GB2312" w:eastAsia="仿宋_GB2312"/>
                <w:sz w:val="24"/>
                <w:color w:val="000000"/>
              </w:rPr>
              <w:t>▲8、基片控温范围：室温～500℃，控温精度±1℃；</w:t>
            </w:r>
          </w:p>
          <w:p>
            <w:pPr>
              <w:pStyle w:val="null3"/>
              <w:jc w:val="both"/>
            </w:pPr>
            <w:r>
              <w:rPr>
                <w:rFonts w:ascii="仿宋_GB2312" w:hAnsi="仿宋_GB2312" w:cs="仿宋_GB2312" w:eastAsia="仿宋_GB2312"/>
                <w:sz w:val="24"/>
                <w:color w:val="000000"/>
              </w:rPr>
              <w:t>9、电源：射频电源2个功率600W，直流电源1个功率1000W；</w:t>
            </w:r>
          </w:p>
          <w:p>
            <w:pPr>
              <w:pStyle w:val="null3"/>
              <w:jc w:val="both"/>
            </w:pPr>
            <w:r>
              <w:rPr>
                <w:rFonts w:ascii="仿宋_GB2312" w:hAnsi="仿宋_GB2312" w:cs="仿宋_GB2312" w:eastAsia="仿宋_GB2312"/>
                <w:sz w:val="24"/>
                <w:color w:val="000000"/>
              </w:rPr>
              <w:t>▲10、离子清洗：Φ6cm直流离子源1套，用于样片表面的清洗和活化；</w:t>
            </w:r>
          </w:p>
          <w:p>
            <w:pPr>
              <w:pStyle w:val="null3"/>
              <w:jc w:val="both"/>
            </w:pPr>
            <w:r>
              <w:rPr>
                <w:rFonts w:ascii="仿宋_GB2312" w:hAnsi="仿宋_GB2312" w:cs="仿宋_GB2312" w:eastAsia="仿宋_GB2312"/>
                <w:sz w:val="24"/>
                <w:color w:val="000000"/>
              </w:rPr>
              <w:t>11、设备附件：含设备运行所需空压机≥500W、循环水冷机≥2000W、备品备件（测试靶材、维修工具、防污玻璃、密封圈、电阻规）；</w:t>
            </w:r>
          </w:p>
          <w:p>
            <w:pPr>
              <w:pStyle w:val="null3"/>
              <w:jc w:val="both"/>
            </w:pPr>
            <w:r>
              <w:rPr>
                <w:rFonts w:ascii="仿宋_GB2312" w:hAnsi="仿宋_GB2312" w:cs="仿宋_GB2312" w:eastAsia="仿宋_GB2312"/>
                <w:sz w:val="24"/>
                <w:color w:val="000000"/>
              </w:rPr>
              <w:t>12、磁控靶配置：带角度调节磁控靶3只，并带有防污筒和靶挡板；角度无级调节，调节精度：≤±0.5°；溅射距离调节范围：至少包含8-12cm范围内的调节；</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气体柜配置</w:t>
            </w:r>
            <w:r>
              <w:rPr>
                <w:rFonts w:ascii="仿宋_GB2312" w:hAnsi="仿宋_GB2312" w:cs="仿宋_GB2312" w:eastAsia="仿宋_GB2312"/>
                <w:sz w:val="24"/>
                <w:color w:val="000000"/>
              </w:rPr>
              <w:t>：附带磁控溅射镀膜机专用的</w:t>
            </w:r>
            <w:r>
              <w:rPr>
                <w:rFonts w:ascii="仿宋_GB2312" w:hAnsi="仿宋_GB2312" w:cs="仿宋_GB2312" w:eastAsia="仿宋_GB2312"/>
                <w:sz w:val="24"/>
                <w:color w:val="000000"/>
              </w:rPr>
              <w:t>Ar、O2、N2三路气体配气柜和容积均为</w:t>
            </w:r>
            <w:r>
              <w:rPr>
                <w:rFonts w:ascii="仿宋_GB2312" w:hAnsi="仿宋_GB2312" w:cs="仿宋_GB2312" w:eastAsia="仿宋_GB2312"/>
                <w:sz w:val="24"/>
                <w:color w:val="000000"/>
              </w:rPr>
              <w:t>40</w:t>
            </w:r>
            <w:r>
              <w:rPr>
                <w:rFonts w:ascii="仿宋_GB2312" w:hAnsi="仿宋_GB2312" w:cs="仿宋_GB2312" w:eastAsia="仿宋_GB2312"/>
                <w:sz w:val="24"/>
                <w:color w:val="000000"/>
              </w:rPr>
              <w:t>L的Ar、O2、N2气瓶。</w:t>
            </w:r>
          </w:p>
          <w:p>
            <w:pPr>
              <w:pStyle w:val="null3"/>
              <w:jc w:val="both"/>
            </w:pPr>
            <w:r>
              <w:rPr>
                <w:rFonts w:ascii="仿宋_GB2312" w:hAnsi="仿宋_GB2312" w:cs="仿宋_GB2312" w:eastAsia="仿宋_GB2312"/>
                <w:sz w:val="24"/>
                <w:b/>
                <w:color w:val="000000"/>
              </w:rPr>
              <w:t>二、多靶磁控溅射镀膜机控制系统：</w:t>
            </w:r>
          </w:p>
          <w:p>
            <w:pPr>
              <w:pStyle w:val="null3"/>
              <w:jc w:val="both"/>
            </w:pPr>
            <w:r>
              <w:rPr>
                <w:rFonts w:ascii="仿宋_GB2312" w:hAnsi="仿宋_GB2312" w:cs="仿宋_GB2312" w:eastAsia="仿宋_GB2312"/>
                <w:sz w:val="24"/>
                <w:color w:val="000000"/>
              </w:rPr>
              <w:t>14、程序控制：镀膜控制方式支持从放入样品到工艺完成的全过程计算机自动控制，能实现自动抽真空、设定工艺流量、调整压力、设定功率源功率、磁控靶起辉、溅射镀膜、排放残余气体、破真空等整个流程；</w:t>
            </w:r>
          </w:p>
          <w:p>
            <w:pPr>
              <w:pStyle w:val="null3"/>
            </w:pPr>
            <w:r>
              <w:rPr>
                <w:rFonts w:ascii="仿宋_GB2312" w:hAnsi="仿宋_GB2312" w:cs="仿宋_GB2312" w:eastAsia="仿宋_GB2312"/>
                <w:sz w:val="24"/>
                <w:color w:val="000000"/>
              </w:rPr>
              <w:t>15、设备采用基于PLC、上位机及控制软件的控制方式，控制系统包含完备的安全报警系统，在线数据采集功能，系统日志记录功能，方便追踪实验过程及设备运行状况。</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预付款，合同签订后5个工作日内，甲方向乙方预付合同总价的40%，达到付款条件起5个工作日内，支付合同总金额的40.0%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进度款，设备安装调试完成，经甲方最终验收合格并签署《验收合格报告》后，乙方开具全额合法有效的增值税专用发票，达到付款条件起7个工作日内，支付合同总金额的30.0%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1.质保期：所提供产品质保期2年。质保期内乙方每年提供1次清洁保养服务。 2.产品保修期（三包期）：自验收合格之日起2年 3.产品保修期（三包期）内，修理、更换、退货要求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4、采购标的的安装调试及配套工程、质量保证、售后服务等要求 （1）安装调试要求 安装标准：执行GB50231-2009《机械设备安装工程施工及验收通用规范》； 调试周期：连续48小时无故障运行测试； 人员培训：提供相关操作人员培训资料。 （2）配套工程 基础施工：包含安装设备所需高空作业车及各种工具（需提前2日做好准备）。 （3）质量保证 提供所有软硬件不少于2年保修和技术支持服务，按照国家三包规定办理。 （4）售后服务 响应时限：4小时内响应，24小时内提供解决方案，48小时内消除故障。 定期维护：质保期内每年提供1次清洗保养服务。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本合同约定时间交付设备、完成安装调试、完成验收的，每逾期一日，应向采购人支付合同总金额1%的违约金；延迟超过15日的，采购人有权单方解除合同，要求退货，中标供应商除返还采购人已支付款项外，还应向采购人支付合同总金额10%的违约金，如该违约金不足以弥补采购人损失的，中标供应商还应予以赔偿。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 2、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1932571762@qq.com（邮件命名：项目名称、项目编号），并将保函原件单独递交至代理机构（采用电子保函形式的无需单独递交，发邮箱即可）。保函必须由具有开具投标保函资格的单位开具；若供应商违约，开具保函单位承担连带责任。（2）投标保证金的提交金额、时间不满足招标文件要求的，投标无效。（建议：投标人以转账形式缴纳时备注采购项目名称、项目编号，否则自行承担因款项用途不明导致无法辨别造成的不利后果） 3、根据《国务院办公厅关于在政府采购中实施本国产品标准及相关政策的通知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投标人提供《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响应分项报价表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商务响应满足招标文件第三章“3.4商务要求”，任意一条不满足的按无效响应处理。</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响应分项报价表 投标函 中小企业声明函 残疾人福利性单位声明函 履约保证金承诺函 标的清单 陕西省政府采购供应商拒绝政府采购领域商业贿赂承诺书 投标文件封面 商务条款偏离表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（1）▲项（共5项）满分20分，该项负偏离扣4分，扣完为止。（2）未标项（共10项）满分16分，每项负偏离扣1.6分，扣完为止。 注：标注“▲”的参数须提供相关技术指标证明材料予以佐证，提供的佐证材料：国家认可的第三方检测机构出具的检测报告或产品彩页或技术白皮书或官网截图任意一种。不提供或缺漏项或不能证明的不得分。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2、可实施性及针对性：切合本项目实际情况，提出步骤清晰、合理的方案；方案能够紧扣项目实际情况，内容科学合理。 三、赋分依据 ①供货组织及进度安排：每完全满足一个评审标准得1分，满分2分； ②对接及运输方案:每完全满足一个评审标准得1分，满分2分； ③安装调试方案:每完全满足一个评审标准得1分，满分2分； ④人员、物力调配安排：每完全满足一个评审标准得1分，满分2分。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 使用寿命及效果；②质量管理体系及保证措施。 二、评审标准 1、完整性：方案必须全面，对评审内容中的各项要求有详细描述； 2、可实施性及针对性：切合本项目实际情况，提出步骤清晰、合理的方案；方案能够紧扣项目实际情况，内容科学合理。 三、赋分依据 ①产品性能、使用寿命及效果：每完全满足一个评审标准得1分，满分2分； ②质量管理体系及保证措施:每完全满足一个评审标准得1分，满分2分。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根据投标人的培训服务方案，包括但不限于：①培训方案、培训时间；②培训内容、培训次数。 二、评审标准： 1、完整性：方案须全面，对评审内容中的各项要求有详细描述； 2、可实施性：切合本项目实际情况，实施步骤清晰、合理； 3、针对性：方案能够紧扣项目实际情况，内容科学合理。 三、赋分依据 ①培训方案、培训时间：每完全满足一项评审标准得0.5分，满分1.5分； ②培训内容、培训次数：每完全满足一项评审标准得0.5分，满分1.5分； 内容有缺陷扣0.5分，缺项或未提供得0分。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2、可实施性及针对性：切合本项目实际情况，提出步骤清晰、合理的方案；方案能够紧扣项目实际情况，内容科学合理。 三、赋分依据 ①售后服务范围：每完全满足一个评审标准得0.5分，满分1.0分； ②响应时间及方式:每完全满足一个评审标准得0.5分，满分1.0分； ③故障处理及补救措施:每完全满足一个评审标准得0.5分，满分1.0分； ④定期回访及维护:每完全满足一个评审标准得0.5分，满分1.0分。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承诺质保期在满足招标文件（2年）要求的基础上，每增加一年得0.5分，满分1分。无承诺不得分。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提供投标人2023年1月1日至今类似项目业绩（以合同签订日期为准），每提供一个业绩计2分，最高计4分。 赋分依据：提供业绩合同复印件或扫描件，并加盖投标人公章。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