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版本号：HHGJZC2026-CS36520260519002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硬件设施提升项目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HHGJZC2026-CS365</w:t>
      </w:r>
      <w:r>
        <w:br/>
      </w:r>
      <w:r>
        <w:br/>
      </w:r>
      <w:r>
        <w:br/>
      </w:r>
    </w:p>
    <w:p>
      <w:pPr>
        <w:pStyle w:val="null3"/>
        <w:jc w:val="center"/>
        <w:outlineLvl w:val="2"/>
      </w:pPr>
      <w:r>
        <w:rPr>
          <w:rFonts w:ascii="仿宋_GB2312" w:hAnsi="仿宋_GB2312" w:cs="仿宋_GB2312" w:eastAsia="仿宋_GB2312"/>
          <w:sz w:val="28"/>
          <w:b/>
        </w:rPr>
        <w:t>西安经开第七幼儿园</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西安经开第七幼儿园</w:t>
      </w:r>
      <w:r>
        <w:rPr>
          <w:rFonts w:ascii="仿宋_GB2312" w:hAnsi="仿宋_GB2312" w:cs="仿宋_GB2312" w:eastAsia="仿宋_GB2312"/>
        </w:rPr>
        <w:t>委托，拟对</w:t>
      </w:r>
      <w:r>
        <w:rPr>
          <w:rFonts w:ascii="仿宋_GB2312" w:hAnsi="仿宋_GB2312" w:cs="仿宋_GB2312" w:eastAsia="仿宋_GB2312"/>
        </w:rPr>
        <w:t>硬件设施提升项目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HHGJZC2026-CS365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硬件设施提升项目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西安经开第七幼儿园硬件设施提升项目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采购包1（硬件设施提升项目）：属于专门面向中小企业采购。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2、供应商资质要求：供应商具备建设部门颁发的建筑装修装饰工程专业承包二级及以上资质，且具有有效的安全生产许可证；</w:t>
      </w:r>
    </w:p>
    <w:p>
      <w:pPr>
        <w:pStyle w:val="null3"/>
      </w:pPr>
      <w:r>
        <w:rPr>
          <w:rFonts w:ascii="仿宋_GB2312" w:hAnsi="仿宋_GB2312" w:cs="仿宋_GB2312" w:eastAsia="仿宋_GB2312"/>
        </w:rPr>
        <w:t>3、拟派项目经理资质要求：供应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西安经开第七幼儿园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18066711297</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18066711297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采购包1：828,823.06元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开户行：中国建设银行银行股份有限公司西安凤城四路支行 账号：61050190580000002095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西安经开第七幼儿园</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828,823.06</w:t>
      </w:r>
    </w:p>
    <w:p>
      <w:pPr>
        <w:pStyle w:val="null3"/>
      </w:pPr>
      <w:r>
        <w:rPr>
          <w:rFonts w:ascii="仿宋_GB2312" w:hAnsi="仿宋_GB2312" w:cs="仿宋_GB2312" w:eastAsia="仿宋_GB2312"/>
        </w:rPr>
        <w:t>采购包最高限价（元）: 828,823.06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西安经开第七幼儿园硬件设施提升项目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828,823.06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标的名称：西安经开第七幼儿园硬件设施提升项目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幼儿卫生间盥洗室防水加强，防水需要整体改造</w:t>
            </w:r>
            <w:r>
              <w:rPr>
                <w:rFonts w:ascii="仿宋_GB2312" w:hAnsi="仿宋_GB2312" w:cs="仿宋_GB2312" w:eastAsia="仿宋_GB2312"/>
                <w:sz w:val="21"/>
              </w:rPr>
              <w:t>:基础设施整改及防水加强;幼儿园四楼顶地面铺设幼儿户外场地;二楼会议室露台外包，提升露台的使用更大化,功能性，增加小型活动区。具体</w:t>
            </w:r>
            <w:r>
              <w:rPr>
                <w:rFonts w:ascii="仿宋_GB2312" w:hAnsi="仿宋_GB2312" w:cs="仿宋_GB2312" w:eastAsia="仿宋_GB2312"/>
                <w:sz w:val="21"/>
              </w:rPr>
              <w:t>技术要求及工程量清单详见附件</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质保期：自本项目竣工验收合格之日起二年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 关于异常低价的处理：根据《关于推动解决政府采购异常低价问题的通知》（ 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3.3.3由于全文为文件模板固定格式，本项目仍需要提供已标价工程量清单。本项目供应商在首次提交的响应文件中的报价（即首次报价）应按磋商文件及工程量清单编制要求，逐一列出报价的构成及明细，并提供已标价工程量清单。已标价工程量清单的扉页（仅指投标总价扉页）应由注册造价人员签字并盖执业印章。供应商提交的已标价工程量清单应符合本项目工程量清单以及清单说明的要求。 3.3.4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供应商具备建设部门颁发的建筑装修装饰工程专业承包二级及以上资质，且具有有效的安全生产许可证；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有可能影响工程质量或者不能诚信履约的，碰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技术和商务偏离表 强制优先采购产品承诺函 响应文件封面 资格证明文件 残疾人福利性单位声明函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技术和商务偏离表 强制优先采购产品承诺函 响应文件封面 资格证明文件 残疾人福利性单位声明函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技术和商务偏离表 强制优先采购产品承诺函 响应文件封面 资格证明文件 残疾人福利性单位声明函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项目管理及项目部组成</w:t>
            </w:r>
          </w:p>
        </w:tc>
        <w:tc>
          <w:tcPr>
            <w:tcW w:type="dxa" w:w="2492"/>
          </w:tcPr>
          <w:p>
            <w:pPr>
              <w:pStyle w:val="null3"/>
            </w:pPr>
            <w:r>
              <w:rPr>
                <w:rFonts w:ascii="仿宋_GB2312" w:hAnsi="仿宋_GB2312" w:cs="仿宋_GB2312" w:eastAsia="仿宋_GB2312"/>
              </w:rPr>
              <w:t>供应商针对本项目制定项目管理及项目部组成方案包含：①项目管理机构②项目部组成。方案合理完善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不合理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供应商针对本项目制定维护方案包含：①维修措施②保修责任及保修承诺。 方案各部分内容全面详细、阐述条理清晰详尽、措施及承诺到位、符合本项目采购需求得6分；以上分项每缺少一项内容扣3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拆除及垃圾清运方案</w:t>
            </w:r>
          </w:p>
        </w:tc>
        <w:tc>
          <w:tcPr>
            <w:tcW w:type="dxa" w:w="2492"/>
          </w:tcPr>
          <w:p>
            <w:pPr>
              <w:pStyle w:val="null3"/>
            </w:pPr>
            <w:r>
              <w:rPr>
                <w:rFonts w:ascii="仿宋_GB2312" w:hAnsi="仿宋_GB2312" w:cs="仿宋_GB2312" w:eastAsia="仿宋_GB2312"/>
              </w:rPr>
              <w:t>供应商针对本项目制定拆除及垃圾清运方案包含：①拆除方案②垃圾清运方案。方案各部分内容全面详细、阐述条理清晰详尽、措施及承诺到位、符合本项目采购需求得6分；以上分项每缺少一项内容扣3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及质量保修期承诺③服务响应时间④服务响应措施。服务承诺合理、可行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供应商2023年1月以来类似项目业绩；每提供1份计2分，最高得6分。业绩证明（以合同或中标/成交通知书为准，须在磋商响应文件中附以上证明材料的扫描件加盖单位公章）弄虚作假者，取消其成交资格。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