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A6CE7F">
      <w:pPr>
        <w:numPr>
          <w:ilvl w:val="0"/>
          <w:numId w:val="0"/>
        </w:numPr>
        <w:jc w:val="center"/>
        <w:rPr>
          <w:rFonts w:hint="eastAsia" w:ascii="仿宋" w:hAnsi="仿宋" w:eastAsia="仿宋" w:cs="仿宋"/>
          <w:b/>
          <w:color w:val="auto"/>
          <w:sz w:val="36"/>
        </w:rPr>
      </w:pPr>
      <w:r>
        <w:rPr>
          <w:rFonts w:hint="eastAsia" w:ascii="仿宋" w:hAnsi="仿宋" w:eastAsia="仿宋" w:cs="仿宋"/>
          <w:b/>
          <w:color w:val="auto"/>
          <w:sz w:val="36"/>
        </w:rPr>
        <w:t>拟签订采购合同文本</w:t>
      </w:r>
    </w:p>
    <w:p w14:paraId="2FF0D57C">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p>
    <w:p w14:paraId="2EF6B00B">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bookmarkStart w:id="0" w:name="OLE_LINK13"/>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西安经开第七幼儿园</w:t>
      </w:r>
    </w:p>
    <w:p w14:paraId="252CD74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6D2446F6">
      <w:pPr>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u w:val="single"/>
          <w:lang w:val="en-US" w:eastAsia="zh-CN"/>
        </w:rPr>
        <w:t>硬件设施提升项目</w:t>
      </w:r>
      <w:r>
        <w:rPr>
          <w:rFonts w:hint="eastAsia" w:ascii="仿宋" w:hAnsi="仿宋" w:eastAsia="仿宋" w:cs="仿宋"/>
          <w:bCs/>
          <w:color w:val="auto"/>
          <w:sz w:val="24"/>
          <w:szCs w:val="24"/>
          <w:highlight w:val="none"/>
        </w:rPr>
        <w:t>在</w:t>
      </w:r>
      <w:r>
        <w:rPr>
          <w:rFonts w:hint="eastAsia" w:ascii="仿宋" w:hAnsi="仿宋" w:eastAsia="仿宋" w:cs="仿宋"/>
          <w:bCs/>
          <w:color w:val="auto"/>
          <w:sz w:val="24"/>
          <w:szCs w:val="24"/>
          <w:highlight w:val="none"/>
          <w:lang w:eastAsia="zh-CN"/>
        </w:rPr>
        <w:t>陕西华海国际项目管理有限公司</w:t>
      </w:r>
      <w:r>
        <w:rPr>
          <w:rFonts w:hint="eastAsia" w:ascii="仿宋" w:hAnsi="仿宋" w:eastAsia="仿宋" w:cs="仿宋"/>
          <w:bCs/>
          <w:color w:val="auto"/>
          <w:sz w:val="24"/>
          <w:szCs w:val="24"/>
          <w:highlight w:val="none"/>
        </w:rPr>
        <w:t>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，(以下简称“甲方”)确定（以下简称“乙方”）为的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p>
    <w:p w14:paraId="085334D1">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》和《中华人民共和国政府采购法》，经双方协商按下述条款和条件签署本合同。</w:t>
      </w:r>
    </w:p>
    <w:bookmarkEnd w:id="0"/>
    <w:p w14:paraId="711C5ADC">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3CE4EC56">
      <w:pPr>
        <w:autoSpaceDE w:val="0"/>
        <w:autoSpaceDN w:val="0"/>
        <w:adjustRightInd w:val="0"/>
        <w:spacing w:line="360" w:lineRule="auto"/>
        <w:ind w:left="94" w:leftChars="45" w:firstLine="480" w:firstLineChars="200"/>
        <w:rPr>
          <w:rFonts w:hint="eastAsia" w:ascii="仿宋" w:hAnsi="仿宋" w:eastAsia="仿宋" w:cs="仿宋"/>
          <w:b w:val="0"/>
          <w:bCs/>
          <w:color w:val="auto"/>
          <w:sz w:val="24"/>
          <w:szCs w:val="24"/>
          <w:highlight w:val="none"/>
          <w:lang w:val="en-US" w:eastAsia="zh-CN"/>
        </w:rPr>
      </w:pPr>
      <w:bookmarkStart w:id="1" w:name="OLE_LINK14"/>
      <w:r>
        <w:rPr>
          <w:rFonts w:hint="eastAsia" w:ascii="仿宋" w:hAnsi="仿宋" w:eastAsia="仿宋" w:cs="仿宋"/>
          <w:b w:val="0"/>
          <w:bCs/>
          <w:color w:val="auto"/>
          <w:sz w:val="24"/>
          <w:szCs w:val="24"/>
          <w:highlight w:val="none"/>
          <w:lang w:val="en-US" w:eastAsia="zh-CN"/>
        </w:rPr>
        <w:t>(一）本合同为固定总价合同；</w:t>
      </w:r>
    </w:p>
    <w:p w14:paraId="53B087F7">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二</w:t>
      </w:r>
      <w:r>
        <w:rPr>
          <w:rFonts w:hint="eastAsia" w:ascii="仿宋" w:hAnsi="仿宋" w:eastAsia="仿宋" w:cs="仿宋"/>
          <w:b w:val="0"/>
          <w:bCs/>
          <w:color w:val="auto"/>
          <w:sz w:val="24"/>
          <w:szCs w:val="24"/>
          <w:highlight w:val="none"/>
          <w:lang w:eastAsia="zh-CN"/>
        </w:rPr>
        <w:t>）合同总价款：大写：</w:t>
      </w:r>
      <w:r>
        <w:rPr>
          <w:rFonts w:hint="eastAsia" w:ascii="仿宋" w:hAnsi="仿宋" w:eastAsia="仿宋" w:cs="仿宋"/>
          <w:b w:val="0"/>
          <w:bCs/>
          <w:color w:val="auto"/>
          <w:sz w:val="24"/>
          <w:szCs w:val="24"/>
          <w:highlight w:val="none"/>
          <w:lang w:val="en-US" w:eastAsia="zh-CN"/>
        </w:rPr>
        <w:t>（¥        元）</w:t>
      </w:r>
      <w:r>
        <w:rPr>
          <w:rFonts w:hint="eastAsia" w:ascii="仿宋" w:hAnsi="仿宋" w:eastAsia="仿宋" w:cs="仿宋"/>
          <w:b w:val="0"/>
          <w:bCs/>
          <w:color w:val="auto"/>
          <w:sz w:val="24"/>
          <w:szCs w:val="24"/>
          <w:highlight w:val="none"/>
          <w:lang w:eastAsia="zh-CN"/>
        </w:rPr>
        <w:t>。</w:t>
      </w:r>
    </w:p>
    <w:p w14:paraId="4FC794E2">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三</w:t>
      </w:r>
      <w:r>
        <w:rPr>
          <w:rFonts w:hint="eastAsia" w:ascii="仿宋" w:hAnsi="仿宋" w:eastAsia="仿宋" w:cs="仿宋"/>
          <w:b w:val="0"/>
          <w:bCs/>
          <w:color w:val="auto"/>
          <w:sz w:val="24"/>
          <w:szCs w:val="24"/>
          <w:highlight w:val="none"/>
          <w:lang w:eastAsia="zh-CN"/>
        </w:rPr>
        <w:t>）合同总价包括：工程量清单的全部内容，不受市场价变化的影响。合同价格为含税价。</w:t>
      </w:r>
    </w:p>
    <w:bookmarkEnd w:id="1"/>
    <w:p w14:paraId="18A20419">
      <w:pPr>
        <w:autoSpaceDE w:val="0"/>
        <w:autoSpaceDN w:val="0"/>
        <w:adjustRightInd w:val="0"/>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088FC53E">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bookmarkStart w:id="2" w:name="OLE_LINK15"/>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合同签订，</w:t>
      </w:r>
      <w:bookmarkStart w:id="3" w:name="OLE_LINK6"/>
      <w:r>
        <w:rPr>
          <w:rFonts w:hint="eastAsia" w:ascii="仿宋" w:hAnsi="仿宋" w:eastAsia="仿宋" w:cs="仿宋"/>
          <w:b w:val="0"/>
          <w:bCs/>
          <w:color w:val="auto"/>
          <w:sz w:val="24"/>
          <w:szCs w:val="24"/>
          <w:highlight w:val="none"/>
          <w:lang w:val="en-US" w:eastAsia="zh-CN"/>
        </w:rPr>
        <w:t>达到付款条件15日内</w:t>
      </w:r>
      <w:bookmarkEnd w:id="3"/>
      <w:r>
        <w:rPr>
          <w:rFonts w:hint="eastAsia" w:ascii="仿宋" w:hAnsi="仿宋" w:eastAsia="仿宋" w:cs="仿宋"/>
          <w:b w:val="0"/>
          <w:bCs/>
          <w:color w:val="auto"/>
          <w:sz w:val="24"/>
          <w:szCs w:val="24"/>
          <w:highlight w:val="none"/>
          <w:lang w:val="en-US" w:eastAsia="zh-CN"/>
        </w:rPr>
        <w:t>，支付</w:t>
      </w:r>
      <w:bookmarkStart w:id="4" w:name="OLE_LINK7"/>
      <w:r>
        <w:rPr>
          <w:rFonts w:hint="eastAsia" w:ascii="仿宋" w:hAnsi="仿宋" w:eastAsia="仿宋" w:cs="仿宋"/>
          <w:b w:val="0"/>
          <w:bCs/>
          <w:color w:val="auto"/>
          <w:sz w:val="24"/>
          <w:szCs w:val="24"/>
          <w:highlight w:val="none"/>
          <w:lang w:val="en-US" w:eastAsia="zh-CN"/>
        </w:rPr>
        <w:t>合同价</w:t>
      </w:r>
      <w:bookmarkEnd w:id="4"/>
      <w:r>
        <w:rPr>
          <w:rFonts w:hint="eastAsia" w:ascii="仿宋" w:hAnsi="仿宋" w:eastAsia="仿宋" w:cs="仿宋"/>
          <w:b w:val="0"/>
          <w:bCs/>
          <w:color w:val="auto"/>
          <w:sz w:val="24"/>
          <w:szCs w:val="24"/>
          <w:highlight w:val="none"/>
          <w:lang w:val="en-US" w:eastAsia="zh-CN"/>
        </w:rPr>
        <w:t>的40%；</w:t>
      </w:r>
    </w:p>
    <w:p w14:paraId="77E12A13">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完工验收合格后达到付款条件15日内，支付合同价的60%；</w:t>
      </w:r>
    </w:p>
    <w:p w14:paraId="79E8138F">
      <w:pPr>
        <w:autoSpaceDE w:val="0"/>
        <w:autoSpaceDN w:val="0"/>
        <w:adjustRightInd w:val="0"/>
        <w:spacing w:line="360" w:lineRule="auto"/>
        <w:ind w:firstLine="480" w:firstLineChars="200"/>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采购人</w:t>
      </w:r>
      <w:r>
        <w:rPr>
          <w:rFonts w:hint="eastAsia" w:ascii="仿宋" w:hAnsi="仿宋" w:eastAsia="仿宋" w:cs="仿宋"/>
          <w:b w:val="0"/>
          <w:bCs/>
          <w:color w:val="auto"/>
          <w:sz w:val="24"/>
          <w:szCs w:val="24"/>
          <w:highlight w:val="none"/>
          <w:lang w:eastAsia="zh-CN"/>
        </w:rPr>
        <w:t>每次</w:t>
      </w:r>
      <w:r>
        <w:rPr>
          <w:rFonts w:hint="eastAsia" w:ascii="仿宋" w:hAnsi="仿宋" w:eastAsia="仿宋" w:cs="仿宋"/>
          <w:b w:val="0"/>
          <w:bCs/>
          <w:color w:val="auto"/>
          <w:sz w:val="24"/>
          <w:szCs w:val="24"/>
          <w:highlight w:val="none"/>
          <w:lang w:val="en-US" w:eastAsia="zh-CN"/>
        </w:rPr>
        <w:t>向供应商</w:t>
      </w:r>
      <w:r>
        <w:rPr>
          <w:rFonts w:hint="eastAsia" w:ascii="仿宋" w:hAnsi="仿宋" w:eastAsia="仿宋" w:cs="仿宋"/>
          <w:b w:val="0"/>
          <w:bCs/>
          <w:color w:val="auto"/>
          <w:sz w:val="24"/>
          <w:szCs w:val="24"/>
          <w:highlight w:val="none"/>
          <w:lang w:eastAsia="zh-CN"/>
        </w:rPr>
        <w:t>付款前，</w:t>
      </w:r>
      <w:r>
        <w:rPr>
          <w:rFonts w:hint="eastAsia" w:ascii="仿宋" w:hAnsi="仿宋" w:eastAsia="仿宋" w:cs="仿宋"/>
          <w:b w:val="0"/>
          <w:bCs/>
          <w:color w:val="auto"/>
          <w:sz w:val="24"/>
          <w:szCs w:val="24"/>
          <w:highlight w:val="none"/>
          <w:lang w:val="en-US" w:eastAsia="zh-CN"/>
        </w:rPr>
        <w:t>供应商</w:t>
      </w:r>
      <w:r>
        <w:rPr>
          <w:rFonts w:hint="eastAsia" w:ascii="仿宋" w:hAnsi="仿宋" w:eastAsia="仿宋" w:cs="仿宋"/>
          <w:b w:val="0"/>
          <w:bCs/>
          <w:color w:val="auto"/>
          <w:sz w:val="24"/>
          <w:szCs w:val="24"/>
          <w:highlight w:val="none"/>
          <w:lang w:eastAsia="zh-CN"/>
        </w:rPr>
        <w:t>须提供等额正规发票。</w:t>
      </w:r>
    </w:p>
    <w:bookmarkEnd w:id="2"/>
    <w:p w14:paraId="22AFF80C">
      <w:pPr>
        <w:autoSpaceDE w:val="0"/>
        <w:autoSpaceDN w:val="0"/>
        <w:adjustRightInd w:val="0"/>
        <w:spacing w:line="360" w:lineRule="auto"/>
        <w:ind w:firstLine="482" w:firstLineChars="20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7014819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rPr>
      </w:pPr>
      <w:bookmarkStart w:id="5" w:name="OLE_LINK16"/>
      <w:r>
        <w:rPr>
          <w:rFonts w:hint="eastAsia" w:ascii="仿宋" w:hAnsi="仿宋" w:eastAsia="仿宋" w:cs="仿宋"/>
          <w:bCs/>
          <w:color w:val="auto"/>
          <w:sz w:val="24"/>
          <w:szCs w:val="24"/>
          <w:highlight w:val="none"/>
        </w:rPr>
        <w:t>（一）实施地点：甲方指定地点。</w:t>
      </w:r>
    </w:p>
    <w:p w14:paraId="4BEDA9F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lang w:val="en-US" w:eastAsia="zh-CN"/>
        </w:rPr>
        <w:t>30日历天</w:t>
      </w:r>
    </w:p>
    <w:p w14:paraId="7F76247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（三）质保期：自本项目竣工验收合格之日起二年。</w:t>
      </w:r>
    </w:p>
    <w:p w14:paraId="1EFF47C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511E60C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46797B3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26A897E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u w:val="none"/>
          <w:lang w:val="en-US" w:eastAsia="zh-CN"/>
        </w:rPr>
        <w:t>；注册证号：</w:t>
      </w:r>
      <w:r>
        <w:rPr>
          <w:rFonts w:hint="eastAsia" w:ascii="仿宋" w:hAnsi="仿宋" w:eastAsia="仿宋" w:cs="仿宋"/>
          <w:bCs/>
          <w:color w:val="auto"/>
          <w:sz w:val="24"/>
          <w:szCs w:val="24"/>
          <w:highlight w:val="none"/>
          <w:u w:val="single"/>
          <w:lang w:val="en-US" w:eastAsia="zh-CN"/>
        </w:rPr>
        <w:t></w:t>
      </w:r>
      <w:r>
        <w:rPr>
          <w:rFonts w:hint="eastAsia" w:ascii="仿宋" w:hAnsi="仿宋" w:eastAsia="仿宋" w:cs="仿宋"/>
          <w:bCs/>
          <w:color w:val="auto"/>
          <w:sz w:val="24"/>
          <w:szCs w:val="24"/>
          <w:highlight w:val="none"/>
          <w:lang w:val="en-US" w:eastAsia="zh-CN"/>
        </w:rPr>
        <w:t>。</w:t>
      </w:r>
    </w:p>
    <w:bookmarkEnd w:id="5"/>
    <w:p w14:paraId="62FA698E">
      <w:pPr>
        <w:pStyle w:val="5"/>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149DC0C3">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6" w:name="OLE_LINK17"/>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3011318C">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4221327F">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bookmarkEnd w:id="6"/>
    <w:p w14:paraId="3360039D">
      <w:pPr>
        <w:spacing w:line="360" w:lineRule="auto"/>
        <w:ind w:firstLine="600" w:firstLineChars="24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2B23A8EC">
      <w:pPr>
        <w:spacing w:line="360" w:lineRule="auto"/>
        <w:ind w:firstLine="480" w:firstLineChars="200"/>
        <w:rPr>
          <w:rFonts w:hint="eastAsia" w:ascii="仿宋" w:hAnsi="仿宋" w:eastAsia="仿宋" w:cs="仿宋"/>
          <w:b/>
          <w:color w:val="auto"/>
          <w:sz w:val="24"/>
          <w:szCs w:val="24"/>
          <w:highlight w:val="none"/>
        </w:rPr>
      </w:pPr>
      <w:bookmarkStart w:id="7" w:name="OLE_LINK18"/>
      <w:r>
        <w:rPr>
          <w:rFonts w:hint="eastAsia" w:ascii="仿宋" w:hAnsi="仿宋" w:eastAsia="仿宋" w:cs="仿宋"/>
          <w:color w:val="auto"/>
          <w:sz w:val="24"/>
          <w:szCs w:val="24"/>
          <w:highlight w:val="none"/>
        </w:rPr>
        <w:t>（一）甲方责任：</w:t>
      </w:r>
    </w:p>
    <w:p w14:paraId="4BF8153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103CFAC6">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66B87152">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14B052B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7C8AAC4A">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3154034D">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（二）乙方责任：</w:t>
      </w:r>
    </w:p>
    <w:p w14:paraId="4ED9621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178FCF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6A71D6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18DB0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6D51497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5、隐蔽工程在覆盖前必须经甲方代表或现场监理代表验收签章后，方可进行下一道工序。</w:t>
      </w:r>
    </w:p>
    <w:p w14:paraId="20F5457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3E47B1A0">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7、采取有效的安全保障措施，确保施工安全，包括悬挂警示标牌、装设围栏、配备安全人员等，并承担事故的全部费用和责任。</w:t>
      </w:r>
    </w:p>
    <w:p w14:paraId="260E1624">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8、工程竣工后提供竣工验收技术资料及竣工图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rPr>
        <w:t>肆</w:t>
      </w:r>
      <w:r>
        <w:rPr>
          <w:rFonts w:hint="eastAsia" w:ascii="仿宋" w:hAnsi="仿宋" w:eastAsia="仿宋" w:cs="仿宋"/>
          <w:color w:val="auto"/>
          <w:sz w:val="24"/>
          <w:szCs w:val="24"/>
          <w:highlight w:val="none"/>
        </w:rPr>
        <w:t>套，办理工程竣工结算手续，参加工程竣工验收。</w:t>
      </w:r>
    </w:p>
    <w:p w14:paraId="7BD9A76F">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9、已完工的项目，在交工前乙方应负责保管，清理现场达到建筑物无污染，现场无建筑垃圾。</w:t>
      </w:r>
    </w:p>
    <w:p w14:paraId="691FEF9C">
      <w:pPr>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10、本工程不得转包。</w:t>
      </w:r>
    </w:p>
    <w:p w14:paraId="6404D1D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11、乙方应在设备运行过程中，对安全隐患进行全面的不定期检查与维护，并对不按安全规程操作的施工单位及时制止，并报甲方进行处理。</w:t>
      </w:r>
    </w:p>
    <w:p w14:paraId="7C3F99BA">
      <w:pPr>
        <w:spacing w:line="360" w:lineRule="auto"/>
        <w:ind w:firstLine="480" w:firstLineChars="200"/>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rPr>
        <w:t>12、乙方不能按合同规定的工期竣工的，应向甲方支付违约金，每逾期一日，支付合同总价款万分之二的违约金，造成甲方损失的，还应赔偿甲方损失。</w:t>
      </w:r>
    </w:p>
    <w:bookmarkEnd w:id="7"/>
    <w:p w14:paraId="3199CF72">
      <w:pPr>
        <w:spacing w:line="360" w:lineRule="auto"/>
        <w:ind w:firstLine="634" w:firstLineChars="263"/>
        <w:jc w:val="left"/>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3DD9AC5C">
      <w:pPr>
        <w:spacing w:line="360" w:lineRule="auto"/>
        <w:ind w:firstLine="480" w:firstLineChars="200"/>
        <w:rPr>
          <w:rFonts w:hint="eastAsia" w:ascii="仿宋" w:hAnsi="仿宋" w:eastAsia="仿宋" w:cs="仿宋"/>
          <w:color w:val="auto"/>
          <w:sz w:val="24"/>
          <w:szCs w:val="24"/>
          <w:highlight w:val="none"/>
        </w:rPr>
      </w:pPr>
      <w:bookmarkStart w:id="8" w:name="OLE_LINK19"/>
      <w:r>
        <w:rPr>
          <w:rFonts w:hint="eastAsia" w:ascii="仿宋" w:hAnsi="仿宋" w:eastAsia="仿宋" w:cs="仿宋"/>
          <w:color w:val="auto"/>
          <w:sz w:val="24"/>
          <w:szCs w:val="24"/>
          <w:highlight w:val="none"/>
        </w:rPr>
        <w:t>1．组成本合同的文件包括：</w:t>
      </w:r>
    </w:p>
    <w:p w14:paraId="55CB2227">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6C309F29">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685B599A">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505A74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6DBF54BF">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3CC67334">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已标价工程量清单或预算书</w:t>
      </w:r>
    </w:p>
    <w:p w14:paraId="0B527536">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其他合同文件。</w:t>
      </w:r>
    </w:p>
    <w:p w14:paraId="44ED8BE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bookmarkEnd w:id="8"/>
    <w:p w14:paraId="317EC493">
      <w:pPr>
        <w:autoSpaceDE w:val="0"/>
        <w:autoSpaceDN w:val="0"/>
        <w:adjustRightInd w:val="0"/>
        <w:spacing w:line="360" w:lineRule="auto"/>
        <w:ind w:firstLine="472" w:firstLineChars="196"/>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0979939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bookmarkStart w:id="9" w:name="OLE_LINK20"/>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主材到现场后，由甲方对其进行验收，确认材料的产地、规格、数量。</w:t>
      </w:r>
    </w:p>
    <w:p w14:paraId="3280492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乙方工程完工后，进行自检，合格后准备验收文件，并书面通知甲方。</w:t>
      </w:r>
    </w:p>
    <w:p w14:paraId="632299C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甲方确认乙方的自检内容，验收合格作为工程的最终认可。</w:t>
      </w:r>
    </w:p>
    <w:p w14:paraId="3FF57094">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6CAC13CA">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6E9689E0">
      <w:pPr>
        <w:autoSpaceDE w:val="0"/>
        <w:autoSpaceDN w:val="0"/>
        <w:adjustRightInd w:val="0"/>
        <w:spacing w:line="360" w:lineRule="auto"/>
        <w:ind w:firstLine="470" w:firstLineChars="196"/>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bookmarkEnd w:id="9"/>
    <w:p w14:paraId="0A355023">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w:t>
      </w:r>
      <w:bookmarkStart w:id="10" w:name="OLE_LINK22"/>
      <w:r>
        <w:rPr>
          <w:rFonts w:hint="eastAsia" w:ascii="仿宋" w:hAnsi="仿宋" w:eastAsia="仿宋" w:cs="仿宋"/>
          <w:b/>
          <w:color w:val="auto"/>
          <w:sz w:val="24"/>
          <w:szCs w:val="24"/>
          <w:highlight w:val="none"/>
        </w:rPr>
        <w:t>决方</w:t>
      </w:r>
      <w:bookmarkEnd w:id="10"/>
      <w:r>
        <w:rPr>
          <w:rFonts w:hint="eastAsia" w:ascii="仿宋" w:hAnsi="仿宋" w:eastAsia="仿宋" w:cs="仿宋"/>
          <w:b/>
          <w:color w:val="auto"/>
          <w:sz w:val="24"/>
          <w:szCs w:val="24"/>
          <w:highlight w:val="none"/>
        </w:rPr>
        <w:t>式</w:t>
      </w:r>
    </w:p>
    <w:p w14:paraId="1F579417">
      <w:pPr>
        <w:spacing w:line="360" w:lineRule="auto"/>
        <w:ind w:firstLine="480" w:firstLineChars="200"/>
        <w:rPr>
          <w:rFonts w:hint="eastAsia" w:ascii="仿宋" w:hAnsi="仿宋" w:eastAsia="仿宋" w:cs="仿宋"/>
          <w:color w:val="auto"/>
          <w:sz w:val="24"/>
          <w:szCs w:val="24"/>
          <w:highlight w:val="none"/>
        </w:rPr>
      </w:pPr>
      <w:bookmarkStart w:id="11" w:name="OLE_LINK21"/>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bookmarkEnd w:id="11"/>
    <w:p w14:paraId="4DEF381D">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4F17DB5B">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062B5385">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w:t>
      </w:r>
      <w:bookmarkStart w:id="12" w:name="OLE_LINK23"/>
      <w:r>
        <w:rPr>
          <w:rFonts w:hint="eastAsia" w:ascii="仿宋" w:hAnsi="仿宋" w:eastAsia="仿宋" w:cs="仿宋"/>
          <w:b/>
          <w:color w:val="auto"/>
          <w:sz w:val="24"/>
          <w:szCs w:val="24"/>
          <w:highlight w:val="none"/>
        </w:rPr>
        <w:t>、附则</w:t>
      </w:r>
      <w:bookmarkEnd w:id="12"/>
    </w:p>
    <w:p w14:paraId="0E235FAF">
      <w:pPr>
        <w:tabs>
          <w:tab w:val="left" w:pos="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（一）本合同一式份，甲、乙方各执份。</w:t>
      </w:r>
    </w:p>
    <w:p w14:paraId="72889929">
      <w:pPr>
        <w:spacing w:line="360" w:lineRule="auto"/>
        <w:ind w:firstLine="480" w:firstLineChars="2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6"/>
        <w:tblW w:w="8403" w:type="dxa"/>
        <w:jc w:val="center"/>
        <w:tblLayout w:type="fixed"/>
        <w:tblCellMar>
          <w:top w:w="0" w:type="dxa"/>
          <w:left w:w="108" w:type="dxa"/>
          <w:bottom w:w="0" w:type="dxa"/>
          <w:right w:w="108" w:type="dxa"/>
        </w:tblCellMar>
      </w:tblPr>
      <w:tblGrid>
        <w:gridCol w:w="4201"/>
        <w:gridCol w:w="4202"/>
      </w:tblGrid>
      <w:tr w14:paraId="6FF7F626">
        <w:tblPrEx>
          <w:tblCellMar>
            <w:top w:w="0" w:type="dxa"/>
            <w:left w:w="108" w:type="dxa"/>
            <w:bottom w:w="0" w:type="dxa"/>
            <w:right w:w="108" w:type="dxa"/>
          </w:tblCellMar>
        </w:tblPrEx>
        <w:trPr>
          <w:trHeight w:val="567" w:hRule="exact"/>
          <w:jc w:val="center"/>
        </w:trPr>
        <w:tc>
          <w:tcPr>
            <w:tcW w:w="4201" w:type="dxa"/>
            <w:noWrap/>
            <w:vAlign w:val="center"/>
          </w:tcPr>
          <w:p w14:paraId="73D79ED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甲方</w:t>
            </w:r>
          </w:p>
        </w:tc>
        <w:tc>
          <w:tcPr>
            <w:tcW w:w="4202" w:type="dxa"/>
            <w:noWrap/>
            <w:vAlign w:val="center"/>
          </w:tcPr>
          <w:p w14:paraId="1C04C08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乙方</w:t>
            </w:r>
          </w:p>
        </w:tc>
      </w:tr>
      <w:tr w14:paraId="22D8F04A">
        <w:tblPrEx>
          <w:tblCellMar>
            <w:top w:w="0" w:type="dxa"/>
            <w:left w:w="108" w:type="dxa"/>
            <w:bottom w:w="0" w:type="dxa"/>
            <w:right w:w="108" w:type="dxa"/>
          </w:tblCellMar>
        </w:tblPrEx>
        <w:trPr>
          <w:trHeight w:val="567" w:hRule="exact"/>
          <w:jc w:val="center"/>
        </w:trPr>
        <w:tc>
          <w:tcPr>
            <w:tcW w:w="4201" w:type="dxa"/>
            <w:noWrap/>
            <w:vAlign w:val="center"/>
          </w:tcPr>
          <w:p w14:paraId="2E8C807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2AFFACD2">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6E5775DE">
        <w:tblPrEx>
          <w:tblCellMar>
            <w:top w:w="0" w:type="dxa"/>
            <w:left w:w="108" w:type="dxa"/>
            <w:bottom w:w="0" w:type="dxa"/>
            <w:right w:w="108" w:type="dxa"/>
          </w:tblCellMar>
        </w:tblPrEx>
        <w:trPr>
          <w:trHeight w:val="567" w:hRule="exact"/>
          <w:jc w:val="center"/>
        </w:trPr>
        <w:tc>
          <w:tcPr>
            <w:tcW w:w="4201" w:type="dxa"/>
            <w:noWrap/>
            <w:vAlign w:val="center"/>
          </w:tcPr>
          <w:p w14:paraId="592FD6EB">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地址：</w:t>
            </w:r>
          </w:p>
        </w:tc>
        <w:tc>
          <w:tcPr>
            <w:tcW w:w="4202" w:type="dxa"/>
            <w:noWrap/>
            <w:vAlign w:val="center"/>
          </w:tcPr>
          <w:p w14:paraId="123DE2D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78476C68">
        <w:tblPrEx>
          <w:tblCellMar>
            <w:top w:w="0" w:type="dxa"/>
            <w:left w:w="108" w:type="dxa"/>
            <w:bottom w:w="0" w:type="dxa"/>
            <w:right w:w="108" w:type="dxa"/>
          </w:tblCellMar>
        </w:tblPrEx>
        <w:trPr>
          <w:trHeight w:val="567" w:hRule="exact"/>
          <w:jc w:val="center"/>
        </w:trPr>
        <w:tc>
          <w:tcPr>
            <w:tcW w:w="4201" w:type="dxa"/>
            <w:noWrap/>
            <w:vAlign w:val="center"/>
          </w:tcPr>
          <w:p w14:paraId="2792F230">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6889FD94">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4185CED0">
        <w:tblPrEx>
          <w:tblCellMar>
            <w:top w:w="0" w:type="dxa"/>
            <w:left w:w="108" w:type="dxa"/>
            <w:bottom w:w="0" w:type="dxa"/>
            <w:right w:w="108" w:type="dxa"/>
          </w:tblCellMar>
        </w:tblPrEx>
        <w:trPr>
          <w:trHeight w:val="567" w:hRule="exact"/>
          <w:jc w:val="center"/>
        </w:trPr>
        <w:tc>
          <w:tcPr>
            <w:tcW w:w="4201" w:type="dxa"/>
            <w:noWrap/>
            <w:vAlign w:val="center"/>
          </w:tcPr>
          <w:p w14:paraId="3BCEBF7F">
            <w:pPr>
              <w:autoSpaceDE w:val="0"/>
              <w:autoSpaceDN w:val="0"/>
              <w:adjustRightInd w:val="0"/>
              <w:spacing w:line="480" w:lineRule="auto"/>
              <w:rPr>
                <w:rFonts w:hint="eastAsia" w:ascii="仿宋" w:hAnsi="仿宋" w:eastAsia="仿宋" w:cs="仿宋"/>
                <w:color w:val="auto"/>
                <w:spacing w:val="-20"/>
                <w:kern w:val="0"/>
                <w:sz w:val="24"/>
                <w:szCs w:val="24"/>
                <w:highlight w:val="none"/>
                <w:lang w:eastAsia="zh-CN"/>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c>
          <w:tcPr>
            <w:tcW w:w="4202" w:type="dxa"/>
            <w:noWrap/>
            <w:vAlign w:val="center"/>
          </w:tcPr>
          <w:p w14:paraId="66BE75D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4F56A4A6">
        <w:tblPrEx>
          <w:tblCellMar>
            <w:top w:w="0" w:type="dxa"/>
            <w:left w:w="108" w:type="dxa"/>
            <w:bottom w:w="0" w:type="dxa"/>
            <w:right w:w="108" w:type="dxa"/>
          </w:tblCellMar>
        </w:tblPrEx>
        <w:trPr>
          <w:trHeight w:val="567" w:hRule="exact"/>
          <w:jc w:val="center"/>
        </w:trPr>
        <w:tc>
          <w:tcPr>
            <w:tcW w:w="4201" w:type="dxa"/>
            <w:noWrap/>
            <w:vAlign w:val="center"/>
          </w:tcPr>
          <w:p w14:paraId="10215A2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c>
          <w:tcPr>
            <w:tcW w:w="4202" w:type="dxa"/>
            <w:noWrap/>
            <w:vAlign w:val="center"/>
          </w:tcPr>
          <w:p w14:paraId="7882BE7B">
            <w:pPr>
              <w:autoSpaceDE w:val="0"/>
              <w:autoSpaceDN w:val="0"/>
              <w:adjustRightInd w:val="0"/>
              <w:spacing w:line="480" w:lineRule="auto"/>
              <w:ind w:left="600" w:hanging="600" w:hangingChars="300"/>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电话：</w:t>
            </w:r>
          </w:p>
        </w:tc>
      </w:tr>
      <w:tr w14:paraId="00758AAB">
        <w:tblPrEx>
          <w:tblCellMar>
            <w:top w:w="0" w:type="dxa"/>
            <w:left w:w="108" w:type="dxa"/>
            <w:bottom w:w="0" w:type="dxa"/>
            <w:right w:w="108" w:type="dxa"/>
          </w:tblCellMar>
        </w:tblPrEx>
        <w:trPr>
          <w:trHeight w:val="567" w:hRule="exact"/>
          <w:jc w:val="center"/>
        </w:trPr>
        <w:tc>
          <w:tcPr>
            <w:tcW w:w="4201" w:type="dxa"/>
            <w:noWrap/>
            <w:vAlign w:val="center"/>
          </w:tcPr>
          <w:p w14:paraId="01DBB3F6">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c>
          <w:tcPr>
            <w:tcW w:w="4202" w:type="dxa"/>
            <w:noWrap/>
            <w:vAlign w:val="center"/>
          </w:tcPr>
          <w:p w14:paraId="7CFD0DEE">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传真：</w:t>
            </w:r>
          </w:p>
        </w:tc>
      </w:tr>
      <w:tr w14:paraId="3EE57B27">
        <w:tblPrEx>
          <w:tblCellMar>
            <w:top w:w="0" w:type="dxa"/>
            <w:left w:w="108" w:type="dxa"/>
            <w:bottom w:w="0" w:type="dxa"/>
            <w:right w:w="108" w:type="dxa"/>
          </w:tblCellMar>
        </w:tblPrEx>
        <w:trPr>
          <w:trHeight w:val="567" w:hRule="exact"/>
          <w:jc w:val="center"/>
        </w:trPr>
        <w:tc>
          <w:tcPr>
            <w:tcW w:w="4201" w:type="dxa"/>
            <w:noWrap/>
            <w:vAlign w:val="center"/>
          </w:tcPr>
          <w:p w14:paraId="52D86B23">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c>
          <w:tcPr>
            <w:tcW w:w="4202" w:type="dxa"/>
            <w:noWrap/>
            <w:vAlign w:val="center"/>
          </w:tcPr>
          <w:p w14:paraId="265C6C38">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开户银行：</w:t>
            </w:r>
          </w:p>
        </w:tc>
      </w:tr>
      <w:tr w14:paraId="45EF2968">
        <w:tblPrEx>
          <w:tblCellMar>
            <w:top w:w="0" w:type="dxa"/>
            <w:left w:w="108" w:type="dxa"/>
            <w:bottom w:w="0" w:type="dxa"/>
            <w:right w:w="108" w:type="dxa"/>
          </w:tblCellMar>
        </w:tblPrEx>
        <w:trPr>
          <w:trHeight w:val="567" w:hRule="exact"/>
          <w:jc w:val="center"/>
        </w:trPr>
        <w:tc>
          <w:tcPr>
            <w:tcW w:w="4201" w:type="dxa"/>
            <w:noWrap/>
            <w:vAlign w:val="center"/>
          </w:tcPr>
          <w:p w14:paraId="27FBE6D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21E585B7">
            <w:pPr>
              <w:autoSpaceDE w:val="0"/>
              <w:autoSpaceDN w:val="0"/>
              <w:adjustRightInd w:val="0"/>
              <w:spacing w:line="480" w:lineRule="auto"/>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543B88C5">
      <w:pPr>
        <w:pStyle w:val="3"/>
        <w:rPr>
          <w:rFonts w:hint="eastAsia" w:ascii="仿宋" w:hAnsi="仿宋" w:eastAsia="仿宋" w:cs="仿宋"/>
          <w:color w:val="auto"/>
          <w:sz w:val="24"/>
          <w:szCs w:val="24"/>
          <w:highlight w:val="none"/>
        </w:rPr>
      </w:pPr>
    </w:p>
    <w:p w14:paraId="50B9B922">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2ED975E1">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附</w:t>
      </w:r>
      <w:bookmarkStart w:id="13" w:name="_Toc296891266"/>
      <w:bookmarkStart w:id="14" w:name="_Toc296503226"/>
      <w:bookmarkStart w:id="15" w:name="_Toc296347225"/>
      <w:bookmarkStart w:id="16" w:name="_Toc267261693"/>
      <w:bookmarkStart w:id="17" w:name="_Toc296944565"/>
      <w:bookmarkStart w:id="18" w:name="_Toc296891054"/>
      <w:bookmarkStart w:id="19" w:name="_Toc296346727"/>
      <w:r>
        <w:rPr>
          <w:rFonts w:hint="eastAsia" w:ascii="仿宋" w:hAnsi="仿宋" w:eastAsia="仿宋" w:cs="仿宋"/>
          <w:color w:val="auto"/>
          <w:sz w:val="24"/>
          <w:szCs w:val="24"/>
          <w:highlight w:val="none"/>
        </w:rPr>
        <w:t>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w:t>
      </w:r>
      <w:bookmarkEnd w:id="13"/>
      <w:bookmarkEnd w:id="14"/>
      <w:bookmarkEnd w:id="15"/>
      <w:bookmarkEnd w:id="16"/>
      <w:bookmarkEnd w:id="17"/>
      <w:bookmarkEnd w:id="18"/>
      <w:bookmarkEnd w:id="19"/>
    </w:p>
    <w:p w14:paraId="49536379">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jc w:val="center"/>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w:t>
      </w:r>
    </w:p>
    <w:p w14:paraId="340FD5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w:t>
      </w:r>
      <w:r>
        <w:rPr>
          <w:rFonts w:hint="eastAsia" w:ascii="仿宋" w:hAnsi="仿宋" w:eastAsia="仿宋" w:cs="仿宋"/>
          <w:bCs/>
          <w:color w:val="auto"/>
          <w:sz w:val="24"/>
          <w:szCs w:val="24"/>
          <w:highlight w:val="none"/>
        </w:rPr>
        <w:t>采购人</w:t>
      </w:r>
      <w:r>
        <w:rPr>
          <w:rFonts w:hint="eastAsia" w:ascii="仿宋" w:hAnsi="仿宋" w:eastAsia="仿宋" w:cs="仿宋"/>
          <w:color w:val="auto"/>
          <w:sz w:val="24"/>
          <w:szCs w:val="24"/>
          <w:highlight w:val="none"/>
        </w:rPr>
        <w:t>）：</w:t>
      </w:r>
      <w:r>
        <w:rPr>
          <w:rFonts w:hint="eastAsia" w:ascii="仿宋" w:hAnsi="仿宋" w:eastAsia="仿宋" w:cs="仿宋"/>
          <w:bCs/>
          <w:color w:val="auto"/>
          <w:sz w:val="24"/>
          <w:szCs w:val="24"/>
          <w:highlight w:val="none"/>
          <w:u w:val="single"/>
          <w:lang w:eastAsia="zh-CN"/>
        </w:rPr>
        <w:t>西安经开第七幼儿园</w:t>
      </w:r>
    </w:p>
    <w:p w14:paraId="626EDCC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　　承包人（</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p>
    <w:p w14:paraId="65322F22">
      <w:pPr>
        <w:keepNext w:val="0"/>
        <w:keepLines w:val="0"/>
        <w:pageBreakBefore w:val="0"/>
        <w:widowControl w:val="0"/>
        <w:kinsoku/>
        <w:wordWrap/>
        <w:overflowPunct/>
        <w:topLinePunct w:val="0"/>
        <w:autoSpaceDE/>
        <w:autoSpaceDN/>
        <w:bidi w:val="0"/>
        <w:adjustRightInd/>
        <w:snapToGrid/>
        <w:spacing w:line="440" w:lineRule="exact"/>
        <w:textAlignment w:val="auto"/>
        <w:outlineLvl w:val="9"/>
        <w:rPr>
          <w:rFonts w:hint="eastAsia" w:ascii="仿宋" w:hAnsi="仿宋" w:eastAsia="仿宋" w:cs="仿宋"/>
          <w:color w:val="auto"/>
          <w:sz w:val="24"/>
          <w:szCs w:val="24"/>
          <w:highlight w:val="none"/>
        </w:rPr>
      </w:pPr>
    </w:p>
    <w:p w14:paraId="409BE82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硬件设施提升项目</w:t>
      </w:r>
      <w:r>
        <w:rPr>
          <w:rFonts w:hint="eastAsia" w:ascii="仿宋" w:hAnsi="仿宋" w:eastAsia="仿宋" w:cs="仿宋"/>
          <w:color w:val="auto"/>
          <w:sz w:val="24"/>
          <w:szCs w:val="24"/>
          <w:highlight w:val="none"/>
        </w:rPr>
        <w:t>（工程全称）签订工程质量保修书。</w:t>
      </w:r>
    </w:p>
    <w:p w14:paraId="3DBF434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一、工程质量保修范围和内容</w:t>
      </w:r>
    </w:p>
    <w:p w14:paraId="12FB600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14:paraId="71BA3B1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1742B44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w:t>
      </w:r>
      <w:r>
        <w:rPr>
          <w:rFonts w:hint="eastAsia" w:ascii="仿宋" w:hAnsi="仿宋" w:eastAsia="仿宋" w:cs="仿宋"/>
          <w:color w:val="auto"/>
          <w:sz w:val="24"/>
          <w:szCs w:val="24"/>
          <w:highlight w:val="none"/>
        </w:rPr>
        <w:t>二、质量保修期</w:t>
      </w:r>
    </w:p>
    <w:p w14:paraId="7C6A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14:paraId="63103C88">
      <w:pPr>
        <w:keepNext w:val="0"/>
        <w:keepLines w:val="0"/>
        <w:pageBreakBefore w:val="0"/>
        <w:widowControl w:val="0"/>
        <w:kinsoku/>
        <w:wordWrap/>
        <w:overflowPunct/>
        <w:topLinePunct w:val="0"/>
        <w:autoSpaceDE/>
        <w:autoSpaceDN/>
        <w:bidi w:val="0"/>
        <w:adjustRightInd/>
        <w:snapToGrid/>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14:paraId="10379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2．屋面防水工程、有防水要求的卫生间、房间和外墙面的防渗为</w:t>
      </w:r>
      <w:r>
        <w:rPr>
          <w:rFonts w:hint="eastAsia" w:ascii="仿宋" w:hAnsi="仿宋" w:eastAsia="仿宋" w:cs="仿宋"/>
          <w:color w:val="auto"/>
          <w:sz w:val="24"/>
          <w:szCs w:val="24"/>
          <w:highlight w:val="none"/>
          <w:u w:val="single"/>
          <w:lang w:val="en-US" w:eastAsia="zh-CN"/>
        </w:rPr>
        <w:t>5</w:t>
      </w:r>
      <w:r>
        <w:rPr>
          <w:rFonts w:hint="eastAsia" w:ascii="仿宋" w:hAnsi="仿宋" w:eastAsia="仿宋" w:cs="仿宋"/>
          <w:color w:val="auto"/>
          <w:sz w:val="24"/>
          <w:szCs w:val="24"/>
          <w:highlight w:val="none"/>
        </w:rPr>
        <w:t>年；</w:t>
      </w:r>
    </w:p>
    <w:p w14:paraId="168DEC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185E2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3938AB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个采暖期、供冷期；</w:t>
      </w:r>
    </w:p>
    <w:p w14:paraId="2A3EFB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rPr>
        <w:t>年；</w:t>
      </w:r>
    </w:p>
    <w:p w14:paraId="65920C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14:paraId="651B294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0522929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14:paraId="34C0E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14:paraId="76352E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lang w:val="en-US" w:eastAsia="zh-CN"/>
        </w:rPr>
        <w:t>12</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14:paraId="396FF6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1F8AB3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四、质量保修责任</w:t>
      </w:r>
    </w:p>
    <w:p w14:paraId="028950F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14:paraId="13E7D68C">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w:t>
      </w:r>
      <w:bookmarkStart w:id="20" w:name="OLE_LINK11"/>
      <w:r>
        <w:rPr>
          <w:rFonts w:hint="eastAsia" w:ascii="仿宋" w:hAnsi="仿宋" w:eastAsia="仿宋" w:cs="仿宋"/>
          <w:color w:val="auto"/>
          <w:sz w:val="24"/>
          <w:szCs w:val="24"/>
          <w:highlight w:val="none"/>
        </w:rPr>
        <w:t>应</w:t>
      </w:r>
      <w:bookmarkEnd w:id="20"/>
      <w:r>
        <w:rPr>
          <w:rFonts w:hint="eastAsia" w:ascii="仿宋" w:hAnsi="仿宋" w:eastAsia="仿宋" w:cs="仿宋"/>
          <w:color w:val="auto"/>
          <w:sz w:val="24"/>
          <w:szCs w:val="24"/>
          <w:highlight w:val="none"/>
        </w:rPr>
        <w:t>当立即到达事故现场抢修。</w:t>
      </w:r>
    </w:p>
    <w:p w14:paraId="5E75065E">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052AE58">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14:paraId="0E55B5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五、保修费用</w:t>
      </w:r>
    </w:p>
    <w:p w14:paraId="2425C66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14:paraId="7AA4A7B6">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p>
    <w:p w14:paraId="7019056D">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2142D200">
      <w:pPr>
        <w:keepNext w:val="0"/>
        <w:keepLines w:val="0"/>
        <w:pageBreakBefore w:val="0"/>
        <w:widowControl w:val="0"/>
        <w:kinsoku/>
        <w:wordWrap/>
        <w:overflowPunct/>
        <w:topLinePunct w:val="0"/>
        <w:autoSpaceDE/>
        <w:autoSpaceDN/>
        <w:bidi w:val="0"/>
        <w:adjustRightInd/>
        <w:snapToGrid/>
        <w:spacing w:line="360" w:lineRule="auto"/>
        <w:ind w:firstLine="420"/>
        <w:textAlignment w:val="auto"/>
        <w:outlineLvl w:val="9"/>
        <w:rPr>
          <w:rFonts w:hint="eastAsia" w:ascii="仿宋" w:hAnsi="仿宋" w:eastAsia="仿宋" w:cs="仿宋"/>
          <w:color w:val="auto"/>
          <w:sz w:val="24"/>
          <w:szCs w:val="24"/>
          <w:highlight w:val="none"/>
        </w:rPr>
      </w:pPr>
    </w:p>
    <w:p w14:paraId="587C217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w:t>
      </w:r>
    </w:p>
    <w:p w14:paraId="223A67D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single"/>
        </w:rPr>
        <w:t></w:t>
      </w:r>
    </w:p>
    <w:p w14:paraId="56A4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w:t>
      </w:r>
    </w:p>
    <w:p w14:paraId="1E5D145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w:t>
      </w:r>
    </w:p>
    <w:p w14:paraId="23471B5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w:t>
      </w:r>
    </w:p>
    <w:p w14:paraId="7822EF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传真：</w:t>
      </w:r>
      <w:r>
        <w:rPr>
          <w:rFonts w:hint="eastAsia" w:ascii="仿宋" w:hAnsi="仿宋" w:eastAsia="仿宋" w:cs="仿宋"/>
          <w:color w:val="auto"/>
          <w:sz w:val="24"/>
          <w:szCs w:val="24"/>
          <w:highlight w:val="none"/>
          <w:u w:val="single"/>
        </w:rPr>
        <w:t></w:t>
      </w:r>
    </w:p>
    <w:p w14:paraId="04BE51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w:t>
      </w:r>
    </w:p>
    <w:p w14:paraId="6355CE4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w:t>
      </w:r>
    </w:p>
    <w:p w14:paraId="3CC90D09">
      <w:pPr>
        <w:pStyle w:val="8"/>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w:t>
      </w:r>
    </w:p>
    <w:p w14:paraId="659F07AC">
      <w:pPr>
        <w:pStyle w:val="8"/>
        <w:rPr>
          <w:rFonts w:hint="eastAsia" w:ascii="仿宋" w:hAnsi="仿宋" w:eastAsia="仿宋" w:cs="仿宋"/>
          <w:sz w:val="24"/>
          <w:szCs w:val="24"/>
          <w:lang w:val="en-US" w:eastAsia="zh-Hans"/>
        </w:rPr>
      </w:pPr>
    </w:p>
    <w:p w14:paraId="5F6B41FB">
      <w:pPr>
        <w:pStyle w:val="8"/>
        <w:rPr>
          <w:rFonts w:hint="eastAsia" w:ascii="仿宋" w:hAnsi="仿宋" w:eastAsia="仿宋" w:cs="仿宋"/>
          <w:sz w:val="24"/>
          <w:szCs w:val="24"/>
          <w:lang w:val="en-US" w:eastAsia="zh-Hans"/>
        </w:rPr>
      </w:pPr>
    </w:p>
    <w:p w14:paraId="4B6025DC">
      <w:pPr>
        <w:pStyle w:val="8"/>
        <w:rPr>
          <w:rFonts w:hint="eastAsia" w:ascii="仿宋" w:hAnsi="仿宋" w:eastAsia="仿宋" w:cs="仿宋"/>
          <w:sz w:val="24"/>
          <w:szCs w:val="24"/>
          <w:lang w:val="en-US" w:eastAsia="zh-Hans"/>
        </w:rPr>
      </w:pPr>
    </w:p>
    <w:p w14:paraId="3791996C">
      <w:pPr>
        <w:pStyle w:val="8"/>
        <w:rPr>
          <w:rFonts w:hint="eastAsia" w:ascii="仿宋" w:hAnsi="仿宋" w:eastAsia="仿宋" w:cs="仿宋"/>
          <w:sz w:val="24"/>
          <w:szCs w:val="24"/>
          <w:lang w:val="en-US" w:eastAsia="zh-Hans"/>
        </w:rPr>
      </w:pPr>
    </w:p>
    <w:p w14:paraId="788E78AA">
      <w:pPr>
        <w:pStyle w:val="8"/>
        <w:rPr>
          <w:rFonts w:hint="eastAsia" w:ascii="仿宋" w:hAnsi="仿宋" w:eastAsia="仿宋" w:cs="仿宋"/>
          <w:sz w:val="24"/>
          <w:szCs w:val="24"/>
          <w:lang w:val="en-US" w:eastAsia="zh-Hans"/>
        </w:rPr>
      </w:pPr>
    </w:p>
    <w:p w14:paraId="3B4B8E9C">
      <w:pPr>
        <w:pStyle w:val="8"/>
        <w:rPr>
          <w:rFonts w:hint="eastAsia" w:ascii="仿宋" w:hAnsi="仿宋" w:eastAsia="仿宋" w:cs="仿宋"/>
          <w:sz w:val="24"/>
          <w:szCs w:val="24"/>
          <w:lang w:val="en-US" w:eastAsia="zh-Hans"/>
        </w:rPr>
      </w:pPr>
    </w:p>
    <w:p w14:paraId="168CCA6D">
      <w:bookmarkStart w:id="21" w:name="_GoBack"/>
      <w:bookmarkEnd w:id="21"/>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C7E1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8A9A2B">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8A9A2B">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8D4C23"/>
    <w:rsid w:val="627C3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99"/>
    <w:pPr>
      <w:spacing w:line="360" w:lineRule="auto"/>
      <w:ind w:left="424" w:leftChars="202" w:firstLine="567"/>
    </w:pPr>
    <w:rPr>
      <w:sz w:val="24"/>
      <w:szCs w:val="24"/>
    </w:rPr>
  </w:style>
  <w:style w:type="paragraph" w:styleId="3">
    <w:name w:val="Plain Text"/>
    <w:basedOn w:val="1"/>
    <w:qFormat/>
    <w:uiPriority w:val="99"/>
    <w:rPr>
      <w:rFonts w:ascii="宋体" w:hAnsi="Courier New" w:cs="宋体"/>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2"/>
    <w:basedOn w:val="2"/>
    <w:next w:val="1"/>
    <w:unhideWhenUsed/>
    <w:qFormat/>
    <w:uiPriority w:val="0"/>
    <w:pPr>
      <w:spacing w:after="120"/>
      <w:ind w:left="420" w:leftChars="200" w:firstLine="420" w:firstLineChars="200"/>
    </w:pPr>
    <w:rPr>
      <w:sz w:val="24"/>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2026-05-18T10:13:02Z</dcterms:created>
  <dc:creator>PC</dc:creator>
  <cp:lastModifiedBy>doit</cp:lastModifiedBy>
  <dcterms:modified xsi:type="dcterms:W3CDTF">2026-05-18T10:13:06Z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D12171AB86F7487FABA84B1A07714B0B_12</vt:lpwstr>
  </property>
</Properties>
</file>