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1174E">
      <w:pPr>
        <w:jc w:val="center"/>
        <w:rPr>
          <w:rFonts w:hint="eastAsia" w:ascii="宋体" w:hAnsi="宋体"/>
          <w:b/>
          <w:bCs/>
          <w:sz w:val="36"/>
        </w:rPr>
      </w:pPr>
      <w:r>
        <w:rPr>
          <w:rFonts w:hint="eastAsia" w:ascii="宋体" w:hAnsi="宋体"/>
          <w:b/>
          <w:bCs/>
          <w:sz w:val="36"/>
        </w:rPr>
        <w:t>软件采购合同</w:t>
      </w:r>
    </w:p>
    <w:p w14:paraId="5A7616DE">
      <w:pPr>
        <w:jc w:val="center"/>
        <w:rPr>
          <w:rFonts w:ascii="宋体" w:hAnsi="宋体"/>
          <w:b/>
          <w:bCs/>
          <w:sz w:val="36"/>
        </w:rPr>
      </w:pPr>
    </w:p>
    <w:p w14:paraId="39B1B6EE">
      <w:pPr>
        <w:pStyle w:val="3"/>
        <w:spacing w:line="360" w:lineRule="auto"/>
        <w:ind w:firstLine="480"/>
        <w:rPr>
          <w:rFonts w:hint="eastAsia" w:ascii="宋体" w:hAnsi="宋体" w:cs="宋体"/>
          <w:sz w:val="24"/>
        </w:rPr>
      </w:pPr>
      <w:r>
        <w:rPr>
          <w:rFonts w:hint="eastAsia" w:ascii="宋体" w:hAnsi="宋体" w:cs="宋体"/>
          <w:sz w:val="24"/>
        </w:rPr>
        <w:t>甲    方： 西安医学院                    签订地点：西安医学院</w:t>
      </w:r>
    </w:p>
    <w:p w14:paraId="6E4233FE">
      <w:pPr>
        <w:pStyle w:val="3"/>
        <w:spacing w:line="360" w:lineRule="auto"/>
        <w:ind w:firstLine="480"/>
        <w:rPr>
          <w:rFonts w:hint="eastAsia" w:ascii="宋体" w:hAnsi="宋体" w:cs="宋体"/>
          <w:b/>
          <w:sz w:val="24"/>
        </w:rPr>
      </w:pPr>
      <w:r>
        <w:rPr>
          <w:rFonts w:hint="eastAsia" w:ascii="宋体" w:hAnsi="宋体" w:cs="宋体"/>
          <w:sz w:val="24"/>
        </w:rPr>
        <w:t>地    址：西安市未央区辛王路1号</w:t>
      </w:r>
    </w:p>
    <w:p w14:paraId="5AC24518">
      <w:pPr>
        <w:pStyle w:val="3"/>
        <w:spacing w:line="360" w:lineRule="auto"/>
        <w:ind w:firstLine="480"/>
        <w:rPr>
          <w:rFonts w:hint="eastAsia" w:ascii="宋体" w:hAnsi="宋体" w:cs="宋体"/>
          <w:sz w:val="24"/>
        </w:rPr>
      </w:pPr>
      <w:r>
        <w:rPr>
          <w:rFonts w:hint="eastAsia" w:ascii="宋体" w:hAnsi="宋体" w:cs="宋体"/>
          <w:sz w:val="24"/>
        </w:rPr>
        <w:t>联 系 人：</w:t>
      </w:r>
    </w:p>
    <w:p w14:paraId="4D61F75F">
      <w:pPr>
        <w:pStyle w:val="3"/>
        <w:spacing w:line="360" w:lineRule="auto"/>
        <w:ind w:firstLine="480"/>
        <w:rPr>
          <w:rFonts w:hint="eastAsia" w:ascii="宋体" w:hAnsi="宋体" w:cs="宋体"/>
          <w:sz w:val="24"/>
        </w:rPr>
      </w:pPr>
      <w:r>
        <w:rPr>
          <w:rFonts w:hint="eastAsia" w:ascii="宋体" w:hAnsi="宋体" w:cs="宋体"/>
          <w:sz w:val="24"/>
        </w:rPr>
        <w:t>电    话：</w:t>
      </w:r>
    </w:p>
    <w:p w14:paraId="63EC3A87">
      <w:pPr>
        <w:pStyle w:val="3"/>
        <w:spacing w:line="360" w:lineRule="auto"/>
        <w:ind w:firstLine="480"/>
        <w:rPr>
          <w:rFonts w:hint="eastAsia" w:ascii="宋体" w:hAnsi="宋体" w:cs="宋体"/>
          <w:sz w:val="24"/>
        </w:rPr>
      </w:pPr>
      <w:r>
        <w:rPr>
          <w:rFonts w:hint="eastAsia" w:ascii="宋体" w:hAnsi="宋体" w:cs="宋体"/>
          <w:sz w:val="24"/>
        </w:rPr>
        <w:t>电子邮件：</w:t>
      </w:r>
    </w:p>
    <w:p w14:paraId="173FB643">
      <w:pPr>
        <w:pStyle w:val="3"/>
        <w:spacing w:after="109" w:afterLines="35" w:line="360" w:lineRule="auto"/>
        <w:ind w:firstLine="480"/>
        <w:rPr>
          <w:rFonts w:hint="eastAsia" w:ascii="宋体" w:hAnsi="宋体" w:cs="宋体"/>
          <w:sz w:val="24"/>
        </w:rPr>
      </w:pPr>
    </w:p>
    <w:p w14:paraId="0459021A">
      <w:pPr>
        <w:spacing w:after="109" w:afterLines="35" w:line="360" w:lineRule="auto"/>
        <w:ind w:firstLine="480" w:firstLineChars="200"/>
        <w:rPr>
          <w:rFonts w:hint="eastAsia" w:ascii="宋体" w:hAnsi="宋体" w:cs="宋体"/>
          <w:sz w:val="24"/>
        </w:rPr>
      </w:pPr>
      <w:r>
        <w:rPr>
          <w:rFonts w:hint="eastAsia" w:ascii="宋体" w:hAnsi="宋体" w:cs="宋体"/>
          <w:sz w:val="24"/>
        </w:rPr>
        <w:t>乙    方：</w:t>
      </w:r>
    </w:p>
    <w:p w14:paraId="38CA03E1">
      <w:pPr>
        <w:pStyle w:val="3"/>
        <w:spacing w:after="109" w:afterLines="35" w:line="360" w:lineRule="auto"/>
        <w:ind w:firstLine="480"/>
        <w:rPr>
          <w:rFonts w:hint="eastAsia" w:ascii="宋体" w:hAnsi="宋体" w:cs="宋体"/>
          <w:sz w:val="24"/>
        </w:rPr>
      </w:pPr>
      <w:r>
        <w:rPr>
          <w:rFonts w:hint="eastAsia" w:ascii="宋体" w:hAnsi="宋体" w:cs="宋体"/>
          <w:sz w:val="24"/>
        </w:rPr>
        <w:t>地    址：</w:t>
      </w:r>
    </w:p>
    <w:p w14:paraId="06A057FB">
      <w:pPr>
        <w:pStyle w:val="3"/>
        <w:spacing w:after="109" w:afterLines="35" w:line="360" w:lineRule="auto"/>
        <w:ind w:firstLine="480"/>
        <w:rPr>
          <w:rFonts w:hint="eastAsia" w:ascii="宋体" w:hAnsi="宋体" w:cs="宋体"/>
          <w:sz w:val="24"/>
        </w:rPr>
      </w:pPr>
      <w:r>
        <w:rPr>
          <w:rFonts w:hint="eastAsia" w:ascii="宋体" w:hAnsi="宋体" w:cs="宋体"/>
          <w:sz w:val="24"/>
        </w:rPr>
        <w:t>联 系 人：</w:t>
      </w:r>
    </w:p>
    <w:p w14:paraId="23B78E1B">
      <w:pPr>
        <w:pStyle w:val="3"/>
        <w:spacing w:after="109" w:afterLines="35" w:line="360" w:lineRule="auto"/>
        <w:ind w:firstLine="480"/>
        <w:rPr>
          <w:rFonts w:hint="eastAsia" w:ascii="宋体" w:hAnsi="宋体" w:cs="宋体"/>
          <w:sz w:val="24"/>
        </w:rPr>
      </w:pPr>
      <w:r>
        <w:rPr>
          <w:rFonts w:hint="eastAsia" w:ascii="宋体" w:hAnsi="宋体" w:cs="宋体"/>
          <w:sz w:val="24"/>
        </w:rPr>
        <w:t>电    话：</w:t>
      </w:r>
    </w:p>
    <w:p w14:paraId="1BABED91">
      <w:pPr>
        <w:pStyle w:val="3"/>
        <w:spacing w:after="109" w:afterLines="35" w:line="360" w:lineRule="auto"/>
        <w:ind w:firstLine="480"/>
        <w:rPr>
          <w:rFonts w:hint="eastAsia" w:ascii="宋体" w:hAnsi="宋体" w:cs="宋体"/>
          <w:sz w:val="24"/>
        </w:rPr>
      </w:pPr>
      <w:r>
        <w:rPr>
          <w:rFonts w:hint="eastAsia" w:ascii="宋体" w:hAnsi="宋体" w:cs="宋体"/>
          <w:sz w:val="24"/>
        </w:rPr>
        <w:t>电子邮件：</w:t>
      </w:r>
    </w:p>
    <w:p w14:paraId="05E6DD3A">
      <w:pPr>
        <w:pStyle w:val="3"/>
        <w:spacing w:after="109" w:afterLines="35" w:line="360" w:lineRule="auto"/>
        <w:ind w:firstLine="480"/>
        <w:rPr>
          <w:rFonts w:hint="eastAsia" w:ascii="宋体" w:hAnsi="宋体" w:cs="宋体"/>
          <w:sz w:val="24"/>
        </w:rPr>
      </w:pPr>
    </w:p>
    <w:p w14:paraId="4F45D03D">
      <w:pPr>
        <w:spacing w:after="156" w:afterLines="50" w:line="360" w:lineRule="auto"/>
        <w:ind w:firstLine="480" w:firstLineChars="200"/>
        <w:rPr>
          <w:rFonts w:hint="eastAsia" w:ascii="宋体" w:hAnsi="宋体" w:cs="宋体"/>
          <w:sz w:val="24"/>
        </w:rPr>
      </w:pPr>
      <w:r>
        <w:rPr>
          <w:rFonts w:hint="eastAsia" w:ascii="宋体" w:hAnsi="宋体" w:cs="宋体"/>
          <w:sz w:val="24"/>
        </w:rPr>
        <w:t>鉴于甲方同意按照下述条款购买，乙方同意按照下述条款出售下列软件系统，仅限于</w:t>
      </w:r>
      <w:r>
        <w:rPr>
          <w:rStyle w:val="14"/>
          <w:rFonts w:hint="eastAsia" w:ascii="宋体" w:hAnsi="宋体" w:cs="宋体"/>
          <w:color w:val="auto"/>
          <w:sz w:val="24"/>
          <w:u w:val="single"/>
          <w:shd w:val="clear" w:color="auto" w:fill="FFFFFF"/>
        </w:rPr>
        <w:t xml:space="preserve">                  </w:t>
      </w:r>
      <w:r>
        <w:rPr>
          <w:rFonts w:hint="eastAsia" w:ascii="宋体" w:hAnsi="宋体" w:cs="宋体"/>
          <w:sz w:val="24"/>
        </w:rPr>
        <w:t>使用，甲乙双方特签订本合同。</w:t>
      </w:r>
    </w:p>
    <w:p w14:paraId="6917F097">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软件名称、型号、数量、金额：</w:t>
      </w:r>
    </w:p>
    <w:p w14:paraId="14704A5D">
      <w:pPr>
        <w:spacing w:before="156" w:beforeLines="50" w:line="360" w:lineRule="auto"/>
        <w:ind w:left="284"/>
        <w:rPr>
          <w:rFonts w:hint="eastAsia" w:ascii="宋体" w:hAnsi="宋体" w:cs="宋体"/>
          <w:bCs/>
          <w:sz w:val="24"/>
        </w:rPr>
      </w:pPr>
      <w:r>
        <w:rPr>
          <w:rFonts w:hint="eastAsia" w:ascii="宋体" w:hAnsi="宋体" w:cs="宋体"/>
          <w:bCs/>
          <w:sz w:val="24"/>
        </w:rPr>
        <w:t>具体功能参见附件1：《科研创新服务平台功能清单》</w:t>
      </w:r>
    </w:p>
    <w:tbl>
      <w:tblPr>
        <w:tblStyle w:val="11"/>
        <w:tblW w:w="0" w:type="auto"/>
        <w:tblInd w:w="0" w:type="dxa"/>
        <w:tblLayout w:type="fixed"/>
        <w:tblCellMar>
          <w:top w:w="0" w:type="dxa"/>
          <w:left w:w="0" w:type="dxa"/>
          <w:bottom w:w="0" w:type="dxa"/>
          <w:right w:w="0" w:type="dxa"/>
        </w:tblCellMar>
      </w:tblPr>
      <w:tblGrid>
        <w:gridCol w:w="2164"/>
        <w:gridCol w:w="714"/>
        <w:gridCol w:w="1190"/>
        <w:gridCol w:w="744"/>
        <w:gridCol w:w="745"/>
        <w:gridCol w:w="1721"/>
        <w:gridCol w:w="1768"/>
        <w:gridCol w:w="14"/>
      </w:tblGrid>
      <w:tr w14:paraId="1AFCA9B8">
        <w:tblPrEx>
          <w:tblCellMar>
            <w:top w:w="0" w:type="dxa"/>
            <w:left w:w="0" w:type="dxa"/>
            <w:bottom w:w="0" w:type="dxa"/>
            <w:right w:w="0" w:type="dxa"/>
          </w:tblCellMar>
        </w:tblPrEx>
        <w:trPr>
          <w:gridAfter w:val="1"/>
          <w:wBefore w:w="0" w:type="auto"/>
          <w:wAfter w:w="14" w:type="dxa"/>
          <w:trHeight w:val="548" w:hRule="atLeast"/>
        </w:trPr>
        <w:tc>
          <w:tcPr>
            <w:tcW w:w="2164"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14:paraId="4F9A86CE">
            <w:pPr>
              <w:spacing w:line="360" w:lineRule="auto"/>
              <w:jc w:val="center"/>
              <w:rPr>
                <w:rFonts w:hint="eastAsia" w:ascii="宋体" w:hAnsi="宋体" w:cs="宋体"/>
                <w:b/>
                <w:sz w:val="24"/>
              </w:rPr>
            </w:pPr>
            <w:r>
              <w:rPr>
                <w:rFonts w:hint="eastAsia" w:ascii="宋体" w:hAnsi="宋体" w:cs="宋体"/>
                <w:b/>
                <w:sz w:val="24"/>
              </w:rPr>
              <w:t>名称</w:t>
            </w:r>
          </w:p>
        </w:tc>
        <w:tc>
          <w:tcPr>
            <w:tcW w:w="71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5B06179B">
            <w:pPr>
              <w:spacing w:line="360" w:lineRule="auto"/>
              <w:jc w:val="center"/>
              <w:rPr>
                <w:rFonts w:hint="eastAsia" w:ascii="宋体" w:hAnsi="宋体" w:cs="宋体"/>
                <w:b/>
                <w:sz w:val="24"/>
              </w:rPr>
            </w:pPr>
            <w:r>
              <w:rPr>
                <w:rFonts w:hint="eastAsia" w:ascii="宋体" w:hAnsi="宋体" w:cs="宋体"/>
                <w:b/>
                <w:sz w:val="24"/>
              </w:rPr>
              <w:t>型号</w:t>
            </w:r>
          </w:p>
        </w:tc>
        <w:tc>
          <w:tcPr>
            <w:tcW w:w="1190"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0869C910">
            <w:pPr>
              <w:spacing w:line="360" w:lineRule="auto"/>
              <w:jc w:val="center"/>
              <w:rPr>
                <w:rFonts w:hint="eastAsia" w:ascii="宋体" w:hAnsi="宋体" w:cs="宋体"/>
                <w:b/>
                <w:sz w:val="24"/>
              </w:rPr>
            </w:pPr>
            <w:r>
              <w:rPr>
                <w:rFonts w:hint="eastAsia" w:ascii="宋体" w:hAnsi="宋体" w:cs="宋体"/>
                <w:b/>
                <w:sz w:val="24"/>
              </w:rPr>
              <w:t>品牌</w:t>
            </w:r>
          </w:p>
        </w:tc>
        <w:tc>
          <w:tcPr>
            <w:tcW w:w="744"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17B9FCC1">
            <w:pPr>
              <w:spacing w:line="360" w:lineRule="auto"/>
              <w:jc w:val="center"/>
              <w:rPr>
                <w:rFonts w:hint="eastAsia" w:ascii="宋体" w:hAnsi="宋体" w:cs="宋体"/>
                <w:b/>
                <w:sz w:val="24"/>
              </w:rPr>
            </w:pPr>
            <w:r>
              <w:rPr>
                <w:rFonts w:hint="eastAsia" w:ascii="宋体" w:hAnsi="宋体" w:cs="宋体"/>
                <w:b/>
                <w:sz w:val="24"/>
              </w:rPr>
              <w:t>单位</w:t>
            </w:r>
          </w:p>
        </w:tc>
        <w:tc>
          <w:tcPr>
            <w:tcW w:w="74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DCFF90F">
            <w:pPr>
              <w:spacing w:line="360" w:lineRule="auto"/>
              <w:jc w:val="center"/>
              <w:rPr>
                <w:rFonts w:hint="eastAsia" w:ascii="宋体" w:hAnsi="宋体" w:cs="宋体"/>
                <w:b/>
                <w:sz w:val="24"/>
              </w:rPr>
            </w:pPr>
            <w:r>
              <w:rPr>
                <w:rFonts w:hint="eastAsia" w:ascii="宋体" w:hAnsi="宋体" w:cs="宋体"/>
                <w:b/>
                <w:sz w:val="24"/>
              </w:rPr>
              <w:t>数量</w:t>
            </w:r>
          </w:p>
        </w:tc>
        <w:tc>
          <w:tcPr>
            <w:tcW w:w="1721"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3169FF04">
            <w:pPr>
              <w:spacing w:line="360" w:lineRule="auto"/>
              <w:jc w:val="center"/>
              <w:rPr>
                <w:rFonts w:hint="eastAsia" w:ascii="宋体" w:hAnsi="宋体" w:cs="宋体"/>
                <w:b/>
                <w:sz w:val="24"/>
              </w:rPr>
            </w:pPr>
            <w:r>
              <w:rPr>
                <w:rFonts w:hint="eastAsia" w:ascii="宋体" w:hAnsi="宋体" w:cs="宋体"/>
                <w:b/>
                <w:sz w:val="24"/>
              </w:rPr>
              <w:t>单价（元）</w:t>
            </w:r>
          </w:p>
        </w:tc>
        <w:tc>
          <w:tcPr>
            <w:tcW w:w="1768"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14:paraId="47871831">
            <w:pPr>
              <w:spacing w:line="360" w:lineRule="auto"/>
              <w:jc w:val="center"/>
              <w:rPr>
                <w:rFonts w:hint="eastAsia" w:ascii="宋体" w:hAnsi="宋体" w:cs="宋体"/>
                <w:b/>
                <w:sz w:val="24"/>
              </w:rPr>
            </w:pPr>
            <w:r>
              <w:rPr>
                <w:rFonts w:hint="eastAsia" w:ascii="宋体" w:hAnsi="宋体" w:cs="宋体"/>
                <w:b/>
                <w:sz w:val="24"/>
              </w:rPr>
              <w:t>小计（元）</w:t>
            </w:r>
          </w:p>
        </w:tc>
      </w:tr>
      <w:tr w14:paraId="76262F11">
        <w:tblPrEx>
          <w:tblCellMar>
            <w:top w:w="0" w:type="dxa"/>
            <w:left w:w="0" w:type="dxa"/>
            <w:bottom w:w="0" w:type="dxa"/>
            <w:right w:w="0" w:type="dxa"/>
          </w:tblCellMar>
        </w:tblPrEx>
        <w:trPr>
          <w:gridAfter w:val="1"/>
          <w:wBefore w:w="0" w:type="auto"/>
          <w:wAfter w:w="14" w:type="dxa"/>
          <w:trHeight w:val="619" w:hRule="atLeast"/>
        </w:trPr>
        <w:tc>
          <w:tcPr>
            <w:tcW w:w="2164" w:type="dxa"/>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center"/>
          </w:tcPr>
          <w:p w14:paraId="330572E5">
            <w:pPr>
              <w:spacing w:line="360" w:lineRule="auto"/>
              <w:jc w:val="center"/>
              <w:rPr>
                <w:rFonts w:hint="eastAsia" w:ascii="宋体" w:hAnsi="宋体" w:cs="宋体"/>
                <w:sz w:val="24"/>
              </w:rPr>
            </w:pPr>
          </w:p>
        </w:tc>
        <w:tc>
          <w:tcPr>
            <w:tcW w:w="714" w:type="dxa"/>
            <w:tcBorders>
              <w:top w:val="nil"/>
              <w:left w:val="nil"/>
              <w:bottom w:val="single" w:color="auto" w:sz="4" w:space="0"/>
              <w:right w:val="single" w:color="auto" w:sz="8" w:space="0"/>
            </w:tcBorders>
            <w:noWrap w:val="0"/>
            <w:tcMar>
              <w:top w:w="0" w:type="dxa"/>
              <w:left w:w="108" w:type="dxa"/>
              <w:bottom w:w="0" w:type="dxa"/>
              <w:right w:w="108" w:type="dxa"/>
            </w:tcMar>
            <w:vAlign w:val="center"/>
          </w:tcPr>
          <w:p w14:paraId="05BC95AC">
            <w:pPr>
              <w:spacing w:line="360" w:lineRule="auto"/>
              <w:jc w:val="center"/>
              <w:rPr>
                <w:rFonts w:hint="eastAsia" w:ascii="宋体" w:hAnsi="宋体" w:cs="宋体"/>
                <w:sz w:val="24"/>
              </w:rPr>
            </w:pPr>
          </w:p>
        </w:tc>
        <w:tc>
          <w:tcPr>
            <w:tcW w:w="1190" w:type="dxa"/>
            <w:tcBorders>
              <w:top w:val="nil"/>
              <w:left w:val="nil"/>
              <w:bottom w:val="single" w:color="auto" w:sz="4" w:space="0"/>
              <w:right w:val="single" w:color="auto" w:sz="8" w:space="0"/>
            </w:tcBorders>
            <w:noWrap w:val="0"/>
            <w:tcMar>
              <w:top w:w="0" w:type="dxa"/>
              <w:left w:w="108" w:type="dxa"/>
              <w:bottom w:w="0" w:type="dxa"/>
              <w:right w:w="108" w:type="dxa"/>
            </w:tcMar>
            <w:vAlign w:val="center"/>
          </w:tcPr>
          <w:p w14:paraId="63F10D4C">
            <w:pPr>
              <w:spacing w:line="360" w:lineRule="auto"/>
              <w:jc w:val="center"/>
              <w:rPr>
                <w:rFonts w:hint="eastAsia" w:ascii="宋体" w:hAnsi="宋体" w:cs="宋体"/>
                <w:sz w:val="24"/>
              </w:rPr>
            </w:pPr>
          </w:p>
        </w:tc>
        <w:tc>
          <w:tcPr>
            <w:tcW w:w="744" w:type="dxa"/>
            <w:tcBorders>
              <w:top w:val="nil"/>
              <w:left w:val="nil"/>
              <w:bottom w:val="single" w:color="auto" w:sz="4" w:space="0"/>
              <w:right w:val="single" w:color="auto" w:sz="8" w:space="0"/>
            </w:tcBorders>
            <w:noWrap w:val="0"/>
            <w:tcMar>
              <w:top w:w="0" w:type="dxa"/>
              <w:left w:w="108" w:type="dxa"/>
              <w:bottom w:w="0" w:type="dxa"/>
              <w:right w:w="108" w:type="dxa"/>
            </w:tcMar>
            <w:vAlign w:val="center"/>
          </w:tcPr>
          <w:p w14:paraId="67BE1B88">
            <w:pPr>
              <w:spacing w:line="360" w:lineRule="auto"/>
              <w:jc w:val="center"/>
              <w:rPr>
                <w:rFonts w:hint="eastAsia" w:ascii="宋体" w:hAnsi="宋体" w:cs="宋体"/>
                <w:sz w:val="24"/>
              </w:rPr>
            </w:pPr>
          </w:p>
        </w:tc>
        <w:tc>
          <w:tcPr>
            <w:tcW w:w="745" w:type="dxa"/>
            <w:tcBorders>
              <w:top w:val="nil"/>
              <w:left w:val="nil"/>
              <w:bottom w:val="single" w:color="auto" w:sz="4" w:space="0"/>
              <w:right w:val="single" w:color="auto" w:sz="8" w:space="0"/>
            </w:tcBorders>
            <w:noWrap w:val="0"/>
            <w:tcMar>
              <w:top w:w="0" w:type="dxa"/>
              <w:left w:w="108" w:type="dxa"/>
              <w:bottom w:w="0" w:type="dxa"/>
              <w:right w:w="108" w:type="dxa"/>
            </w:tcMar>
            <w:vAlign w:val="center"/>
          </w:tcPr>
          <w:p w14:paraId="1E0E7007">
            <w:pPr>
              <w:spacing w:line="360" w:lineRule="auto"/>
              <w:jc w:val="center"/>
              <w:rPr>
                <w:rFonts w:hint="eastAsia" w:ascii="宋体" w:hAnsi="宋体" w:cs="宋体"/>
                <w:sz w:val="24"/>
              </w:rPr>
            </w:pPr>
          </w:p>
        </w:tc>
        <w:tc>
          <w:tcPr>
            <w:tcW w:w="1721" w:type="dxa"/>
            <w:tcBorders>
              <w:top w:val="nil"/>
              <w:left w:val="nil"/>
              <w:bottom w:val="single" w:color="auto" w:sz="4" w:space="0"/>
              <w:right w:val="single" w:color="auto" w:sz="8" w:space="0"/>
            </w:tcBorders>
            <w:noWrap w:val="0"/>
            <w:tcMar>
              <w:top w:w="0" w:type="dxa"/>
              <w:left w:w="108" w:type="dxa"/>
              <w:bottom w:w="0" w:type="dxa"/>
              <w:right w:w="108" w:type="dxa"/>
            </w:tcMar>
            <w:vAlign w:val="center"/>
          </w:tcPr>
          <w:p w14:paraId="7CD6FB3F">
            <w:pPr>
              <w:spacing w:line="360" w:lineRule="auto"/>
              <w:jc w:val="center"/>
              <w:rPr>
                <w:rFonts w:hint="eastAsia" w:ascii="宋体" w:hAnsi="宋体" w:cs="宋体"/>
                <w:sz w:val="24"/>
              </w:rPr>
            </w:pPr>
          </w:p>
        </w:tc>
        <w:tc>
          <w:tcPr>
            <w:tcW w:w="1768" w:type="dxa"/>
            <w:tcBorders>
              <w:top w:val="nil"/>
              <w:left w:val="nil"/>
              <w:bottom w:val="single" w:color="auto" w:sz="4" w:space="0"/>
              <w:right w:val="single" w:color="auto" w:sz="4" w:space="0"/>
            </w:tcBorders>
            <w:noWrap w:val="0"/>
            <w:tcMar>
              <w:top w:w="0" w:type="dxa"/>
              <w:left w:w="108" w:type="dxa"/>
              <w:bottom w:w="0" w:type="dxa"/>
              <w:right w:w="108" w:type="dxa"/>
            </w:tcMar>
            <w:vAlign w:val="center"/>
          </w:tcPr>
          <w:p w14:paraId="1ECE620F">
            <w:pPr>
              <w:spacing w:line="360" w:lineRule="auto"/>
              <w:jc w:val="center"/>
              <w:rPr>
                <w:rFonts w:hint="eastAsia" w:ascii="宋体" w:hAnsi="宋体" w:cs="宋体"/>
                <w:sz w:val="24"/>
              </w:rPr>
            </w:pPr>
          </w:p>
        </w:tc>
      </w:tr>
      <w:tr w14:paraId="60972EE4">
        <w:tblPrEx>
          <w:tblCellMar>
            <w:top w:w="0" w:type="dxa"/>
            <w:left w:w="0" w:type="dxa"/>
            <w:bottom w:w="0" w:type="dxa"/>
            <w:right w:w="0" w:type="dxa"/>
          </w:tblCellMar>
        </w:tblPrEx>
        <w:trPr>
          <w:wBefore w:w="0" w:type="auto"/>
          <w:wAfter w:w="0" w:type="auto"/>
          <w:trHeight w:val="381" w:hRule="atLeast"/>
        </w:trPr>
        <w:tc>
          <w:tcPr>
            <w:tcW w:w="2164"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6302A084">
            <w:pPr>
              <w:spacing w:line="360" w:lineRule="auto"/>
              <w:rPr>
                <w:rFonts w:hint="eastAsia" w:ascii="宋体" w:hAnsi="宋体" w:cs="宋体"/>
                <w:sz w:val="24"/>
              </w:rPr>
            </w:pPr>
            <w:r>
              <w:rPr>
                <w:rFonts w:hint="eastAsia" w:ascii="宋体" w:hAnsi="宋体" w:cs="宋体"/>
                <w:sz w:val="24"/>
              </w:rPr>
              <w:t>产品总价</w:t>
            </w:r>
          </w:p>
        </w:tc>
        <w:tc>
          <w:tcPr>
            <w:tcW w:w="5114" w:type="dxa"/>
            <w:gridSpan w:val="5"/>
            <w:tcBorders>
              <w:top w:val="single" w:color="auto" w:sz="4" w:space="0"/>
              <w:left w:val="single" w:color="auto" w:sz="4" w:space="0"/>
              <w:bottom w:val="single" w:color="auto" w:sz="4" w:space="0"/>
              <w:right w:val="single" w:color="auto" w:sz="4" w:space="0"/>
            </w:tcBorders>
            <w:noWrap w:val="0"/>
            <w:vAlign w:val="center"/>
          </w:tcPr>
          <w:p w14:paraId="1498C147">
            <w:pPr>
              <w:spacing w:line="360" w:lineRule="auto"/>
              <w:rPr>
                <w:rFonts w:hint="eastAsia" w:ascii="宋体" w:hAnsi="宋体" w:cs="宋体"/>
                <w:sz w:val="24"/>
              </w:rPr>
            </w:pPr>
            <w:r>
              <w:rPr>
                <w:rFonts w:hint="eastAsia" w:ascii="宋体" w:hAnsi="宋体" w:cs="宋体"/>
                <w:sz w:val="24"/>
              </w:rPr>
              <w:t>大写人民币：    万元整</w:t>
            </w:r>
          </w:p>
        </w:tc>
        <w:tc>
          <w:tcPr>
            <w:tcW w:w="1782"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7CFB161C">
            <w:pPr>
              <w:spacing w:line="360" w:lineRule="auto"/>
              <w:rPr>
                <w:rFonts w:hint="eastAsia" w:ascii="宋体" w:hAnsi="宋体" w:cs="宋体"/>
                <w:sz w:val="24"/>
              </w:rPr>
            </w:pPr>
            <w:r>
              <w:rPr>
                <w:rFonts w:hint="eastAsia" w:ascii="宋体" w:hAnsi="宋体" w:cs="宋体"/>
                <w:sz w:val="24"/>
              </w:rPr>
              <w:t>￥</w:t>
            </w:r>
          </w:p>
        </w:tc>
      </w:tr>
    </w:tbl>
    <w:p w14:paraId="572FC515">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软件原产地、制造厂商</w:t>
      </w:r>
    </w:p>
    <w:p w14:paraId="7C0DFA2C">
      <w:pPr>
        <w:spacing w:before="156" w:beforeLines="50" w:line="360" w:lineRule="auto"/>
        <w:ind w:left="450"/>
        <w:rPr>
          <w:rFonts w:ascii="宋体" w:hAnsi="宋体" w:cs="宋体"/>
          <w:sz w:val="24"/>
          <w:u w:val="single"/>
        </w:rPr>
      </w:pPr>
      <w:r>
        <w:rPr>
          <w:rFonts w:hint="eastAsia" w:ascii="宋体" w:hAnsi="宋体" w:cs="宋体"/>
          <w:bCs/>
          <w:sz w:val="24"/>
        </w:rPr>
        <w:t>原产地：</w:t>
      </w:r>
      <w:r>
        <w:rPr>
          <w:rFonts w:hint="eastAsia" w:ascii="宋体" w:hAnsi="宋体" w:cs="宋体"/>
          <w:bCs/>
          <w:sz w:val="24"/>
          <w:u w:val="single"/>
        </w:rPr>
        <w:t xml:space="preserve">         </w:t>
      </w:r>
      <w:r>
        <w:rPr>
          <w:rFonts w:hint="eastAsia" w:ascii="宋体" w:hAnsi="宋体" w:cs="宋体"/>
          <w:bCs/>
          <w:sz w:val="24"/>
        </w:rPr>
        <w:t xml:space="preserve"> 制造厂商：</w:t>
      </w:r>
      <w:r>
        <w:rPr>
          <w:rFonts w:hint="eastAsia" w:ascii="宋体" w:hAnsi="宋体" w:cs="宋体"/>
          <w:bCs/>
          <w:sz w:val="24"/>
          <w:u w:val="single"/>
        </w:rPr>
        <w:t xml:space="preserve">             </w:t>
      </w:r>
    </w:p>
    <w:p w14:paraId="3B64A7AA">
      <w:pPr>
        <w:spacing w:before="156" w:beforeLines="50" w:line="360" w:lineRule="auto"/>
        <w:ind w:left="450" w:firstLine="420"/>
        <w:rPr>
          <w:rFonts w:hint="eastAsia" w:ascii="宋体" w:hAnsi="宋体" w:cs="宋体"/>
          <w:sz w:val="24"/>
        </w:rPr>
      </w:pPr>
      <w:r>
        <w:rPr>
          <w:rFonts w:hint="eastAsia" w:ascii="宋体" w:hAnsi="宋体" w:cs="宋体"/>
          <w:sz w:val="24"/>
        </w:rPr>
        <w:t>乙方保证</w:t>
      </w:r>
      <w:r>
        <w:rPr>
          <w:rFonts w:hint="eastAsia" w:ascii="宋体" w:hAnsi="宋体" w:cs="宋体"/>
          <w:bCs/>
          <w:sz w:val="24"/>
        </w:rPr>
        <w:t>提供的产品是原厂生产的最新软件，销售及服务区域为中华人民共和国大陆</w:t>
      </w:r>
      <w:r>
        <w:rPr>
          <w:rFonts w:hint="eastAsia" w:ascii="宋体" w:hAnsi="宋体" w:cs="宋体"/>
          <w:sz w:val="24"/>
        </w:rPr>
        <w:t>地区。要求原厂软件、操作说明资料齐全，其性能指标，应符合本合同产品要求。</w:t>
      </w:r>
    </w:p>
    <w:p w14:paraId="25DB3EA3">
      <w:pPr>
        <w:numPr>
          <w:ilvl w:val="0"/>
          <w:numId w:val="1"/>
        </w:numPr>
        <w:spacing w:before="156" w:beforeLines="50" w:line="360" w:lineRule="auto"/>
        <w:rPr>
          <w:rFonts w:hint="eastAsia" w:ascii="宋体" w:hAnsi="宋体" w:cs="宋体"/>
          <w:sz w:val="24"/>
        </w:rPr>
      </w:pPr>
      <w:r>
        <w:rPr>
          <w:rFonts w:hint="eastAsia" w:ascii="宋体" w:hAnsi="宋体" w:cs="宋体"/>
          <w:b/>
          <w:sz w:val="24"/>
        </w:rPr>
        <w:t>软件交货：</w:t>
      </w:r>
    </w:p>
    <w:p w14:paraId="49A19891">
      <w:pPr>
        <w:spacing w:before="156" w:beforeLines="50" w:line="360" w:lineRule="auto"/>
        <w:ind w:left="450" w:firstLine="420"/>
        <w:rPr>
          <w:rFonts w:hint="eastAsia" w:ascii="宋体" w:hAnsi="宋体" w:cs="宋体"/>
          <w:sz w:val="24"/>
          <w:u w:val="single"/>
        </w:rPr>
      </w:pPr>
      <w:r>
        <w:rPr>
          <w:rFonts w:hint="eastAsia" w:ascii="宋体" w:hAnsi="宋体" w:cs="宋体"/>
          <w:sz w:val="24"/>
        </w:rPr>
        <w:t>软件交货时间：</w:t>
      </w:r>
      <w:r>
        <w:rPr>
          <w:rFonts w:hint="eastAsia" w:ascii="宋体" w:hAnsi="宋体" w:cs="宋体"/>
          <w:sz w:val="24"/>
          <w:u w:val="single"/>
        </w:rPr>
        <w:t xml:space="preserve"> 收到甲方准备工作（服务器、网络、操作系统、数据库系统）通知后，乙方派人安装部署系统，在180个工作日内完成系统安装部署、需求调研、二次开发、调试上线。</w:t>
      </w:r>
    </w:p>
    <w:p w14:paraId="5B9A5E00">
      <w:pPr>
        <w:spacing w:before="156" w:beforeLines="50" w:line="360" w:lineRule="auto"/>
        <w:ind w:left="450" w:firstLine="420"/>
        <w:rPr>
          <w:rFonts w:hint="eastAsia" w:ascii="宋体" w:hAnsi="宋体" w:cs="宋体"/>
          <w:sz w:val="24"/>
        </w:rPr>
      </w:pPr>
      <w:r>
        <w:rPr>
          <w:rFonts w:hint="eastAsia" w:ascii="宋体" w:hAnsi="宋体" w:cs="宋体"/>
          <w:sz w:val="24"/>
        </w:rPr>
        <w:t>乙方负责将本合同项中所采购的软件按照本合同约定的参数安装部署到</w:t>
      </w:r>
      <w:r>
        <w:rPr>
          <w:rStyle w:val="14"/>
          <w:rFonts w:hint="eastAsia" w:ascii="宋体" w:hAnsi="宋体" w:cs="宋体"/>
          <w:color w:val="auto"/>
          <w:sz w:val="24"/>
        </w:rPr>
        <w:t>甲方已准备好的网络与服务器上</w:t>
      </w:r>
      <w:r>
        <w:rPr>
          <w:rFonts w:hint="eastAsia" w:ascii="宋体" w:hAnsi="宋体" w:cs="宋体"/>
          <w:sz w:val="24"/>
        </w:rPr>
        <w:t>，乙方应于交货同时提供本合同所要求的相关技术文件。</w:t>
      </w:r>
    </w:p>
    <w:p w14:paraId="1C7005CD">
      <w:pPr>
        <w:numPr>
          <w:ilvl w:val="0"/>
          <w:numId w:val="1"/>
        </w:numPr>
        <w:spacing w:before="156" w:beforeLines="50" w:line="360" w:lineRule="auto"/>
        <w:rPr>
          <w:rFonts w:hint="eastAsia" w:ascii="宋体" w:hAnsi="宋体" w:cs="宋体"/>
          <w:sz w:val="24"/>
        </w:rPr>
      </w:pPr>
      <w:r>
        <w:rPr>
          <w:rFonts w:hint="eastAsia" w:ascii="宋体" w:hAnsi="宋体" w:cs="宋体"/>
          <w:b/>
          <w:sz w:val="24"/>
        </w:rPr>
        <w:t>付款时间与方式</w:t>
      </w:r>
    </w:p>
    <w:p w14:paraId="18A88907">
      <w:pPr>
        <w:numPr>
          <w:ilvl w:val="0"/>
          <w:numId w:val="2"/>
        </w:numPr>
        <w:spacing w:before="156" w:beforeLines="50" w:line="360" w:lineRule="auto"/>
        <w:rPr>
          <w:rFonts w:hint="eastAsia" w:ascii="宋体" w:hAnsi="宋体" w:cs="宋体"/>
          <w:sz w:val="24"/>
        </w:rPr>
      </w:pPr>
      <w:r>
        <w:rPr>
          <w:rFonts w:hint="eastAsia" w:ascii="宋体" w:hAnsi="宋体" w:cs="宋体"/>
          <w:sz w:val="24"/>
        </w:rPr>
        <w:t>货物总价款：人民币含税：</w:t>
      </w:r>
      <w:r>
        <w:rPr>
          <w:rFonts w:hint="eastAsia" w:ascii="宋体" w:hAnsi="宋体" w:cs="宋体"/>
          <w:sz w:val="24"/>
          <w:u w:val="single"/>
        </w:rPr>
        <w:t xml:space="preserve">￥       </w:t>
      </w:r>
      <w:r>
        <w:rPr>
          <w:rFonts w:hint="eastAsia" w:ascii="宋体" w:hAnsi="宋体" w:cs="宋体"/>
          <w:sz w:val="24"/>
        </w:rPr>
        <w:t>大写：</w:t>
      </w:r>
      <w:r>
        <w:rPr>
          <w:rFonts w:hint="eastAsia" w:ascii="宋体" w:hAnsi="宋体" w:cs="宋体"/>
          <w:sz w:val="24"/>
          <w:u w:val="single"/>
        </w:rPr>
        <w:t xml:space="preserve">        万元整</w:t>
      </w:r>
      <w:r>
        <w:rPr>
          <w:rFonts w:ascii="宋体" w:hAnsi="宋体" w:cs="宋体"/>
          <w:sz w:val="24"/>
        </w:rPr>
        <w:t>。</w:t>
      </w:r>
    </w:p>
    <w:p w14:paraId="5310847B">
      <w:pPr>
        <w:numPr>
          <w:ilvl w:val="0"/>
          <w:numId w:val="2"/>
        </w:numPr>
        <w:autoSpaceDE w:val="0"/>
        <w:autoSpaceDN w:val="0"/>
        <w:adjustRightInd w:val="0"/>
        <w:spacing w:before="156" w:beforeLines="50" w:line="360" w:lineRule="auto"/>
        <w:jc w:val="left"/>
        <w:rPr>
          <w:rFonts w:hint="eastAsia" w:ascii="宋体" w:hAnsi="宋体" w:cs="宋体"/>
          <w:sz w:val="24"/>
        </w:rPr>
      </w:pPr>
      <w:r>
        <w:rPr>
          <w:rFonts w:hint="eastAsia" w:ascii="宋体" w:hAnsi="宋体" w:cs="宋体"/>
          <w:sz w:val="24"/>
        </w:rPr>
        <w:t xml:space="preserve">付款方式：签订合同后，乙方出具相应金额发票(普票或专票)后，达到付款条件起 10 </w:t>
      </w:r>
      <w:r>
        <w:rPr>
          <w:rFonts w:hint="eastAsia" w:ascii="宋体" w:hAnsi="宋体" w:cs="宋体"/>
          <w:sz w:val="24"/>
          <w:lang w:val="en-US" w:eastAsia="zh-CN"/>
        </w:rPr>
        <w:t>个工作</w:t>
      </w:r>
      <w:r>
        <w:rPr>
          <w:rFonts w:hint="eastAsia" w:ascii="宋体" w:hAnsi="宋体" w:cs="宋体"/>
          <w:sz w:val="24"/>
        </w:rPr>
        <w:t>日内，付合同总金额的 40.00%。项目经甲方验收合格后，乙方出具相应金额发票(普票或专票)，达到付款条件起 10</w:t>
      </w:r>
      <w:r>
        <w:rPr>
          <w:rFonts w:hint="eastAsia" w:ascii="宋体" w:hAnsi="宋体" w:cs="宋体"/>
          <w:sz w:val="24"/>
          <w:lang w:val="en-US" w:eastAsia="zh-CN"/>
        </w:rPr>
        <w:t>个工作日</w:t>
      </w:r>
      <w:r>
        <w:rPr>
          <w:rFonts w:hint="eastAsia" w:ascii="宋体" w:hAnsi="宋体" w:cs="宋体"/>
          <w:sz w:val="24"/>
        </w:rPr>
        <w:t>内，支付合同总金额的 60.00%。</w:t>
      </w:r>
    </w:p>
    <w:p w14:paraId="6F60EB0F">
      <w:pPr>
        <w:numPr>
          <w:ilvl w:val="0"/>
          <w:numId w:val="2"/>
        </w:numPr>
        <w:autoSpaceDE w:val="0"/>
        <w:autoSpaceDN w:val="0"/>
        <w:adjustRightInd w:val="0"/>
        <w:spacing w:before="156" w:beforeLines="50" w:line="360" w:lineRule="auto"/>
        <w:jc w:val="left"/>
        <w:rPr>
          <w:rFonts w:hint="eastAsia" w:ascii="宋体" w:hAnsi="宋体" w:cs="宋体"/>
          <w:sz w:val="24"/>
        </w:rPr>
      </w:pPr>
      <w:r>
        <w:rPr>
          <w:rFonts w:hint="eastAsia" w:ascii="宋体" w:hAnsi="宋体" w:cs="宋体"/>
          <w:sz w:val="24"/>
        </w:rPr>
        <w:t>系统验收合格必须提供由甲方项目负责人或最终用户在验收报告单上进行签字。</w:t>
      </w:r>
    </w:p>
    <w:p w14:paraId="2D9C2D5F">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软件签收及知识产权</w:t>
      </w:r>
    </w:p>
    <w:p w14:paraId="408EACF2">
      <w:pPr>
        <w:numPr>
          <w:ilvl w:val="0"/>
          <w:numId w:val="3"/>
        </w:numPr>
        <w:spacing w:before="156" w:beforeLines="50" w:line="360" w:lineRule="auto"/>
        <w:rPr>
          <w:rFonts w:hint="eastAsia" w:ascii="宋体" w:hAnsi="宋体" w:cs="宋体"/>
          <w:bCs/>
          <w:sz w:val="24"/>
        </w:rPr>
      </w:pPr>
      <w:r>
        <w:rPr>
          <w:rFonts w:hint="eastAsia" w:ascii="宋体" w:hAnsi="宋体" w:cs="宋体"/>
          <w:bCs/>
          <w:sz w:val="24"/>
        </w:rPr>
        <w:t>甲方验收</w:t>
      </w:r>
    </w:p>
    <w:p w14:paraId="07C7C95E">
      <w:pPr>
        <w:numPr>
          <w:ilvl w:val="1"/>
          <w:numId w:val="3"/>
        </w:numPr>
        <w:spacing w:before="156" w:beforeLines="50" w:line="360" w:lineRule="auto"/>
        <w:rPr>
          <w:rFonts w:hint="eastAsia" w:ascii="宋体" w:hAnsi="宋体" w:cs="宋体"/>
          <w:bCs/>
          <w:sz w:val="24"/>
        </w:rPr>
      </w:pPr>
      <w:r>
        <w:rPr>
          <w:rFonts w:hint="eastAsia" w:ascii="宋体" w:hAnsi="宋体" w:cs="宋体"/>
          <w:bCs/>
          <w:sz w:val="24"/>
        </w:rPr>
        <w:t>符合合同技术协议，同时产品需满足合同中规定的软件技术标准。</w:t>
      </w:r>
    </w:p>
    <w:p w14:paraId="51F3F725">
      <w:pPr>
        <w:numPr>
          <w:ilvl w:val="1"/>
          <w:numId w:val="3"/>
        </w:numPr>
        <w:spacing w:before="156" w:beforeLines="50" w:line="360" w:lineRule="auto"/>
        <w:rPr>
          <w:rFonts w:hint="eastAsia" w:ascii="宋体" w:hAnsi="宋体" w:cs="宋体"/>
          <w:bCs/>
          <w:sz w:val="24"/>
        </w:rPr>
      </w:pPr>
      <w:r>
        <w:rPr>
          <w:rFonts w:hint="eastAsia" w:ascii="宋体" w:hAnsi="宋体" w:cs="宋体"/>
          <w:sz w:val="24"/>
        </w:rPr>
        <w:t>甲方项目负责人或最终用户</w:t>
      </w:r>
      <w:r>
        <w:rPr>
          <w:rFonts w:hint="eastAsia" w:ascii="宋体" w:hAnsi="宋体" w:cs="宋体"/>
          <w:bCs/>
          <w:sz w:val="24"/>
        </w:rPr>
        <w:t>出具的验收报告，并</w:t>
      </w:r>
      <w:r>
        <w:rPr>
          <w:rFonts w:hint="eastAsia" w:ascii="宋体" w:hAnsi="宋体" w:cs="宋体"/>
          <w:sz w:val="24"/>
        </w:rPr>
        <w:t>在验收报告单上进行签字确认。</w:t>
      </w:r>
    </w:p>
    <w:p w14:paraId="03E82A07">
      <w:pPr>
        <w:numPr>
          <w:ilvl w:val="0"/>
          <w:numId w:val="3"/>
        </w:numPr>
        <w:spacing w:before="156" w:beforeLines="50" w:line="360" w:lineRule="auto"/>
        <w:rPr>
          <w:rFonts w:hint="eastAsia" w:ascii="宋体" w:hAnsi="宋体" w:cs="宋体"/>
          <w:bCs/>
          <w:sz w:val="24"/>
        </w:rPr>
      </w:pPr>
      <w:r>
        <w:rPr>
          <w:rFonts w:hint="eastAsia" w:ascii="宋体" w:hAnsi="宋体" w:cs="宋体"/>
          <w:bCs/>
          <w:sz w:val="24"/>
        </w:rPr>
        <w:t>乙方保证向甲方提供的技术资料包括全部中文版本是清晰的、正确的、完整的。如发现缺失，乙方应在甲方送达通知之日起</w:t>
      </w:r>
      <w:r>
        <w:rPr>
          <w:rFonts w:hint="eastAsia" w:ascii="宋体" w:hAnsi="宋体" w:cs="宋体"/>
          <w:bCs/>
          <w:sz w:val="24"/>
          <w:u w:val="single"/>
        </w:rPr>
        <w:t xml:space="preserve">3日 </w:t>
      </w:r>
      <w:r>
        <w:rPr>
          <w:rFonts w:hint="eastAsia" w:ascii="宋体" w:hAnsi="宋体" w:cs="宋体"/>
          <w:bCs/>
          <w:sz w:val="24"/>
        </w:rPr>
        <w:t>内将需补足的资料交付到甲方指定地点，按本合同前述各条款项规定交付及验收，所需的费用乙方承担。</w:t>
      </w:r>
    </w:p>
    <w:p w14:paraId="4229D5FA">
      <w:pPr>
        <w:numPr>
          <w:ilvl w:val="0"/>
          <w:numId w:val="3"/>
        </w:numPr>
        <w:spacing w:before="156" w:beforeLines="50" w:line="360" w:lineRule="auto"/>
        <w:rPr>
          <w:rFonts w:hint="eastAsia" w:ascii="宋体" w:hAnsi="宋体" w:cs="宋体"/>
          <w:bCs/>
          <w:sz w:val="24"/>
        </w:rPr>
      </w:pPr>
      <w:r>
        <w:rPr>
          <w:rFonts w:hint="eastAsia" w:ascii="宋体" w:hAnsi="宋体" w:cs="宋体"/>
          <w:bCs/>
          <w:sz w:val="24"/>
        </w:rPr>
        <w:t>软件的性能指标依照合同约定型号及要达到的技术参数性能指标为准。</w:t>
      </w:r>
    </w:p>
    <w:p w14:paraId="4B6A41FB">
      <w:pPr>
        <w:numPr>
          <w:ilvl w:val="0"/>
          <w:numId w:val="3"/>
        </w:numPr>
        <w:spacing w:before="156" w:beforeLines="50" w:line="360" w:lineRule="auto"/>
        <w:rPr>
          <w:rFonts w:hint="eastAsia" w:ascii="宋体" w:hAnsi="宋体" w:cs="宋体"/>
          <w:bCs/>
          <w:sz w:val="24"/>
        </w:rPr>
      </w:pPr>
      <w:r>
        <w:rPr>
          <w:rFonts w:hint="eastAsia" w:ascii="宋体" w:hAnsi="宋体" w:cs="宋体"/>
          <w:bCs/>
          <w:sz w:val="24"/>
        </w:rPr>
        <w:t>软件的知识产权归乙方所有，甲方最终用户对软件有永久使用权。</w:t>
      </w:r>
    </w:p>
    <w:p w14:paraId="7DA25588">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产品质量保证</w:t>
      </w:r>
    </w:p>
    <w:p w14:paraId="4B2083BE">
      <w:pPr>
        <w:spacing w:before="156" w:beforeLines="50" w:line="360" w:lineRule="auto"/>
        <w:ind w:left="450" w:firstLine="420"/>
        <w:rPr>
          <w:rFonts w:hint="eastAsia" w:ascii="宋体" w:hAnsi="宋体" w:cs="宋体"/>
          <w:bCs/>
          <w:sz w:val="24"/>
        </w:rPr>
      </w:pPr>
      <w:r>
        <w:rPr>
          <w:rFonts w:hint="eastAsia" w:ascii="宋体" w:hAnsi="宋体" w:cs="宋体"/>
          <w:sz w:val="24"/>
        </w:rPr>
        <w:t>乙方应保证所提供软件产品</w:t>
      </w:r>
      <w:r>
        <w:rPr>
          <w:rFonts w:hint="eastAsia" w:ascii="宋体" w:hAnsi="宋体" w:cs="宋体"/>
          <w:bCs/>
          <w:sz w:val="24"/>
        </w:rPr>
        <w:t>是全新的、无产品缺陷且符合合同中的技术标准及规范，乙方应保证其出售的产品可满足甲方的技术要求可正常的使用，并且在经过正确安装、正常操作下可以正常使用。</w:t>
      </w:r>
    </w:p>
    <w:p w14:paraId="527DEB57">
      <w:pPr>
        <w:numPr>
          <w:ilvl w:val="0"/>
          <w:numId w:val="1"/>
        </w:numPr>
        <w:spacing w:line="360" w:lineRule="auto"/>
        <w:rPr>
          <w:rFonts w:hint="eastAsia" w:ascii="宋体" w:hAnsi="宋体" w:cs="宋体"/>
          <w:b/>
          <w:sz w:val="24"/>
        </w:rPr>
      </w:pPr>
      <w:r>
        <w:rPr>
          <w:rFonts w:hint="eastAsia" w:ascii="宋体" w:hAnsi="宋体" w:cs="宋体"/>
          <w:b/>
          <w:sz w:val="24"/>
        </w:rPr>
        <w:t>培训</w:t>
      </w:r>
    </w:p>
    <w:p w14:paraId="1DC47381">
      <w:pPr>
        <w:spacing w:before="156" w:beforeLines="50" w:line="360" w:lineRule="auto"/>
        <w:ind w:left="450" w:firstLine="420"/>
        <w:rPr>
          <w:rFonts w:hint="eastAsia" w:ascii="宋体" w:hAnsi="宋体" w:cs="宋体"/>
          <w:sz w:val="24"/>
        </w:rPr>
      </w:pPr>
      <w:r>
        <w:rPr>
          <w:rFonts w:hint="eastAsia" w:ascii="宋体" w:hAnsi="宋体" w:cs="宋体"/>
          <w:sz w:val="24"/>
        </w:rPr>
        <w:t>乙方免费给甲方最终用户提供培训，采取统一组织、集中培训方式，使系统管理人员、最终用户熟练地操作与使用本软件。</w:t>
      </w:r>
    </w:p>
    <w:p w14:paraId="4B529EF1">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软件售后服务</w:t>
      </w:r>
    </w:p>
    <w:p w14:paraId="278295B2">
      <w:pPr>
        <w:numPr>
          <w:ilvl w:val="0"/>
          <w:numId w:val="4"/>
        </w:numPr>
        <w:spacing w:before="156" w:beforeLines="50" w:line="360" w:lineRule="auto"/>
        <w:rPr>
          <w:rFonts w:hint="eastAsia" w:ascii="宋体" w:hAnsi="宋体" w:cs="宋体"/>
          <w:bCs/>
          <w:sz w:val="24"/>
          <w:u w:val="single"/>
        </w:rPr>
      </w:pPr>
      <w:r>
        <w:rPr>
          <w:rFonts w:hint="eastAsia" w:ascii="宋体" w:hAnsi="宋体" w:cs="宋体"/>
          <w:bCs/>
          <w:sz w:val="24"/>
        </w:rPr>
        <w:t>免费提供安装调试培训工作。</w:t>
      </w:r>
    </w:p>
    <w:p w14:paraId="5DF0731A">
      <w:pPr>
        <w:numPr>
          <w:ilvl w:val="0"/>
          <w:numId w:val="4"/>
        </w:numPr>
        <w:spacing w:before="156" w:beforeLines="50" w:line="360" w:lineRule="auto"/>
        <w:rPr>
          <w:rFonts w:hint="eastAsia" w:ascii="宋体" w:hAnsi="宋体" w:cs="宋体"/>
          <w:bCs/>
          <w:sz w:val="24"/>
          <w:u w:val="single"/>
        </w:rPr>
      </w:pPr>
      <w:r>
        <w:rPr>
          <w:rFonts w:hint="eastAsia" w:ascii="宋体" w:hAnsi="宋体" w:cs="宋体"/>
          <w:bCs/>
          <w:sz w:val="24"/>
        </w:rPr>
        <w:t>验收合格之日起3年免费售后服务。</w:t>
      </w:r>
    </w:p>
    <w:p w14:paraId="7B3244C2">
      <w:pPr>
        <w:numPr>
          <w:ilvl w:val="0"/>
          <w:numId w:val="4"/>
        </w:numPr>
        <w:spacing w:before="156" w:beforeLines="50" w:line="360" w:lineRule="auto"/>
        <w:rPr>
          <w:rFonts w:hint="eastAsia" w:ascii="宋体" w:hAnsi="宋体" w:cs="宋体"/>
          <w:bCs/>
          <w:sz w:val="24"/>
        </w:rPr>
      </w:pPr>
      <w:r>
        <w:rPr>
          <w:rFonts w:hint="eastAsia" w:ascii="宋体" w:hAnsi="宋体" w:cs="宋体"/>
          <w:bCs/>
          <w:sz w:val="24"/>
        </w:rPr>
        <w:t>售后服务方式及内容参见合同附件</w:t>
      </w:r>
      <w:r>
        <w:rPr>
          <w:rFonts w:ascii="宋体" w:hAnsi="宋体" w:cs="宋体"/>
          <w:bCs/>
          <w:sz w:val="24"/>
        </w:rPr>
        <w:t>2</w:t>
      </w:r>
      <w:r>
        <w:rPr>
          <w:rFonts w:hint="eastAsia" w:ascii="宋体" w:hAnsi="宋体" w:cs="宋体"/>
          <w:bCs/>
          <w:sz w:val="24"/>
        </w:rPr>
        <w:t>：《</w:t>
      </w:r>
      <w:r>
        <w:rPr>
          <w:rFonts w:ascii="宋体" w:hAnsi="宋体" w:cs="宋体"/>
          <w:bCs/>
          <w:sz w:val="24"/>
        </w:rPr>
        <w:t>售后服务条款</w:t>
      </w:r>
      <w:r>
        <w:rPr>
          <w:rFonts w:hint="eastAsia" w:ascii="宋体" w:hAnsi="宋体" w:cs="宋体"/>
          <w:bCs/>
          <w:sz w:val="24"/>
        </w:rPr>
        <w:t>》</w:t>
      </w:r>
    </w:p>
    <w:p w14:paraId="7276837B">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对侵权索赔的辩护</w:t>
      </w:r>
    </w:p>
    <w:p w14:paraId="05D668EB">
      <w:pPr>
        <w:spacing w:before="156" w:beforeLines="50" w:line="360" w:lineRule="auto"/>
        <w:ind w:left="450" w:firstLine="420"/>
        <w:rPr>
          <w:rFonts w:hint="eastAsia" w:ascii="宋体" w:hAnsi="宋体" w:cs="宋体"/>
          <w:bCs/>
          <w:sz w:val="24"/>
        </w:rPr>
      </w:pPr>
      <w:r>
        <w:rPr>
          <w:rFonts w:hint="eastAsia" w:ascii="宋体" w:hAnsi="宋体" w:cs="宋体"/>
          <w:sz w:val="24"/>
        </w:rPr>
        <w:t>乙方应保证</w:t>
      </w:r>
      <w:r>
        <w:rPr>
          <w:rFonts w:hint="eastAsia" w:ascii="宋体" w:hAnsi="宋体" w:cs="宋体"/>
          <w:bCs/>
          <w:sz w:val="24"/>
        </w:rPr>
        <w:t>，甲方在中华人民共和国使用本合同项下产品或产品的一部分时，免于遭受第三方就知识产权（包括但不限于专利权、商标权、著作权及非专利技术）提起的诉讼、仲裁或任何请求。</w:t>
      </w:r>
    </w:p>
    <w:p w14:paraId="4173FA0E">
      <w:pPr>
        <w:spacing w:before="156" w:beforeLines="50" w:line="360" w:lineRule="auto"/>
        <w:ind w:left="450" w:firstLine="420"/>
        <w:rPr>
          <w:rFonts w:hint="eastAsia" w:ascii="宋体" w:hAnsi="宋体" w:cs="宋体"/>
          <w:bCs/>
          <w:sz w:val="24"/>
        </w:rPr>
      </w:pPr>
      <w:r>
        <w:rPr>
          <w:rFonts w:hint="eastAsia" w:ascii="宋体" w:hAnsi="宋体" w:cs="宋体"/>
          <w:sz w:val="24"/>
        </w:rPr>
        <w:t>如果因乙方出售</w:t>
      </w:r>
      <w:r>
        <w:rPr>
          <w:rFonts w:hint="eastAsia" w:ascii="宋体" w:hAnsi="宋体" w:cs="宋体"/>
          <w:bCs/>
          <w:sz w:val="24"/>
        </w:rPr>
        <w:t>的产品一部分侵权了他人知识产权而针对甲方提起索赔获诉讼的情况，且甲方将此情况及时通知了乙方并向乙方提供了合理的信息和协助，并且授权乙方独立进行辩护和解决索赔问题，乙方将自费进行辩护，并支付全部费用和由于该案最</w:t>
      </w:r>
      <w:bookmarkStart w:id="0" w:name="_GoBack"/>
      <w:bookmarkEnd w:id="0"/>
      <w:r>
        <w:rPr>
          <w:rFonts w:hint="eastAsia" w:ascii="宋体" w:hAnsi="宋体" w:cs="宋体"/>
          <w:bCs/>
          <w:sz w:val="24"/>
        </w:rPr>
        <w:t>终判决或裁决/裁定而支付的赔偿金，以及赔偿甲方因此而受到的一切损失。</w:t>
      </w:r>
    </w:p>
    <w:p w14:paraId="17011F3B">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违约责任</w:t>
      </w:r>
    </w:p>
    <w:p w14:paraId="6174FE5C">
      <w:pPr>
        <w:numPr>
          <w:ilvl w:val="0"/>
          <w:numId w:val="5"/>
        </w:numPr>
        <w:spacing w:before="156" w:beforeLines="50" w:line="360" w:lineRule="auto"/>
        <w:rPr>
          <w:rFonts w:hint="eastAsia" w:ascii="宋体" w:hAnsi="宋体" w:cs="宋体"/>
          <w:sz w:val="24"/>
        </w:rPr>
      </w:pPr>
      <w:r>
        <w:rPr>
          <w:rFonts w:hint="eastAsia" w:ascii="宋体" w:hAnsi="宋体" w:cs="宋体"/>
          <w:sz w:val="24"/>
        </w:rPr>
        <w:t>如因乙方单方面原因造成不能交付全部产品或部分产品无法交付，或交付的产品质量、规格、系统功能不符合合同要求，导致合同目的不能实现的，应按合同总价款的10%向甲方支付违约金。如因乙方单方面原因不能交货给甲方造成损失，乙方应该承担全部赔偿责任。</w:t>
      </w:r>
    </w:p>
    <w:p w14:paraId="756E0176">
      <w:pPr>
        <w:numPr>
          <w:ilvl w:val="0"/>
          <w:numId w:val="5"/>
        </w:numPr>
        <w:spacing w:before="156" w:beforeLines="50" w:line="360" w:lineRule="auto"/>
        <w:rPr>
          <w:rFonts w:hint="eastAsia" w:ascii="宋体" w:hAnsi="宋体" w:cs="宋体"/>
          <w:sz w:val="24"/>
        </w:rPr>
      </w:pPr>
      <w:r>
        <w:rPr>
          <w:rFonts w:hint="eastAsia" w:ascii="宋体" w:hAnsi="宋体" w:cs="宋体"/>
          <w:sz w:val="24"/>
        </w:rPr>
        <w:t>如乙方延期交货或甲方延期付款，每逾期一天，违约方应按期交货所折合的金额或延期付款金额每天2‰的比例向对方支付违约金，但违约金累计不超过合同总金额的20%。</w:t>
      </w:r>
    </w:p>
    <w:p w14:paraId="66B8FBE9">
      <w:pPr>
        <w:numPr>
          <w:ilvl w:val="0"/>
          <w:numId w:val="5"/>
        </w:numPr>
        <w:spacing w:before="156" w:beforeLines="50" w:line="360" w:lineRule="auto"/>
        <w:rPr>
          <w:rFonts w:hint="eastAsia" w:ascii="宋体" w:hAnsi="宋体" w:cs="宋体"/>
          <w:sz w:val="24"/>
        </w:rPr>
      </w:pPr>
      <w:r>
        <w:rPr>
          <w:rFonts w:hint="eastAsia" w:ascii="宋体" w:hAnsi="宋体" w:cs="宋体"/>
          <w:sz w:val="24"/>
        </w:rPr>
        <w:t>若货物为假冒伪劣产品，乙方应按照合同总金额的2倍向甲方支付惩罚赔偿金，且并不免除其依法应受的其它处罚。</w:t>
      </w:r>
    </w:p>
    <w:p w14:paraId="677BE56F">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不可抗力</w:t>
      </w:r>
    </w:p>
    <w:p w14:paraId="682F97C5">
      <w:pPr>
        <w:spacing w:before="156" w:beforeLines="50" w:line="360" w:lineRule="auto"/>
        <w:ind w:left="450" w:firstLine="420"/>
        <w:rPr>
          <w:rFonts w:hint="eastAsia" w:ascii="宋体" w:hAnsi="宋体" w:cs="宋体"/>
          <w:sz w:val="24"/>
        </w:rPr>
      </w:pPr>
      <w:r>
        <w:rPr>
          <w:rFonts w:hint="eastAsia" w:ascii="宋体" w:hAnsi="宋体" w:cs="宋体"/>
          <w:sz w:val="24"/>
        </w:rPr>
        <w:t>甲乙双方任何一方由于受诸如战争、严重火灾、洪水、台风、地震等不可抗力事故的影响而不能执行合同时，履约合同的期限应予以延长，则延长的期限应相当于不可抗力事故所影响的时间。</w:t>
      </w:r>
    </w:p>
    <w:p w14:paraId="7318EEEF">
      <w:pPr>
        <w:numPr>
          <w:ilvl w:val="0"/>
          <w:numId w:val="1"/>
        </w:numPr>
        <w:spacing w:before="156" w:beforeLines="50" w:line="360" w:lineRule="auto"/>
        <w:rPr>
          <w:rFonts w:hint="eastAsia" w:ascii="宋体" w:hAnsi="宋体" w:cs="宋体"/>
          <w:b/>
          <w:bCs/>
          <w:sz w:val="24"/>
        </w:rPr>
      </w:pPr>
      <w:r>
        <w:rPr>
          <w:rFonts w:hint="eastAsia" w:ascii="宋体" w:hAnsi="宋体" w:cs="宋体"/>
          <w:b/>
          <w:bCs/>
          <w:sz w:val="24"/>
        </w:rPr>
        <w:t xml:space="preserve">争议解决 </w:t>
      </w:r>
    </w:p>
    <w:p w14:paraId="620E82F8">
      <w:pPr>
        <w:spacing w:before="156" w:beforeLines="50" w:line="360" w:lineRule="auto"/>
        <w:ind w:left="450" w:firstLine="420"/>
        <w:rPr>
          <w:rFonts w:hint="eastAsia" w:ascii="宋体" w:hAnsi="宋体" w:cs="宋体"/>
          <w:sz w:val="24"/>
        </w:rPr>
      </w:pPr>
      <w:r>
        <w:rPr>
          <w:rFonts w:hint="eastAsia" w:ascii="宋体" w:hAnsi="宋体" w:cs="宋体"/>
          <w:sz w:val="24"/>
        </w:rPr>
        <w:t>在履行合同过程中发生争议的，双方应进行友好协商。若协商后仍不能达成协议可向甲方所在地人</w:t>
      </w:r>
      <w:r>
        <w:rPr>
          <w:rFonts w:hint="eastAsia" w:ascii="宋体" w:hAnsi="宋体" w:cs="宋体"/>
          <w:sz w:val="24"/>
          <w:lang w:eastAsia="zh-Hans"/>
        </w:rPr>
        <w:t>民</w:t>
      </w:r>
      <w:r>
        <w:rPr>
          <w:rFonts w:hint="eastAsia" w:ascii="宋体" w:hAnsi="宋体" w:cs="宋体"/>
          <w:sz w:val="24"/>
        </w:rPr>
        <w:t>法院起诉。</w:t>
      </w:r>
    </w:p>
    <w:p w14:paraId="19AEEEC4">
      <w:pPr>
        <w:numPr>
          <w:ilvl w:val="0"/>
          <w:numId w:val="1"/>
        </w:numPr>
        <w:spacing w:before="156" w:beforeLines="50" w:line="360" w:lineRule="auto"/>
        <w:rPr>
          <w:rFonts w:hint="eastAsia" w:ascii="宋体" w:hAnsi="宋体" w:cs="宋体"/>
          <w:bCs/>
          <w:sz w:val="24"/>
        </w:rPr>
      </w:pPr>
      <w:r>
        <w:rPr>
          <w:rFonts w:hint="eastAsia" w:ascii="宋体" w:hAnsi="宋体" w:cs="宋体"/>
          <w:bCs/>
          <w:sz w:val="24"/>
        </w:rPr>
        <w:t>本合同一式</w:t>
      </w:r>
      <w:r>
        <w:rPr>
          <w:rFonts w:ascii="宋体" w:hAnsi="宋体" w:cs="宋体"/>
          <w:bCs/>
          <w:sz w:val="24"/>
        </w:rPr>
        <w:t>陆</w:t>
      </w:r>
      <w:r>
        <w:rPr>
          <w:rFonts w:hint="eastAsia" w:ascii="宋体" w:hAnsi="宋体" w:cs="宋体"/>
          <w:bCs/>
          <w:sz w:val="24"/>
        </w:rPr>
        <w:t>份，甲乙双方各执</w:t>
      </w:r>
      <w:r>
        <w:rPr>
          <w:rFonts w:ascii="宋体" w:hAnsi="宋体" w:cs="宋体"/>
          <w:bCs/>
          <w:sz w:val="24"/>
        </w:rPr>
        <w:t>叁</w:t>
      </w:r>
      <w:r>
        <w:rPr>
          <w:rFonts w:hint="eastAsia" w:ascii="宋体" w:hAnsi="宋体" w:cs="宋体"/>
          <w:bCs/>
          <w:sz w:val="24"/>
        </w:rPr>
        <w:t>份，自盖章签字之日起生效。</w:t>
      </w:r>
    </w:p>
    <w:p w14:paraId="084B2821">
      <w:pPr>
        <w:widowControl/>
        <w:spacing w:line="360" w:lineRule="auto"/>
        <w:jc w:val="left"/>
        <w:rPr>
          <w:rFonts w:hint="eastAsia" w:ascii="宋体" w:hAnsi="宋体" w:cs="宋体"/>
          <w:bCs/>
          <w:sz w:val="24"/>
        </w:rPr>
      </w:pPr>
    </w:p>
    <w:p w14:paraId="46411B3E">
      <w:pPr>
        <w:widowControl/>
        <w:spacing w:line="360" w:lineRule="auto"/>
        <w:jc w:val="left"/>
        <w:rPr>
          <w:rFonts w:hint="eastAsia" w:ascii="宋体" w:hAnsi="宋体" w:cs="宋体"/>
          <w:bCs/>
          <w:sz w:val="24"/>
        </w:rPr>
      </w:pPr>
    </w:p>
    <w:p w14:paraId="284C893E">
      <w:pPr>
        <w:widowControl/>
        <w:spacing w:line="360" w:lineRule="auto"/>
        <w:jc w:val="left"/>
        <w:rPr>
          <w:rFonts w:hint="eastAsia" w:ascii="宋体" w:hAnsi="宋体" w:cs="宋体"/>
          <w:bCs/>
          <w:sz w:val="24"/>
        </w:rPr>
      </w:pPr>
    </w:p>
    <w:p w14:paraId="615B3CE4">
      <w:pPr>
        <w:widowControl/>
        <w:spacing w:line="360" w:lineRule="auto"/>
        <w:jc w:val="left"/>
        <w:rPr>
          <w:rFonts w:hint="eastAsia" w:ascii="宋体" w:hAnsi="宋体" w:cs="宋体"/>
          <w:bCs/>
          <w:sz w:val="24"/>
        </w:rPr>
      </w:pPr>
    </w:p>
    <w:p w14:paraId="73C6B218">
      <w:pPr>
        <w:widowControl/>
        <w:spacing w:line="360" w:lineRule="auto"/>
        <w:jc w:val="left"/>
        <w:rPr>
          <w:rFonts w:hint="eastAsia" w:ascii="宋体" w:hAnsi="宋体" w:cs="宋体"/>
          <w:bCs/>
          <w:sz w:val="24"/>
        </w:rPr>
      </w:pPr>
      <w:r>
        <w:rPr>
          <w:rFonts w:hint="eastAsia" w:ascii="宋体" w:hAnsi="宋体" w:cs="宋体"/>
          <w:bCs/>
          <w:sz w:val="24"/>
        </w:rPr>
        <w:br w:type="page"/>
      </w:r>
      <w:r>
        <w:rPr>
          <w:rFonts w:hint="eastAsia" w:ascii="宋体" w:hAnsi="宋体" w:cs="宋体"/>
          <w:sz w:val="24"/>
        </w:rPr>
        <w:t>（此页为签字盖章页，无内容）</w:t>
      </w:r>
    </w:p>
    <w:p w14:paraId="7C7D572D">
      <w:pPr>
        <w:widowControl/>
        <w:spacing w:line="360" w:lineRule="auto"/>
        <w:jc w:val="left"/>
        <w:rPr>
          <w:rFonts w:hint="eastAsia" w:ascii="宋体" w:hAnsi="宋体" w:cs="宋体"/>
          <w:bCs/>
          <w:sz w:val="24"/>
        </w:rPr>
      </w:pPr>
    </w:p>
    <w:p w14:paraId="34D0414B">
      <w:pPr>
        <w:spacing w:before="156" w:beforeLines="50" w:line="360" w:lineRule="auto"/>
        <w:rPr>
          <w:rFonts w:hint="eastAsia" w:ascii="宋体" w:hAnsi="宋体" w:cs="宋体"/>
          <w:bCs/>
          <w:sz w:val="24"/>
        </w:rPr>
      </w:pPr>
    </w:p>
    <w:p w14:paraId="326931AD">
      <w:pPr>
        <w:spacing w:line="360" w:lineRule="auto"/>
        <w:ind w:firstLine="555"/>
        <w:rPr>
          <w:rFonts w:hint="eastAsia" w:ascii="宋体" w:hAnsi="宋体" w:cs="宋体"/>
          <w:sz w:val="24"/>
        </w:rPr>
      </w:pPr>
      <w:r>
        <w:rPr>
          <w:rFonts w:hint="eastAsia" w:ascii="宋体" w:hAnsi="宋体" w:cs="宋体"/>
          <w:sz w:val="24"/>
        </w:rPr>
        <w:t>甲方：</w:t>
      </w:r>
      <w:r>
        <w:rPr>
          <w:rFonts w:hint="eastAsia" w:ascii="宋体" w:hAnsi="宋体" w:cs="宋体"/>
          <w:sz w:val="24"/>
          <w:u w:val="single"/>
        </w:rPr>
        <w:t xml:space="preserve">                                   </w:t>
      </w:r>
      <w:r>
        <w:rPr>
          <w:rFonts w:hint="eastAsia" w:ascii="宋体" w:hAnsi="宋体" w:cs="宋体"/>
          <w:sz w:val="24"/>
        </w:rPr>
        <w:t>（盖章）</w:t>
      </w:r>
    </w:p>
    <w:p w14:paraId="3C8F9B69">
      <w:pPr>
        <w:spacing w:line="360" w:lineRule="auto"/>
        <w:rPr>
          <w:rFonts w:hint="eastAsia" w:ascii="宋体" w:hAnsi="宋体" w:cs="宋体"/>
          <w:sz w:val="24"/>
        </w:rPr>
      </w:pPr>
    </w:p>
    <w:p w14:paraId="653C876B">
      <w:pPr>
        <w:spacing w:line="360" w:lineRule="auto"/>
        <w:ind w:left="57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（签名）</w:t>
      </w:r>
    </w:p>
    <w:p w14:paraId="469AE22A">
      <w:pPr>
        <w:spacing w:line="360" w:lineRule="auto"/>
        <w:ind w:left="570"/>
        <w:rPr>
          <w:rFonts w:hint="eastAsia" w:ascii="宋体" w:hAnsi="宋体" w:cs="宋体"/>
          <w:sz w:val="24"/>
        </w:rPr>
      </w:pPr>
      <w:r>
        <w:rPr>
          <w:rFonts w:hint="eastAsia" w:ascii="宋体" w:hAnsi="宋体" w:cs="宋体"/>
          <w:sz w:val="24"/>
        </w:rPr>
        <w:t xml:space="preserve">                                       </w:t>
      </w:r>
    </w:p>
    <w:p w14:paraId="21475DB9">
      <w:pPr>
        <w:spacing w:line="360" w:lineRule="auto"/>
        <w:rPr>
          <w:rFonts w:hint="eastAsia" w:ascii="宋体" w:hAnsi="宋体" w:cs="宋体"/>
          <w:sz w:val="24"/>
        </w:rPr>
      </w:pPr>
      <w:r>
        <w:rPr>
          <w:rFonts w:hint="eastAsia" w:ascii="宋体" w:hAnsi="宋体" w:cs="宋体"/>
          <w:sz w:val="24"/>
        </w:rPr>
        <w:t xml:space="preserve">                                       年  月  日</w:t>
      </w:r>
    </w:p>
    <w:p w14:paraId="1EC19188">
      <w:pPr>
        <w:spacing w:line="360" w:lineRule="auto"/>
        <w:jc w:val="left"/>
        <w:rPr>
          <w:rFonts w:hint="eastAsia" w:ascii="宋体" w:hAnsi="宋体" w:cs="宋体"/>
          <w:sz w:val="24"/>
        </w:rPr>
      </w:pPr>
    </w:p>
    <w:p w14:paraId="61BD0C0F">
      <w:pPr>
        <w:spacing w:line="360" w:lineRule="auto"/>
        <w:jc w:val="left"/>
        <w:rPr>
          <w:rFonts w:hint="eastAsia" w:ascii="宋体" w:hAnsi="宋体" w:cs="宋体"/>
          <w:sz w:val="24"/>
        </w:rPr>
      </w:pPr>
    </w:p>
    <w:p w14:paraId="65F43451">
      <w:pPr>
        <w:spacing w:line="360" w:lineRule="auto"/>
        <w:jc w:val="left"/>
        <w:rPr>
          <w:rFonts w:hint="eastAsia" w:ascii="宋体" w:hAnsi="宋体" w:cs="宋体"/>
          <w:sz w:val="24"/>
        </w:rPr>
      </w:pPr>
    </w:p>
    <w:p w14:paraId="6DDF9A4B">
      <w:pPr>
        <w:spacing w:line="360" w:lineRule="auto"/>
        <w:jc w:val="left"/>
        <w:rPr>
          <w:rFonts w:hint="eastAsia" w:ascii="宋体" w:hAnsi="宋体" w:cs="宋体"/>
          <w:sz w:val="24"/>
        </w:rPr>
      </w:pPr>
    </w:p>
    <w:p w14:paraId="3465476E">
      <w:pPr>
        <w:spacing w:line="360" w:lineRule="auto"/>
        <w:jc w:val="left"/>
        <w:rPr>
          <w:rFonts w:hint="eastAsia" w:ascii="宋体" w:hAnsi="宋体" w:cs="宋体"/>
          <w:sz w:val="24"/>
        </w:rPr>
      </w:pPr>
    </w:p>
    <w:p w14:paraId="2E250EAB">
      <w:pPr>
        <w:tabs>
          <w:tab w:val="left" w:pos="2730"/>
        </w:tabs>
        <w:spacing w:line="360" w:lineRule="auto"/>
        <w:ind w:left="570"/>
        <w:jc w:val="left"/>
        <w:rPr>
          <w:rFonts w:hint="eastAsia" w:ascii="宋体" w:hAnsi="宋体" w:cs="宋体"/>
          <w:sz w:val="24"/>
        </w:rPr>
      </w:pPr>
      <w:r>
        <w:rPr>
          <w:rFonts w:hint="eastAsia" w:ascii="宋体" w:hAnsi="宋体" w:cs="宋体"/>
          <w:sz w:val="24"/>
        </w:rPr>
        <w:t>乙方：</w:t>
      </w:r>
      <w:r>
        <w:rPr>
          <w:rFonts w:hint="eastAsia" w:ascii="宋体" w:hAnsi="宋体" w:cs="宋体"/>
          <w:sz w:val="24"/>
          <w:u w:val="single"/>
        </w:rPr>
        <w:t xml:space="preserve">                         </w:t>
      </w:r>
      <w:r>
        <w:rPr>
          <w:rFonts w:hint="eastAsia" w:ascii="宋体" w:hAnsi="宋体" w:cs="宋体"/>
          <w:sz w:val="24"/>
        </w:rPr>
        <w:t>（盖章）</w:t>
      </w:r>
    </w:p>
    <w:p w14:paraId="507635E3">
      <w:pPr>
        <w:spacing w:line="360" w:lineRule="auto"/>
        <w:rPr>
          <w:rFonts w:hint="eastAsia" w:ascii="宋体" w:hAnsi="宋体" w:cs="宋体"/>
          <w:sz w:val="24"/>
        </w:rPr>
      </w:pPr>
    </w:p>
    <w:p w14:paraId="1427A084">
      <w:pPr>
        <w:spacing w:line="360" w:lineRule="auto"/>
        <w:ind w:left="570"/>
        <w:rPr>
          <w:rFonts w:hint="eastAsia" w:ascii="宋体" w:hAnsi="宋体" w:cs="宋体"/>
          <w:sz w:val="24"/>
        </w:rPr>
      </w:pPr>
      <w:r>
        <w:rPr>
          <w:rFonts w:hint="eastAsia" w:ascii="宋体" w:hAnsi="宋体" w:cs="宋体"/>
          <w:sz w:val="24"/>
        </w:rPr>
        <w:t>委托代理人：</w:t>
      </w:r>
      <w:r>
        <w:rPr>
          <w:rFonts w:hint="eastAsia" w:ascii="宋体" w:hAnsi="宋体" w:cs="宋体"/>
          <w:sz w:val="24"/>
          <w:u w:val="single"/>
        </w:rPr>
        <w:t xml:space="preserve">                            </w:t>
      </w:r>
      <w:r>
        <w:rPr>
          <w:rFonts w:hint="eastAsia" w:ascii="宋体" w:hAnsi="宋体" w:cs="宋体"/>
          <w:sz w:val="24"/>
        </w:rPr>
        <w:t>（签名）</w:t>
      </w:r>
    </w:p>
    <w:p w14:paraId="148C210C">
      <w:pPr>
        <w:spacing w:line="360" w:lineRule="auto"/>
        <w:rPr>
          <w:rFonts w:hint="eastAsia" w:ascii="宋体" w:hAnsi="宋体" w:cs="宋体"/>
          <w:sz w:val="24"/>
        </w:rPr>
      </w:pPr>
    </w:p>
    <w:p w14:paraId="3678290B">
      <w:pPr>
        <w:spacing w:line="360" w:lineRule="auto"/>
        <w:ind w:left="569" w:leftChars="271"/>
        <w:jc w:val="center"/>
        <w:rPr>
          <w:rFonts w:hint="eastAsia" w:ascii="宋体" w:hAnsi="宋体" w:cs="宋体"/>
          <w:sz w:val="24"/>
        </w:rPr>
      </w:pPr>
      <w:r>
        <w:rPr>
          <w:rFonts w:hint="eastAsia" w:ascii="宋体" w:hAnsi="宋体" w:cs="宋体"/>
          <w:sz w:val="24"/>
        </w:rPr>
        <w:t xml:space="preserve">                    年  月  日</w:t>
      </w:r>
    </w:p>
    <w:p w14:paraId="2771A602">
      <w:pPr>
        <w:spacing w:before="156" w:beforeLines="50" w:line="360" w:lineRule="auto"/>
        <w:rPr>
          <w:rFonts w:hint="eastAsia" w:ascii="宋体" w:hAnsi="宋体" w:cs="宋体"/>
          <w:b/>
          <w:sz w:val="24"/>
        </w:rPr>
      </w:pPr>
      <w:r>
        <w:rPr>
          <w:rFonts w:hint="eastAsia" w:ascii="宋体" w:hAnsi="宋体" w:cs="宋体"/>
          <w:b/>
          <w:sz w:val="24"/>
        </w:rPr>
        <w:br w:type="page"/>
      </w:r>
      <w:r>
        <w:rPr>
          <w:rFonts w:hint="eastAsia" w:ascii="宋体" w:hAnsi="宋体" w:cs="宋体"/>
          <w:b/>
          <w:sz w:val="24"/>
        </w:rPr>
        <w:t>附件1：</w:t>
      </w:r>
    </w:p>
    <w:p w14:paraId="54D94FB8">
      <w:pPr>
        <w:spacing w:before="156" w:beforeLines="50" w:line="360" w:lineRule="auto"/>
        <w:jc w:val="center"/>
        <w:rPr>
          <w:rFonts w:hint="eastAsia" w:ascii="宋体" w:hAnsi="宋体" w:cs="宋体"/>
          <w:b/>
          <w:sz w:val="28"/>
          <w:szCs w:val="28"/>
        </w:rPr>
      </w:pPr>
      <w:r>
        <w:rPr>
          <w:rFonts w:hint="eastAsia" w:ascii="宋体" w:hAnsi="宋体" w:cs="宋体"/>
          <w:b/>
          <w:sz w:val="28"/>
          <w:szCs w:val="28"/>
        </w:rPr>
        <w:t>功能清单</w:t>
      </w:r>
    </w:p>
    <w:p w14:paraId="69101717">
      <w:pPr>
        <w:spacing w:before="156" w:beforeLines="50" w:line="360" w:lineRule="auto"/>
        <w:jc w:val="center"/>
        <w:rPr>
          <w:rFonts w:hint="eastAsia" w:ascii="宋体" w:hAnsi="宋体" w:cs="宋体"/>
          <w:b/>
          <w:sz w:val="28"/>
          <w:szCs w:val="28"/>
        </w:rPr>
      </w:pPr>
    </w:p>
    <w:p w14:paraId="31C46E9F">
      <w:pPr>
        <w:rPr>
          <w:rFonts w:hint="eastAsia"/>
        </w:rPr>
      </w:pPr>
    </w:p>
    <w:p w14:paraId="72975F42">
      <w:pPr>
        <w:widowControl/>
        <w:jc w:val="left"/>
        <w:rPr>
          <w:rFonts w:hint="eastAsia" w:ascii="宋体" w:hAnsi="宋体" w:cs="宋体"/>
          <w:b/>
          <w:sz w:val="24"/>
        </w:rPr>
      </w:pPr>
      <w:r>
        <w:rPr>
          <w:rFonts w:hint="eastAsia" w:ascii="宋体" w:hAnsi="宋体" w:cs="宋体"/>
          <w:b/>
          <w:sz w:val="24"/>
        </w:rPr>
        <w:t>附件2：</w:t>
      </w:r>
    </w:p>
    <w:p w14:paraId="2532BF29">
      <w:pPr>
        <w:jc w:val="center"/>
        <w:rPr>
          <w:rFonts w:hint="eastAsia" w:ascii="宋体" w:hAnsi="宋体" w:cs="宋体"/>
          <w:b/>
          <w:sz w:val="28"/>
          <w:szCs w:val="28"/>
        </w:rPr>
      </w:pPr>
      <w:r>
        <w:rPr>
          <w:rFonts w:hint="eastAsia" w:ascii="宋体" w:hAnsi="宋体" w:cs="宋体"/>
          <w:b/>
          <w:sz w:val="28"/>
          <w:szCs w:val="28"/>
        </w:rPr>
        <w:t>售后服务条款</w:t>
      </w:r>
    </w:p>
    <w:p w14:paraId="48BE4D7B">
      <w:pPr>
        <w:numPr>
          <w:ilvl w:val="0"/>
          <w:numId w:val="6"/>
        </w:numPr>
        <w:tabs>
          <w:tab w:val="left" w:pos="360"/>
        </w:tabs>
        <w:spacing w:before="156" w:beforeLines="50" w:line="360" w:lineRule="auto"/>
        <w:rPr>
          <w:rFonts w:hint="eastAsia" w:ascii="宋体" w:hAnsi="宋体" w:cs="宋体"/>
          <w:sz w:val="24"/>
        </w:rPr>
      </w:pPr>
      <w:r>
        <w:rPr>
          <w:rFonts w:hint="eastAsia" w:ascii="宋体" w:hAnsi="宋体" w:cs="宋体"/>
          <w:sz w:val="24"/>
        </w:rPr>
        <w:t>自验收之日起3年内，提供免费技术支持服务，服务内容如下：</w:t>
      </w:r>
    </w:p>
    <w:p w14:paraId="3133E819">
      <w:pPr>
        <w:numPr>
          <w:ilvl w:val="0"/>
          <w:numId w:val="7"/>
        </w:numPr>
        <w:spacing w:line="360" w:lineRule="auto"/>
        <w:ind w:left="840" w:hanging="420"/>
        <w:rPr>
          <w:rFonts w:hint="eastAsia" w:ascii="宋体" w:hAnsi="宋体" w:cs="宋体"/>
          <w:sz w:val="24"/>
        </w:rPr>
      </w:pPr>
      <w:r>
        <w:rPr>
          <w:rFonts w:hint="eastAsia" w:ascii="宋体" w:hAnsi="宋体" w:cs="宋体"/>
          <w:sz w:val="24"/>
        </w:rPr>
        <w:t>由于系统数据或科研创新服务平台发生严重故障或在关键处理时期内主应用程序出现故障而使甲方科研创新服务平台系统停滞并且不能用科研创新服务平台处理数据。</w:t>
      </w:r>
    </w:p>
    <w:p w14:paraId="1F5475F7">
      <w:pPr>
        <w:numPr>
          <w:ilvl w:val="0"/>
          <w:numId w:val="7"/>
        </w:numPr>
        <w:spacing w:line="360" w:lineRule="auto"/>
        <w:ind w:left="840" w:hanging="420"/>
        <w:rPr>
          <w:rFonts w:hint="eastAsia" w:ascii="宋体" w:hAnsi="宋体" w:cs="宋体"/>
          <w:sz w:val="24"/>
        </w:rPr>
      </w:pPr>
      <w:r>
        <w:rPr>
          <w:rFonts w:hint="eastAsia" w:ascii="宋体" w:hAnsi="宋体" w:cs="宋体"/>
          <w:sz w:val="24"/>
        </w:rPr>
        <w:t>科研创新服务平台发生问题而导致甲方主要业务受到严重干扰并且无法轻易解决（暂时性地）的问题。</w:t>
      </w:r>
    </w:p>
    <w:p w14:paraId="54871B88">
      <w:pPr>
        <w:numPr>
          <w:ilvl w:val="0"/>
          <w:numId w:val="7"/>
        </w:numPr>
        <w:spacing w:line="360" w:lineRule="auto"/>
        <w:ind w:left="840" w:hanging="420"/>
        <w:rPr>
          <w:rFonts w:hint="eastAsia" w:ascii="宋体" w:hAnsi="宋体" w:cs="宋体"/>
          <w:sz w:val="24"/>
        </w:rPr>
      </w:pPr>
      <w:r>
        <w:rPr>
          <w:rFonts w:hint="eastAsia" w:ascii="宋体" w:hAnsi="宋体" w:cs="宋体"/>
          <w:sz w:val="24"/>
        </w:rPr>
        <w:t>科研创新服务平台发生非关键性问题，并且甲方能继续运行系统或进行操作。</w:t>
      </w:r>
    </w:p>
    <w:p w14:paraId="1D09B59D">
      <w:pPr>
        <w:numPr>
          <w:ilvl w:val="0"/>
          <w:numId w:val="7"/>
        </w:numPr>
        <w:spacing w:line="360" w:lineRule="auto"/>
        <w:ind w:left="840" w:hanging="420"/>
        <w:rPr>
          <w:rFonts w:hint="eastAsia" w:ascii="宋体" w:hAnsi="宋体" w:cs="宋体"/>
          <w:sz w:val="24"/>
        </w:rPr>
      </w:pPr>
      <w:r>
        <w:rPr>
          <w:rFonts w:hint="eastAsia" w:ascii="宋体" w:hAnsi="宋体" w:cs="宋体"/>
          <w:sz w:val="24"/>
        </w:rPr>
        <w:t>所有有关科研创新服务平台的使用和实施的问题和要求。</w:t>
      </w:r>
    </w:p>
    <w:p w14:paraId="189528FC">
      <w:pPr>
        <w:numPr>
          <w:ilvl w:val="0"/>
          <w:numId w:val="7"/>
        </w:numPr>
        <w:spacing w:line="360" w:lineRule="auto"/>
        <w:ind w:left="840" w:hanging="420"/>
        <w:rPr>
          <w:rFonts w:hint="eastAsia" w:ascii="宋体" w:hAnsi="宋体" w:cs="宋体"/>
          <w:sz w:val="24"/>
        </w:rPr>
      </w:pPr>
      <w:r>
        <w:rPr>
          <w:rFonts w:hint="eastAsia" w:ascii="宋体" w:hAnsi="宋体" w:cs="宋体"/>
          <w:sz w:val="24"/>
        </w:rPr>
        <w:t>由于系统本身程序所引起的问题，提供永久免费技术支持服务。</w:t>
      </w:r>
    </w:p>
    <w:p w14:paraId="465A4A46">
      <w:pPr>
        <w:numPr>
          <w:ilvl w:val="0"/>
          <w:numId w:val="6"/>
        </w:numPr>
        <w:tabs>
          <w:tab w:val="left" w:pos="360"/>
        </w:tabs>
        <w:spacing w:before="156" w:beforeLines="50" w:line="360" w:lineRule="auto"/>
        <w:rPr>
          <w:rFonts w:hint="eastAsia" w:ascii="宋体" w:hAnsi="宋体" w:cs="宋体"/>
          <w:sz w:val="24"/>
        </w:rPr>
      </w:pPr>
      <w:r>
        <w:rPr>
          <w:rFonts w:hint="eastAsia" w:ascii="宋体" w:hAnsi="宋体" w:cs="宋体"/>
          <w:sz w:val="24"/>
        </w:rPr>
        <w:t>服务方式：</w:t>
      </w:r>
    </w:p>
    <w:p w14:paraId="02ADAA08">
      <w:pPr>
        <w:numPr>
          <w:ilvl w:val="0"/>
          <w:numId w:val="8"/>
        </w:numPr>
        <w:spacing w:line="360" w:lineRule="auto"/>
        <w:ind w:left="840" w:hanging="420"/>
        <w:rPr>
          <w:rFonts w:hint="eastAsia" w:ascii="宋体" w:hAnsi="宋体" w:cs="宋体"/>
          <w:sz w:val="24"/>
        </w:rPr>
      </w:pPr>
      <w:r>
        <w:rPr>
          <w:rFonts w:hint="eastAsia" w:ascii="宋体" w:hAnsi="宋体" w:cs="宋体"/>
          <w:sz w:val="24"/>
        </w:rPr>
        <w:t>热线服务：乙方维护服务人员通过热线电话、电子邮件为甲方解答技术问题。提供5*8小时的电话技术支持和服务，对于一般问题，2小时内做出实质性响应。远程维护服务：乙方通过远程维护方式对甲方的科研创新服务平台进行远程调试的，甲方需要开放相应的公网地址及端口。</w:t>
      </w:r>
    </w:p>
    <w:p w14:paraId="7A0E89E2">
      <w:pPr>
        <w:numPr>
          <w:ilvl w:val="0"/>
          <w:numId w:val="8"/>
        </w:numPr>
        <w:spacing w:line="360" w:lineRule="auto"/>
        <w:ind w:left="840" w:hanging="420"/>
        <w:rPr>
          <w:rFonts w:hint="eastAsia" w:ascii="宋体" w:hAnsi="宋体" w:cs="宋体"/>
          <w:sz w:val="24"/>
        </w:rPr>
      </w:pPr>
      <w:r>
        <w:rPr>
          <w:rFonts w:hint="eastAsia" w:ascii="宋体" w:hAnsi="宋体" w:cs="宋体"/>
          <w:sz w:val="24"/>
        </w:rPr>
        <w:t>指定专人为系统提供技术支持服务，服务范围包括系统安装、调试、性能优化、系统管理等。</w:t>
      </w:r>
    </w:p>
    <w:p w14:paraId="149D1F43">
      <w:pPr>
        <w:numPr>
          <w:ilvl w:val="0"/>
          <w:numId w:val="6"/>
        </w:numPr>
        <w:tabs>
          <w:tab w:val="left" w:pos="360"/>
        </w:tabs>
        <w:spacing w:before="156" w:beforeLines="50" w:line="360" w:lineRule="auto"/>
        <w:rPr>
          <w:rFonts w:hint="eastAsia" w:ascii="宋体" w:hAnsi="宋体" w:cs="宋体"/>
          <w:sz w:val="24"/>
        </w:rPr>
      </w:pPr>
      <w:r>
        <w:rPr>
          <w:rFonts w:hint="eastAsia" w:ascii="宋体" w:hAnsi="宋体" w:cs="宋体"/>
          <w:sz w:val="24"/>
        </w:rPr>
        <w:t>乙方对如下软件产品不提供任何维护与技术支持服务：</w:t>
      </w:r>
    </w:p>
    <w:p w14:paraId="4D5E6F01">
      <w:pPr>
        <w:numPr>
          <w:ilvl w:val="0"/>
          <w:numId w:val="9"/>
        </w:numPr>
        <w:spacing w:line="360" w:lineRule="auto"/>
        <w:ind w:left="840" w:hanging="420"/>
        <w:rPr>
          <w:rFonts w:hint="eastAsia" w:ascii="宋体" w:hAnsi="宋体" w:cs="宋体"/>
          <w:sz w:val="24"/>
        </w:rPr>
      </w:pPr>
      <w:r>
        <w:rPr>
          <w:rFonts w:hint="eastAsia" w:ascii="宋体" w:hAnsi="宋体" w:cs="宋体"/>
          <w:sz w:val="24"/>
        </w:rPr>
        <w:t>乙方之外的任何人未经乙方许可对科研创新服务平台进行任何方式的修改而产生的软件运行故障。</w:t>
      </w:r>
    </w:p>
    <w:p w14:paraId="5A631481">
      <w:pPr>
        <w:numPr>
          <w:ilvl w:val="0"/>
          <w:numId w:val="9"/>
        </w:numPr>
        <w:spacing w:line="360" w:lineRule="auto"/>
        <w:ind w:left="840" w:hanging="420"/>
        <w:rPr>
          <w:rFonts w:hint="eastAsia" w:ascii="宋体" w:hAnsi="宋体" w:cs="宋体"/>
          <w:sz w:val="24"/>
        </w:rPr>
      </w:pPr>
      <w:r>
        <w:rPr>
          <w:rFonts w:hint="eastAsia" w:ascii="宋体" w:hAnsi="宋体" w:cs="宋体"/>
          <w:sz w:val="24"/>
        </w:rPr>
        <w:t>甲方未按照开发合同约定的范围及限制使用的科研创新服务平台。</w:t>
      </w:r>
    </w:p>
    <w:p w14:paraId="4281AC1F">
      <w:pPr>
        <w:numPr>
          <w:ilvl w:val="0"/>
          <w:numId w:val="9"/>
        </w:numPr>
        <w:spacing w:line="360" w:lineRule="auto"/>
        <w:ind w:left="840" w:hanging="420"/>
        <w:rPr>
          <w:rFonts w:hint="eastAsia" w:ascii="宋体" w:hAnsi="宋体" w:cs="宋体"/>
          <w:sz w:val="24"/>
        </w:rPr>
      </w:pPr>
      <w:r>
        <w:rPr>
          <w:rFonts w:hint="eastAsia" w:ascii="宋体" w:hAnsi="宋体" w:cs="宋体"/>
          <w:sz w:val="24"/>
        </w:rPr>
        <w:t>甲方所使用的任何第三方软件产品（如：操作系统、数据库系统、非科研创新服务平台软件）。</w:t>
      </w:r>
    </w:p>
    <w:p w14:paraId="6748DE16">
      <w:pPr>
        <w:numPr>
          <w:ilvl w:val="0"/>
          <w:numId w:val="9"/>
        </w:numPr>
        <w:spacing w:line="360" w:lineRule="auto"/>
        <w:ind w:left="840" w:hanging="420"/>
        <w:rPr>
          <w:rFonts w:hint="eastAsia" w:ascii="宋体" w:hAnsi="宋体" w:cs="宋体"/>
          <w:sz w:val="24"/>
        </w:rPr>
      </w:pPr>
      <w:r>
        <w:rPr>
          <w:rFonts w:hint="eastAsia" w:ascii="宋体" w:hAnsi="宋体" w:cs="宋体"/>
          <w:sz w:val="24"/>
        </w:rPr>
        <w:t>甲方人员非法操作、计算机设备感染病毒或第三方产品的故障、计算机设备故障、网络故障等使科研创新服务平台无法正常运行。</w:t>
      </w:r>
    </w:p>
    <w:p w14:paraId="62DA0686">
      <w:pPr>
        <w:numPr>
          <w:ilvl w:val="0"/>
          <w:numId w:val="9"/>
        </w:numPr>
        <w:spacing w:line="360" w:lineRule="auto"/>
        <w:ind w:left="840" w:hanging="420"/>
        <w:rPr>
          <w:rFonts w:hint="eastAsia" w:ascii="宋体" w:hAnsi="宋体" w:cs="宋体"/>
          <w:sz w:val="24"/>
        </w:rPr>
      </w:pPr>
      <w:r>
        <w:rPr>
          <w:rFonts w:hint="eastAsia" w:ascii="宋体" w:hAnsi="宋体" w:cs="宋体"/>
          <w:sz w:val="24"/>
        </w:rPr>
        <w:t>甲方因科研创新服务平台遗失、被盗、被误用或被擅自修改、计算机设备故障、网络故障、其他软件的故障、操作失误等情况造成数据混乱和丢失。</w:t>
      </w:r>
    </w:p>
    <w:sectPr>
      <w:headerReference r:id="rId3" w:type="default"/>
      <w:footerReference r:id="rId4" w:type="default"/>
      <w:pgSz w:w="11906" w:h="16838"/>
      <w:pgMar w:top="1417" w:right="1531" w:bottom="1304" w:left="1531" w:header="851" w:footer="85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64A02">
    <w:pPr>
      <w:pStyle w:val="7"/>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lang/>
      </w:rPr>
      <w:t>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lang/>
      </w:rPr>
      <w:t>7</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85CD7">
    <w:pPr>
      <w:pStyle w:val="8"/>
      <w:pBdr>
        <w:bottom w:val="none" w:color="auto" w:sz="0" w:space="1"/>
      </w:pBdr>
      <w:tabs>
        <w:tab w:val="left" w:pos="1245"/>
        <w:tab w:val="clear" w:pos="4153"/>
        <w:tab w:val="clear" w:pos="8306"/>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6F1313"/>
    <w:multiLevelType w:val="multilevel"/>
    <w:tmpl w:val="0D6F1313"/>
    <w:lvl w:ilvl="0" w:tentative="0">
      <w:start w:val="1"/>
      <w:numFmt w:val="decimal"/>
      <w:lvlText w:val="%1、"/>
      <w:lvlJc w:val="left"/>
      <w:pPr>
        <w:tabs>
          <w:tab w:val="left" w:pos="842"/>
        </w:tabs>
        <w:ind w:left="842" w:hanging="420"/>
      </w:pPr>
      <w:rPr>
        <w:rFonts w:ascii="宋体" w:hAnsi="宋体" w:eastAsia="宋体" w:cs="Times New Roman"/>
      </w:rPr>
    </w:lvl>
    <w:lvl w:ilvl="1" w:tentative="0">
      <w:start w:val="1"/>
      <w:numFmt w:val="lowerLetter"/>
      <w:lvlText w:val="%2)"/>
      <w:lvlJc w:val="left"/>
      <w:pPr>
        <w:tabs>
          <w:tab w:val="left" w:pos="1262"/>
        </w:tabs>
        <w:ind w:left="1262" w:hanging="420"/>
      </w:pPr>
    </w:lvl>
    <w:lvl w:ilvl="2" w:tentative="0">
      <w:start w:val="1"/>
      <w:numFmt w:val="lowerRoman"/>
      <w:lvlText w:val="%3."/>
      <w:lvlJc w:val="right"/>
      <w:pPr>
        <w:tabs>
          <w:tab w:val="left" w:pos="1682"/>
        </w:tabs>
        <w:ind w:left="1682" w:hanging="420"/>
      </w:p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1">
    <w:nsid w:val="36812582"/>
    <w:multiLevelType w:val="multilevel"/>
    <w:tmpl w:val="36812582"/>
    <w:lvl w:ilvl="0" w:tentative="0">
      <w:start w:val="1"/>
      <w:numFmt w:val="japaneseCounting"/>
      <w:lvlText w:val="%1、"/>
      <w:lvlJc w:val="left"/>
      <w:pPr>
        <w:ind w:left="734" w:hanging="45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C37B28"/>
    <w:multiLevelType w:val="multilevel"/>
    <w:tmpl w:val="37C37B28"/>
    <w:lvl w:ilvl="0" w:tentative="0">
      <w:start w:val="1"/>
      <w:numFmt w:val="decimal"/>
      <w:lvlText w:val="%1、"/>
      <w:lvlJc w:val="left"/>
      <w:pPr>
        <w:ind w:left="885" w:hanging="360"/>
      </w:pPr>
      <w:rPr>
        <w:rFonts w:hint="default"/>
      </w:rPr>
    </w:lvl>
    <w:lvl w:ilvl="1" w:tentative="0">
      <w:start w:val="1"/>
      <w:numFmt w:val="lowerLetter"/>
      <w:lvlText w:val="%2)"/>
      <w:lvlJc w:val="left"/>
      <w:pPr>
        <w:ind w:left="1365" w:hanging="420"/>
      </w:pPr>
    </w:lvl>
    <w:lvl w:ilvl="2" w:tentative="0">
      <w:start w:val="1"/>
      <w:numFmt w:val="lowerRoman"/>
      <w:lvlText w:val="%3."/>
      <w:lvlJc w:val="right"/>
      <w:pPr>
        <w:ind w:left="1785" w:hanging="420"/>
      </w:pPr>
    </w:lvl>
    <w:lvl w:ilvl="3" w:tentative="0">
      <w:start w:val="1"/>
      <w:numFmt w:val="decimal"/>
      <w:lvlText w:val="%4."/>
      <w:lvlJc w:val="left"/>
      <w:pPr>
        <w:ind w:left="2205" w:hanging="420"/>
      </w:pPr>
    </w:lvl>
    <w:lvl w:ilvl="4" w:tentative="0">
      <w:start w:val="1"/>
      <w:numFmt w:val="lowerLetter"/>
      <w:lvlText w:val="%5)"/>
      <w:lvlJc w:val="left"/>
      <w:pPr>
        <w:ind w:left="2625" w:hanging="420"/>
      </w:pPr>
    </w:lvl>
    <w:lvl w:ilvl="5" w:tentative="0">
      <w:start w:val="1"/>
      <w:numFmt w:val="lowerRoman"/>
      <w:lvlText w:val="%6."/>
      <w:lvlJc w:val="right"/>
      <w:pPr>
        <w:ind w:left="3045" w:hanging="420"/>
      </w:pPr>
    </w:lvl>
    <w:lvl w:ilvl="6" w:tentative="0">
      <w:start w:val="1"/>
      <w:numFmt w:val="decimal"/>
      <w:lvlText w:val="%7."/>
      <w:lvlJc w:val="left"/>
      <w:pPr>
        <w:ind w:left="3465" w:hanging="420"/>
      </w:pPr>
    </w:lvl>
    <w:lvl w:ilvl="7" w:tentative="0">
      <w:start w:val="1"/>
      <w:numFmt w:val="lowerLetter"/>
      <w:lvlText w:val="%8)"/>
      <w:lvlJc w:val="left"/>
      <w:pPr>
        <w:ind w:left="3885" w:hanging="420"/>
      </w:pPr>
    </w:lvl>
    <w:lvl w:ilvl="8" w:tentative="0">
      <w:start w:val="1"/>
      <w:numFmt w:val="lowerRoman"/>
      <w:lvlText w:val="%9."/>
      <w:lvlJc w:val="right"/>
      <w:pPr>
        <w:ind w:left="4305" w:hanging="420"/>
      </w:pPr>
    </w:lvl>
  </w:abstractNum>
  <w:abstractNum w:abstractNumId="3">
    <w:nsid w:val="48884D79"/>
    <w:multiLevelType w:val="multilevel"/>
    <w:tmpl w:val="48884D79"/>
    <w:lvl w:ilvl="0" w:tentative="0">
      <w:start w:val="1"/>
      <w:numFmt w:val="decimal"/>
      <w:lvlText w:val="%1、"/>
      <w:lvlJc w:val="left"/>
      <w:pPr>
        <w:ind w:left="928"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abstractNum w:abstractNumId="4">
    <w:nsid w:val="4CAF1C94"/>
    <w:multiLevelType w:val="multilevel"/>
    <w:tmpl w:val="4CAF1C94"/>
    <w:lvl w:ilvl="0" w:tentative="0">
      <w:start w:val="1"/>
      <w:numFmt w:val="chineseCountingThousand"/>
      <w:lvlText w:val="%1、"/>
      <w:lvlJc w:val="left"/>
      <w:pPr>
        <w:ind w:left="480" w:hanging="480"/>
      </w:pPr>
      <w:rPr>
        <w:rFonts w:hint="default" w:ascii="宋体" w:hAnsi="宋体" w:eastAsia="宋体"/>
        <w:color w:val="00000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E78696A"/>
    <w:multiLevelType w:val="multilevel"/>
    <w:tmpl w:val="5E78696A"/>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5E78697D"/>
    <w:multiLevelType w:val="multilevel"/>
    <w:tmpl w:val="5E78697D"/>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632836D0"/>
    <w:multiLevelType w:val="multilevel"/>
    <w:tmpl w:val="632836D0"/>
    <w:lvl w:ilvl="0" w:tentative="0">
      <w:start w:val="1"/>
      <w:numFmt w:val="decimal"/>
      <w:lvlText w:val="%1、"/>
      <w:lvlJc w:val="left"/>
      <w:pPr>
        <w:ind w:left="928" w:hanging="360"/>
      </w:pPr>
      <w:rPr>
        <w:rFonts w:hint="default"/>
      </w:rPr>
    </w:lvl>
    <w:lvl w:ilvl="1" w:tentative="0">
      <w:start w:val="1"/>
      <w:numFmt w:val="lowerLetter"/>
      <w:lvlText w:val="%2)"/>
      <w:lvlJc w:val="left"/>
      <w:pPr>
        <w:ind w:left="1290" w:hanging="420"/>
      </w:pPr>
    </w:lvl>
    <w:lvl w:ilvl="2" w:tentative="0">
      <w:start w:val="1"/>
      <w:numFmt w:val="lowerRoman"/>
      <w:lvlText w:val="%3."/>
      <w:lvlJc w:val="right"/>
      <w:pPr>
        <w:ind w:left="1710" w:hanging="420"/>
      </w:pPr>
    </w:lvl>
    <w:lvl w:ilvl="3" w:tentative="0">
      <w:start w:val="1"/>
      <w:numFmt w:val="decimal"/>
      <w:lvlText w:val="%4."/>
      <w:lvlJc w:val="left"/>
      <w:pPr>
        <w:ind w:left="2130" w:hanging="420"/>
      </w:pPr>
    </w:lvl>
    <w:lvl w:ilvl="4" w:tentative="0">
      <w:start w:val="1"/>
      <w:numFmt w:val="lowerLetter"/>
      <w:lvlText w:val="%5)"/>
      <w:lvlJc w:val="left"/>
      <w:pPr>
        <w:ind w:left="2550" w:hanging="420"/>
      </w:pPr>
    </w:lvl>
    <w:lvl w:ilvl="5" w:tentative="0">
      <w:start w:val="1"/>
      <w:numFmt w:val="lowerRoman"/>
      <w:lvlText w:val="%6."/>
      <w:lvlJc w:val="right"/>
      <w:pPr>
        <w:ind w:left="2970" w:hanging="420"/>
      </w:pPr>
    </w:lvl>
    <w:lvl w:ilvl="6" w:tentative="0">
      <w:start w:val="1"/>
      <w:numFmt w:val="decimal"/>
      <w:lvlText w:val="%7."/>
      <w:lvlJc w:val="left"/>
      <w:pPr>
        <w:ind w:left="3390" w:hanging="420"/>
      </w:pPr>
    </w:lvl>
    <w:lvl w:ilvl="7" w:tentative="0">
      <w:start w:val="1"/>
      <w:numFmt w:val="lowerLetter"/>
      <w:lvlText w:val="%8)"/>
      <w:lvlJc w:val="left"/>
      <w:pPr>
        <w:ind w:left="3810" w:hanging="420"/>
      </w:pPr>
    </w:lvl>
    <w:lvl w:ilvl="8" w:tentative="0">
      <w:start w:val="1"/>
      <w:numFmt w:val="lowerRoman"/>
      <w:lvlText w:val="%9."/>
      <w:lvlJc w:val="right"/>
      <w:pPr>
        <w:ind w:left="4230" w:hanging="420"/>
      </w:pPr>
    </w:lvl>
  </w:abstractNum>
  <w:abstractNum w:abstractNumId="8">
    <w:nsid w:val="6441685D"/>
    <w:multiLevelType w:val="multilevel"/>
    <w:tmpl w:val="6441685D"/>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num w:numId="1">
    <w:abstractNumId w:val="1"/>
  </w:num>
  <w:num w:numId="2">
    <w:abstractNumId w:val="2"/>
  </w:num>
  <w:num w:numId="3">
    <w:abstractNumId w:val="3"/>
  </w:num>
  <w:num w:numId="4">
    <w:abstractNumId w:val="7"/>
  </w:num>
  <w:num w:numId="5">
    <w:abstractNumId w:val="0"/>
  </w:num>
  <w:num w:numId="6">
    <w:abstractNumId w:val="4"/>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DFE"/>
    <w:rsid w:val="00007132"/>
    <w:rsid w:val="00007FCF"/>
    <w:rsid w:val="00010BEB"/>
    <w:rsid w:val="00014EF4"/>
    <w:rsid w:val="000277C7"/>
    <w:rsid w:val="00030EAE"/>
    <w:rsid w:val="00036C11"/>
    <w:rsid w:val="000436D9"/>
    <w:rsid w:val="00046FBD"/>
    <w:rsid w:val="00062A05"/>
    <w:rsid w:val="000633BE"/>
    <w:rsid w:val="00065A5C"/>
    <w:rsid w:val="000763FA"/>
    <w:rsid w:val="000779AB"/>
    <w:rsid w:val="00082EB2"/>
    <w:rsid w:val="00083E22"/>
    <w:rsid w:val="000859F9"/>
    <w:rsid w:val="00090613"/>
    <w:rsid w:val="00091317"/>
    <w:rsid w:val="000913FE"/>
    <w:rsid w:val="00093582"/>
    <w:rsid w:val="000952ED"/>
    <w:rsid w:val="000A1DA9"/>
    <w:rsid w:val="000A4C1D"/>
    <w:rsid w:val="000A7563"/>
    <w:rsid w:val="000B06F6"/>
    <w:rsid w:val="000B1BAF"/>
    <w:rsid w:val="000B51E9"/>
    <w:rsid w:val="000B57C1"/>
    <w:rsid w:val="000B71E2"/>
    <w:rsid w:val="000B7239"/>
    <w:rsid w:val="000D6119"/>
    <w:rsid w:val="000E2092"/>
    <w:rsid w:val="000E5C1F"/>
    <w:rsid w:val="000E6653"/>
    <w:rsid w:val="000F1855"/>
    <w:rsid w:val="000F62FF"/>
    <w:rsid w:val="0010531E"/>
    <w:rsid w:val="00106AB0"/>
    <w:rsid w:val="00110392"/>
    <w:rsid w:val="0013063D"/>
    <w:rsid w:val="00136851"/>
    <w:rsid w:val="00137EB0"/>
    <w:rsid w:val="001541F8"/>
    <w:rsid w:val="00155C3C"/>
    <w:rsid w:val="00157D3B"/>
    <w:rsid w:val="001675C4"/>
    <w:rsid w:val="00167AAE"/>
    <w:rsid w:val="00170E70"/>
    <w:rsid w:val="00180B57"/>
    <w:rsid w:val="00181F4C"/>
    <w:rsid w:val="001867CA"/>
    <w:rsid w:val="00187293"/>
    <w:rsid w:val="00196B41"/>
    <w:rsid w:val="001B256E"/>
    <w:rsid w:val="001B2E72"/>
    <w:rsid w:val="001B39E3"/>
    <w:rsid w:val="001B3DEC"/>
    <w:rsid w:val="001D251E"/>
    <w:rsid w:val="001D28DD"/>
    <w:rsid w:val="001D7B77"/>
    <w:rsid w:val="001E1D3F"/>
    <w:rsid w:val="001E381C"/>
    <w:rsid w:val="001F364C"/>
    <w:rsid w:val="001F4E99"/>
    <w:rsid w:val="00200A34"/>
    <w:rsid w:val="00210728"/>
    <w:rsid w:val="00212AAF"/>
    <w:rsid w:val="0022067B"/>
    <w:rsid w:val="002216E0"/>
    <w:rsid w:val="0024477E"/>
    <w:rsid w:val="002544C6"/>
    <w:rsid w:val="00264C76"/>
    <w:rsid w:val="00267BB1"/>
    <w:rsid w:val="002724CC"/>
    <w:rsid w:val="00273A21"/>
    <w:rsid w:val="002811C7"/>
    <w:rsid w:val="0028292A"/>
    <w:rsid w:val="0029113B"/>
    <w:rsid w:val="002A2A92"/>
    <w:rsid w:val="002A4FE7"/>
    <w:rsid w:val="002B2F16"/>
    <w:rsid w:val="002B76C4"/>
    <w:rsid w:val="002C023E"/>
    <w:rsid w:val="002C19A3"/>
    <w:rsid w:val="002C76C1"/>
    <w:rsid w:val="002C7BD1"/>
    <w:rsid w:val="002D34FF"/>
    <w:rsid w:val="002E0C71"/>
    <w:rsid w:val="002E1DFE"/>
    <w:rsid w:val="002E2394"/>
    <w:rsid w:val="002E5948"/>
    <w:rsid w:val="002F2F0B"/>
    <w:rsid w:val="002F314B"/>
    <w:rsid w:val="00302206"/>
    <w:rsid w:val="00311481"/>
    <w:rsid w:val="00324FE7"/>
    <w:rsid w:val="00330DDF"/>
    <w:rsid w:val="003327CF"/>
    <w:rsid w:val="00332FAC"/>
    <w:rsid w:val="0033499D"/>
    <w:rsid w:val="00337B06"/>
    <w:rsid w:val="003506A2"/>
    <w:rsid w:val="00353AE3"/>
    <w:rsid w:val="00362A9F"/>
    <w:rsid w:val="00362E5A"/>
    <w:rsid w:val="0037541D"/>
    <w:rsid w:val="0037659B"/>
    <w:rsid w:val="00380EA8"/>
    <w:rsid w:val="00386922"/>
    <w:rsid w:val="003928C3"/>
    <w:rsid w:val="003938E9"/>
    <w:rsid w:val="00394082"/>
    <w:rsid w:val="00396137"/>
    <w:rsid w:val="003A0306"/>
    <w:rsid w:val="003A3596"/>
    <w:rsid w:val="003A787D"/>
    <w:rsid w:val="003B5B0F"/>
    <w:rsid w:val="003C15DB"/>
    <w:rsid w:val="003C3A98"/>
    <w:rsid w:val="003C4886"/>
    <w:rsid w:val="003C5DF5"/>
    <w:rsid w:val="003C6559"/>
    <w:rsid w:val="003C6F43"/>
    <w:rsid w:val="003C741F"/>
    <w:rsid w:val="003E1B7A"/>
    <w:rsid w:val="003E46DA"/>
    <w:rsid w:val="003E5512"/>
    <w:rsid w:val="003E6299"/>
    <w:rsid w:val="004070F7"/>
    <w:rsid w:val="0040743C"/>
    <w:rsid w:val="00413EFF"/>
    <w:rsid w:val="00416197"/>
    <w:rsid w:val="0042132A"/>
    <w:rsid w:val="00422343"/>
    <w:rsid w:val="004272A1"/>
    <w:rsid w:val="00427C10"/>
    <w:rsid w:val="00431CEC"/>
    <w:rsid w:val="00434DE5"/>
    <w:rsid w:val="00440F8C"/>
    <w:rsid w:val="00442133"/>
    <w:rsid w:val="00450547"/>
    <w:rsid w:val="0045674B"/>
    <w:rsid w:val="00466161"/>
    <w:rsid w:val="00466D80"/>
    <w:rsid w:val="00471D82"/>
    <w:rsid w:val="004801AE"/>
    <w:rsid w:val="00480767"/>
    <w:rsid w:val="004824BA"/>
    <w:rsid w:val="00482FFC"/>
    <w:rsid w:val="004834F5"/>
    <w:rsid w:val="004859D6"/>
    <w:rsid w:val="00490ACC"/>
    <w:rsid w:val="004948FC"/>
    <w:rsid w:val="004A41AA"/>
    <w:rsid w:val="004A4A79"/>
    <w:rsid w:val="004A4AB9"/>
    <w:rsid w:val="004A527E"/>
    <w:rsid w:val="004A536B"/>
    <w:rsid w:val="004A6CE5"/>
    <w:rsid w:val="004B0593"/>
    <w:rsid w:val="004B56D2"/>
    <w:rsid w:val="004B7A88"/>
    <w:rsid w:val="004B7D14"/>
    <w:rsid w:val="004C761E"/>
    <w:rsid w:val="004D0E2D"/>
    <w:rsid w:val="004D473A"/>
    <w:rsid w:val="004E0D2B"/>
    <w:rsid w:val="004E2A55"/>
    <w:rsid w:val="004E2F41"/>
    <w:rsid w:val="004E58A5"/>
    <w:rsid w:val="004F1E1F"/>
    <w:rsid w:val="004F2127"/>
    <w:rsid w:val="004F2BF1"/>
    <w:rsid w:val="004F7BF2"/>
    <w:rsid w:val="0050699B"/>
    <w:rsid w:val="00511BD6"/>
    <w:rsid w:val="005125D1"/>
    <w:rsid w:val="00513C36"/>
    <w:rsid w:val="005174F3"/>
    <w:rsid w:val="005206B6"/>
    <w:rsid w:val="00521C64"/>
    <w:rsid w:val="0052447F"/>
    <w:rsid w:val="0052584D"/>
    <w:rsid w:val="00525EF7"/>
    <w:rsid w:val="0052771A"/>
    <w:rsid w:val="005321F8"/>
    <w:rsid w:val="00535075"/>
    <w:rsid w:val="00541667"/>
    <w:rsid w:val="00542FAC"/>
    <w:rsid w:val="005431DA"/>
    <w:rsid w:val="00576BEF"/>
    <w:rsid w:val="005834B0"/>
    <w:rsid w:val="00587DAF"/>
    <w:rsid w:val="00593F9C"/>
    <w:rsid w:val="00596295"/>
    <w:rsid w:val="005A2CE0"/>
    <w:rsid w:val="005A3772"/>
    <w:rsid w:val="005A41D2"/>
    <w:rsid w:val="005B42EC"/>
    <w:rsid w:val="005B77F6"/>
    <w:rsid w:val="005C03AB"/>
    <w:rsid w:val="005D1AE4"/>
    <w:rsid w:val="005D2380"/>
    <w:rsid w:val="005D2382"/>
    <w:rsid w:val="005D2EB7"/>
    <w:rsid w:val="005E0973"/>
    <w:rsid w:val="005E518B"/>
    <w:rsid w:val="005E5236"/>
    <w:rsid w:val="005F244F"/>
    <w:rsid w:val="005F2939"/>
    <w:rsid w:val="005F6FF4"/>
    <w:rsid w:val="00604CD7"/>
    <w:rsid w:val="00606C62"/>
    <w:rsid w:val="00611403"/>
    <w:rsid w:val="006117A4"/>
    <w:rsid w:val="0061309F"/>
    <w:rsid w:val="00613999"/>
    <w:rsid w:val="00622DEF"/>
    <w:rsid w:val="00623CC1"/>
    <w:rsid w:val="00627CCD"/>
    <w:rsid w:val="0064539B"/>
    <w:rsid w:val="00645941"/>
    <w:rsid w:val="0065245D"/>
    <w:rsid w:val="0066064B"/>
    <w:rsid w:val="0066099A"/>
    <w:rsid w:val="0066136C"/>
    <w:rsid w:val="00677CB4"/>
    <w:rsid w:val="006832F0"/>
    <w:rsid w:val="006926A6"/>
    <w:rsid w:val="006A2575"/>
    <w:rsid w:val="006B126A"/>
    <w:rsid w:val="006B2394"/>
    <w:rsid w:val="006B5582"/>
    <w:rsid w:val="006C3F7D"/>
    <w:rsid w:val="006C724C"/>
    <w:rsid w:val="006D323B"/>
    <w:rsid w:val="006D4B59"/>
    <w:rsid w:val="006D5D56"/>
    <w:rsid w:val="006E578C"/>
    <w:rsid w:val="006E5995"/>
    <w:rsid w:val="006E7977"/>
    <w:rsid w:val="006F0A34"/>
    <w:rsid w:val="006F4EA4"/>
    <w:rsid w:val="00702BD6"/>
    <w:rsid w:val="007079E1"/>
    <w:rsid w:val="007118D9"/>
    <w:rsid w:val="00713325"/>
    <w:rsid w:val="00713E21"/>
    <w:rsid w:val="00714430"/>
    <w:rsid w:val="00724F59"/>
    <w:rsid w:val="00725F1F"/>
    <w:rsid w:val="007267AC"/>
    <w:rsid w:val="0073246E"/>
    <w:rsid w:val="00752AA7"/>
    <w:rsid w:val="007548E1"/>
    <w:rsid w:val="007621A6"/>
    <w:rsid w:val="0076793A"/>
    <w:rsid w:val="00776E12"/>
    <w:rsid w:val="00780215"/>
    <w:rsid w:val="00794CA5"/>
    <w:rsid w:val="007A66E6"/>
    <w:rsid w:val="007B2B8E"/>
    <w:rsid w:val="007B5DF1"/>
    <w:rsid w:val="007C59D4"/>
    <w:rsid w:val="007D0FAD"/>
    <w:rsid w:val="007F0CAE"/>
    <w:rsid w:val="00814A58"/>
    <w:rsid w:val="00816AA2"/>
    <w:rsid w:val="00816B23"/>
    <w:rsid w:val="0082439A"/>
    <w:rsid w:val="00826BC3"/>
    <w:rsid w:val="00846E98"/>
    <w:rsid w:val="008609D5"/>
    <w:rsid w:val="00866245"/>
    <w:rsid w:val="00871A06"/>
    <w:rsid w:val="00877E04"/>
    <w:rsid w:val="00886EBE"/>
    <w:rsid w:val="008931CD"/>
    <w:rsid w:val="00897BE2"/>
    <w:rsid w:val="008A1D2E"/>
    <w:rsid w:val="008A1E75"/>
    <w:rsid w:val="008B0CAD"/>
    <w:rsid w:val="008B0D50"/>
    <w:rsid w:val="008B0E63"/>
    <w:rsid w:val="008B26DD"/>
    <w:rsid w:val="008B2A06"/>
    <w:rsid w:val="008B344D"/>
    <w:rsid w:val="008B4CEB"/>
    <w:rsid w:val="008B63A0"/>
    <w:rsid w:val="008B7E68"/>
    <w:rsid w:val="008C29DA"/>
    <w:rsid w:val="008C7DF5"/>
    <w:rsid w:val="008D1202"/>
    <w:rsid w:val="008D1743"/>
    <w:rsid w:val="008D6682"/>
    <w:rsid w:val="008E0797"/>
    <w:rsid w:val="008E319D"/>
    <w:rsid w:val="008E6F79"/>
    <w:rsid w:val="008F4B13"/>
    <w:rsid w:val="008F594D"/>
    <w:rsid w:val="008F68A6"/>
    <w:rsid w:val="009041C4"/>
    <w:rsid w:val="00916B47"/>
    <w:rsid w:val="009255DB"/>
    <w:rsid w:val="00933521"/>
    <w:rsid w:val="00935BE3"/>
    <w:rsid w:val="0094329D"/>
    <w:rsid w:val="00943AEF"/>
    <w:rsid w:val="00944382"/>
    <w:rsid w:val="009455F6"/>
    <w:rsid w:val="00947373"/>
    <w:rsid w:val="00951273"/>
    <w:rsid w:val="00972067"/>
    <w:rsid w:val="009753C5"/>
    <w:rsid w:val="00987B77"/>
    <w:rsid w:val="00991843"/>
    <w:rsid w:val="00992913"/>
    <w:rsid w:val="00992BA7"/>
    <w:rsid w:val="00993D10"/>
    <w:rsid w:val="009B1A8E"/>
    <w:rsid w:val="009B3119"/>
    <w:rsid w:val="009B746D"/>
    <w:rsid w:val="009B7CCB"/>
    <w:rsid w:val="009B7E11"/>
    <w:rsid w:val="009C4266"/>
    <w:rsid w:val="009C4E43"/>
    <w:rsid w:val="009C7E17"/>
    <w:rsid w:val="009D12FF"/>
    <w:rsid w:val="009D42BF"/>
    <w:rsid w:val="009D7688"/>
    <w:rsid w:val="009E2F13"/>
    <w:rsid w:val="009E434F"/>
    <w:rsid w:val="009E69C5"/>
    <w:rsid w:val="009F084D"/>
    <w:rsid w:val="009F11C8"/>
    <w:rsid w:val="009F1E29"/>
    <w:rsid w:val="009F3B3A"/>
    <w:rsid w:val="009F4F01"/>
    <w:rsid w:val="009F573B"/>
    <w:rsid w:val="009F6A1F"/>
    <w:rsid w:val="00A04037"/>
    <w:rsid w:val="00A12095"/>
    <w:rsid w:val="00A13B79"/>
    <w:rsid w:val="00A151B9"/>
    <w:rsid w:val="00A23B3D"/>
    <w:rsid w:val="00A408EF"/>
    <w:rsid w:val="00A4636D"/>
    <w:rsid w:val="00A46C51"/>
    <w:rsid w:val="00A53B1F"/>
    <w:rsid w:val="00A56BBF"/>
    <w:rsid w:val="00A56D98"/>
    <w:rsid w:val="00A60341"/>
    <w:rsid w:val="00A64B27"/>
    <w:rsid w:val="00A7034B"/>
    <w:rsid w:val="00A70B23"/>
    <w:rsid w:val="00A830FE"/>
    <w:rsid w:val="00A86E47"/>
    <w:rsid w:val="00A914DF"/>
    <w:rsid w:val="00A96E59"/>
    <w:rsid w:val="00AA6764"/>
    <w:rsid w:val="00AA6AF8"/>
    <w:rsid w:val="00AA7414"/>
    <w:rsid w:val="00AB166A"/>
    <w:rsid w:val="00AB42FB"/>
    <w:rsid w:val="00AB606F"/>
    <w:rsid w:val="00AD07B6"/>
    <w:rsid w:val="00AE6990"/>
    <w:rsid w:val="00AF0102"/>
    <w:rsid w:val="00B01359"/>
    <w:rsid w:val="00B05F8B"/>
    <w:rsid w:val="00B11200"/>
    <w:rsid w:val="00B1324D"/>
    <w:rsid w:val="00B217E3"/>
    <w:rsid w:val="00B31EC1"/>
    <w:rsid w:val="00B44FF2"/>
    <w:rsid w:val="00B46167"/>
    <w:rsid w:val="00B4661F"/>
    <w:rsid w:val="00B538B9"/>
    <w:rsid w:val="00B540A5"/>
    <w:rsid w:val="00B545B8"/>
    <w:rsid w:val="00B54691"/>
    <w:rsid w:val="00B7241D"/>
    <w:rsid w:val="00B8567F"/>
    <w:rsid w:val="00B917A6"/>
    <w:rsid w:val="00B9476B"/>
    <w:rsid w:val="00BA111C"/>
    <w:rsid w:val="00BA5AF0"/>
    <w:rsid w:val="00BC0902"/>
    <w:rsid w:val="00BC4782"/>
    <w:rsid w:val="00BD0529"/>
    <w:rsid w:val="00BE020E"/>
    <w:rsid w:val="00BE45EA"/>
    <w:rsid w:val="00BE46D3"/>
    <w:rsid w:val="00BE675A"/>
    <w:rsid w:val="00BF0048"/>
    <w:rsid w:val="00BF0B31"/>
    <w:rsid w:val="00BF25DA"/>
    <w:rsid w:val="00BF59D1"/>
    <w:rsid w:val="00C0232E"/>
    <w:rsid w:val="00C025A9"/>
    <w:rsid w:val="00C03DB5"/>
    <w:rsid w:val="00C077C6"/>
    <w:rsid w:val="00C13B02"/>
    <w:rsid w:val="00C20FFC"/>
    <w:rsid w:val="00C21AE6"/>
    <w:rsid w:val="00C25E82"/>
    <w:rsid w:val="00C30440"/>
    <w:rsid w:val="00C37061"/>
    <w:rsid w:val="00C37218"/>
    <w:rsid w:val="00C60D24"/>
    <w:rsid w:val="00C64AA4"/>
    <w:rsid w:val="00C65B0B"/>
    <w:rsid w:val="00C74581"/>
    <w:rsid w:val="00C87F5C"/>
    <w:rsid w:val="00C904FC"/>
    <w:rsid w:val="00C90FCB"/>
    <w:rsid w:val="00C9631A"/>
    <w:rsid w:val="00C97A97"/>
    <w:rsid w:val="00CA2D7F"/>
    <w:rsid w:val="00CB16DB"/>
    <w:rsid w:val="00CC3B64"/>
    <w:rsid w:val="00CD2FA8"/>
    <w:rsid w:val="00CD4B25"/>
    <w:rsid w:val="00CE5E06"/>
    <w:rsid w:val="00D04705"/>
    <w:rsid w:val="00D13328"/>
    <w:rsid w:val="00D13379"/>
    <w:rsid w:val="00D15646"/>
    <w:rsid w:val="00D34E15"/>
    <w:rsid w:val="00D40494"/>
    <w:rsid w:val="00D4229E"/>
    <w:rsid w:val="00D44BBE"/>
    <w:rsid w:val="00D52427"/>
    <w:rsid w:val="00D53CE5"/>
    <w:rsid w:val="00D56C2D"/>
    <w:rsid w:val="00D61D82"/>
    <w:rsid w:val="00D64D5B"/>
    <w:rsid w:val="00D669C6"/>
    <w:rsid w:val="00D735CC"/>
    <w:rsid w:val="00D94B62"/>
    <w:rsid w:val="00D9683D"/>
    <w:rsid w:val="00D968E9"/>
    <w:rsid w:val="00DA26D0"/>
    <w:rsid w:val="00DA72DD"/>
    <w:rsid w:val="00DB4AD8"/>
    <w:rsid w:val="00DC6494"/>
    <w:rsid w:val="00DD12FC"/>
    <w:rsid w:val="00DD2AA6"/>
    <w:rsid w:val="00DD4539"/>
    <w:rsid w:val="00DD51EE"/>
    <w:rsid w:val="00DD7055"/>
    <w:rsid w:val="00DE0DAD"/>
    <w:rsid w:val="00DE11AC"/>
    <w:rsid w:val="00DE42AB"/>
    <w:rsid w:val="00DF52BC"/>
    <w:rsid w:val="00DF579D"/>
    <w:rsid w:val="00DF640A"/>
    <w:rsid w:val="00E050B7"/>
    <w:rsid w:val="00E079FB"/>
    <w:rsid w:val="00E16CE5"/>
    <w:rsid w:val="00E2306C"/>
    <w:rsid w:val="00E34FA1"/>
    <w:rsid w:val="00E40901"/>
    <w:rsid w:val="00E44567"/>
    <w:rsid w:val="00E4687B"/>
    <w:rsid w:val="00E508E3"/>
    <w:rsid w:val="00E523D8"/>
    <w:rsid w:val="00E5629D"/>
    <w:rsid w:val="00E75945"/>
    <w:rsid w:val="00E83B91"/>
    <w:rsid w:val="00E84962"/>
    <w:rsid w:val="00E87593"/>
    <w:rsid w:val="00E9272E"/>
    <w:rsid w:val="00E94DA2"/>
    <w:rsid w:val="00E96922"/>
    <w:rsid w:val="00EA239F"/>
    <w:rsid w:val="00EA2A52"/>
    <w:rsid w:val="00EA4D89"/>
    <w:rsid w:val="00EB1622"/>
    <w:rsid w:val="00EB4518"/>
    <w:rsid w:val="00EB549B"/>
    <w:rsid w:val="00EC0868"/>
    <w:rsid w:val="00EC0EDE"/>
    <w:rsid w:val="00EC2ADE"/>
    <w:rsid w:val="00EC6D72"/>
    <w:rsid w:val="00ED5C97"/>
    <w:rsid w:val="00EE4417"/>
    <w:rsid w:val="00EF0E6D"/>
    <w:rsid w:val="00EF1D35"/>
    <w:rsid w:val="00EF3E0D"/>
    <w:rsid w:val="00F00029"/>
    <w:rsid w:val="00F003F9"/>
    <w:rsid w:val="00F0094B"/>
    <w:rsid w:val="00F1049B"/>
    <w:rsid w:val="00F138CD"/>
    <w:rsid w:val="00F16541"/>
    <w:rsid w:val="00F227E2"/>
    <w:rsid w:val="00F4288D"/>
    <w:rsid w:val="00F44ECF"/>
    <w:rsid w:val="00F47814"/>
    <w:rsid w:val="00F604DB"/>
    <w:rsid w:val="00F65D45"/>
    <w:rsid w:val="00F771A7"/>
    <w:rsid w:val="00F87311"/>
    <w:rsid w:val="00F9519C"/>
    <w:rsid w:val="00FA199D"/>
    <w:rsid w:val="00FA51D3"/>
    <w:rsid w:val="00FA6429"/>
    <w:rsid w:val="00FA6D5E"/>
    <w:rsid w:val="00FB3BD7"/>
    <w:rsid w:val="00FB4CDC"/>
    <w:rsid w:val="00FC2D76"/>
    <w:rsid w:val="00FC484D"/>
    <w:rsid w:val="00FE3C61"/>
    <w:rsid w:val="00FE7AC9"/>
    <w:rsid w:val="00FF0C10"/>
    <w:rsid w:val="0407790B"/>
    <w:rsid w:val="0E726DEE"/>
    <w:rsid w:val="1DFF3EF0"/>
    <w:rsid w:val="21FA691D"/>
    <w:rsid w:val="23D611C8"/>
    <w:rsid w:val="23FD6903"/>
    <w:rsid w:val="2D8DC567"/>
    <w:rsid w:val="2F494923"/>
    <w:rsid w:val="327D66B5"/>
    <w:rsid w:val="356F32E4"/>
    <w:rsid w:val="395D384B"/>
    <w:rsid w:val="3C1BAFCE"/>
    <w:rsid w:val="3DEBDC12"/>
    <w:rsid w:val="3F333BBF"/>
    <w:rsid w:val="41A04694"/>
    <w:rsid w:val="4F630E7A"/>
    <w:rsid w:val="56FBEEEE"/>
    <w:rsid w:val="57CBD151"/>
    <w:rsid w:val="59EE74E4"/>
    <w:rsid w:val="5AFF4EA0"/>
    <w:rsid w:val="5BF307EF"/>
    <w:rsid w:val="5D2220DB"/>
    <w:rsid w:val="628D4C2B"/>
    <w:rsid w:val="64F7795A"/>
    <w:rsid w:val="67FB8EE1"/>
    <w:rsid w:val="72FF049E"/>
    <w:rsid w:val="76FC5211"/>
    <w:rsid w:val="77E2115C"/>
    <w:rsid w:val="7CFFDA52"/>
    <w:rsid w:val="7D7A4F16"/>
    <w:rsid w:val="7EFAD2DC"/>
    <w:rsid w:val="7F7E66B2"/>
    <w:rsid w:val="7FE705F6"/>
    <w:rsid w:val="7FFF9180"/>
    <w:rsid w:val="943B5862"/>
    <w:rsid w:val="B43FD268"/>
    <w:rsid w:val="B515C88D"/>
    <w:rsid w:val="B7EBF8DA"/>
    <w:rsid w:val="D7F29041"/>
    <w:rsid w:val="E31E1D02"/>
    <w:rsid w:val="E76DE57D"/>
    <w:rsid w:val="E7FED0C3"/>
    <w:rsid w:val="EBFF7563"/>
    <w:rsid w:val="EC9A5D85"/>
    <w:rsid w:val="EFFE3D56"/>
    <w:rsid w:val="F6F15D61"/>
    <w:rsid w:val="FBB7EC1A"/>
    <w:rsid w:val="FECB6A53"/>
    <w:rsid w:val="FFFAFA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iPriority="0" w:name="Light Shading"/>
    <w:lsdException w:uiPriority="0" w:name="Light List"/>
    <w:lsdException w:uiPriority="0" w:name="Light Grid"/>
    <w:lsdException w:uiPriority="0" w:name="Medium Shading 1"/>
    <w:lsdException w:uiPriority="0" w:name="Medium Shading 2"/>
    <w:lsdException w:unhideWhenUsed="0" w:uiPriority="0" w:semiHidden="0" w:name="Medium List 1"/>
    <w:lsdException w:unhideWhenUsed="0" w:uiPriority="0" w:semiHidden="0" w:name="Medium List 2"/>
    <w:lsdException w:uiPriority="99" w:name="Medium Grid 1"/>
    <w:lsdException w:uiPriority="99" w:name="Medium Grid 2"/>
    <w:lsdException w:uiPriority="60" w:name="Medium Grid 3"/>
    <w:lsdException w:uiPriority="61" w:name="Dark List"/>
    <w:lsdException w:uiPriority="62" w:name="Colorful Shading"/>
    <w:lsdException w:uiPriority="63" w:name="Colorful List"/>
    <w:lsdException w:uiPriority="64" w:name="Colorful Grid"/>
    <w:lsdException w:uiPriority="65" w:name="Light Shading Accent 1"/>
    <w:lsdException w:uiPriority="66" w:name="Light List Accent 1"/>
    <w:lsdException w:uiPriority="67" w:name="Light Grid Accent 1"/>
    <w:lsdException w:uiPriority="68" w:name="Medium Shading 1 Accent 1"/>
    <w:lsdException w:uiPriority="69" w:name="Medium Shading 2 Accent 1"/>
    <w:lsdException w:uiPriority="70" w:name="Medium List 1 Accent 1"/>
    <w:lsdException w:uiPriority="61" w:name="Medium List 2 Accent 1"/>
    <w:lsdException w:uiPriority="62" w:name="Medium Grid 1 Accent 1"/>
    <w:lsdException w:uiPriority="63" w:name="Medium Grid 2 Accent 1"/>
    <w:lsdException w:uiPriority="64" w:name="Medium Grid 3 Accent 1"/>
    <w:lsdException w:uiPriority="65" w:name="Dark List Accent 1"/>
    <w:lsdException w:uiPriority="99" w:name="Colorful Shading Accent 1"/>
    <w:lsdException w:uiPriority="99" w:name="Colorful List Accent 1"/>
    <w:lsdException w:uiPriority="99" w:name="Colorful Grid Accent 1"/>
    <w:lsdException w:uiPriority="99" w:name="Light Shading Accent 2"/>
    <w:lsdException w:uiPriority="66" w:name="Light List Accent 2"/>
    <w:lsdException w:uiPriority="67" w:name="Light Grid Accent 2"/>
    <w:lsdException w:uiPriority="68" w:name="Medium Shading 1 Accent 2"/>
    <w:lsdException w:uiPriority="69" w:name="Medium Shading 2 Accent 2"/>
    <w:lsdException w:uiPriority="70" w:name="Medium List 1 Accent 2"/>
    <w:lsdException w:uiPriority="71" w:name="Medium List 2 Accent 2"/>
    <w:lsdException w:uiPriority="72" w:name="Medium Grid 1 Accent 2"/>
    <w:lsdException w:uiPriority="73" w:name="Medium Grid 2 Accent 2"/>
    <w:lsdException w:uiPriority="60" w:name="Medium Grid 3 Accent 2"/>
    <w:lsdException w:uiPriority="61" w:name="Dark List Accent 2"/>
    <w:lsdException w:uiPriority="62" w:name="Colorful Shading Accent 2"/>
    <w:lsdException w:uiPriority="63" w:name="Colorful List Accent 2"/>
    <w:lsdException w:uiPriority="64" w:name="Colorful Grid Accent 2"/>
    <w:lsdException w:uiPriority="65" w:name="Light Shading Accent 3"/>
    <w:lsdException w:uiPriority="66" w:name="Light List Accent 3"/>
    <w:lsdException w:uiPriority="67" w:name="Light Grid Accent 3"/>
    <w:lsdException w:uiPriority="68" w:name="Medium Shading 1 Accent 3"/>
    <w:lsdException w:uiPriority="69" w:name="Medium Shading 2 Accent 3"/>
    <w:lsdException w:uiPriority="70" w:name="Medium List 1 Accent 3"/>
    <w:lsdException w:uiPriority="71" w:name="Medium List 2 Accent 3"/>
    <w:lsdException w:uiPriority="72" w:name="Medium Grid 1 Accent 3"/>
    <w:lsdException w:uiPriority="73" w:name="Medium Grid 2 Accent 3"/>
    <w:lsdException w:uiPriority="60" w:name="Medium Grid 3 Accent 3"/>
    <w:lsdException w:uiPriority="61" w:name="Dark List Accent 3"/>
    <w:lsdException w:uiPriority="62" w:name="Colorful Shading Accent 3"/>
    <w:lsdException w:uiPriority="63" w:name="Colorful List Accent 3"/>
    <w:lsdException w:uiPriority="64" w:name="Colorful Grid Accent 3"/>
    <w:lsdException w:uiPriority="65" w:name="Light Shading Accent 4"/>
    <w:lsdException w:uiPriority="66" w:name="Light List Accent 4"/>
    <w:lsdException w:uiPriority="67" w:name="Light Grid Accent 4"/>
    <w:lsdException w:uiPriority="68" w:name="Medium Shading 1 Accent 4"/>
    <w:lsdException w:uiPriority="69" w:name="Medium Shading 2 Accent 4"/>
    <w:lsdException w:uiPriority="70" w:name="Medium List 1 Accent 4"/>
    <w:lsdException w:uiPriority="71" w:name="Medium List 2 Accent 4"/>
    <w:lsdException w:uiPriority="72" w:name="Medium Grid 1 Accent 4"/>
    <w:lsdException w:uiPriority="73" w:name="Medium Grid 2 Accent 4"/>
    <w:lsdException w:uiPriority="60" w:name="Medium Grid 3 Accent 4"/>
    <w:lsdException w:uiPriority="61" w:name="Dark List Accent 4"/>
    <w:lsdException w:uiPriority="62" w:name="Colorful Shading Accent 4"/>
    <w:lsdException w:uiPriority="63" w:name="Colorful List Accent 4"/>
    <w:lsdException w:uiPriority="64" w:name="Colorful Grid Accent 4"/>
    <w:lsdException w:uiPriority="65" w:name="Light Shading Accent 5"/>
    <w:lsdException w:uiPriority="66" w:name="Light List Accent 5"/>
    <w:lsdException w:uiPriority="67" w:name="Light Grid Accent 5"/>
    <w:lsdException w:uiPriority="68" w:name="Medium Shading 1 Accent 5"/>
    <w:lsdException w:uiPriority="69" w:name="Medium Shading 2 Accent 5"/>
    <w:lsdException w:uiPriority="70" w:name="Medium List 1 Accent 5"/>
    <w:lsdException w:uiPriority="71" w:name="Medium List 2 Accent 5"/>
    <w:lsdException w:uiPriority="72" w:name="Medium Grid 1 Accent 5"/>
    <w:lsdException w:uiPriority="73" w:name="Medium Grid 2 Accent 5"/>
    <w:lsdException w:uiPriority="60" w:name="Medium Grid 3 Accent 5"/>
    <w:lsdException w:uiPriority="61" w:name="Dark List Accent 5"/>
    <w:lsdException w:uiPriority="62" w:name="Colorful Shading Accent 5"/>
    <w:lsdException w:uiPriority="63" w:name="Colorful List Accent 5"/>
    <w:lsdException w:uiPriority="64" w:name="Colorful Grid Accent 5"/>
    <w:lsdException w:uiPriority="65" w:name="Light Shading Accent 6"/>
    <w:lsdException w:uiPriority="66" w:name="Light List Accent 6"/>
    <w:lsdException w:uiPriority="67" w:name="Light Grid Accent 6"/>
    <w:lsdException w:uiPriority="68" w:name="Medium Shading 1 Accent 6"/>
    <w:lsdException w:uiPriority="69" w:name="Medium Shading 2 Accent 6"/>
    <w:lsdException w:uiPriority="70" w:name="Medium List 1 Accent 6"/>
    <w:lsdException w:uiPriority="71" w:name="Medium List 2 Accent 6"/>
    <w:lsdException w:uiPriority="72" w:name="Medium Grid 1 Accent 6"/>
    <w:lsdException w:uiPriority="73" w:name="Medium Grid 2 Accent 6"/>
    <w:lsdException w:uiPriority="60" w:name="Medium Grid 3 Accent 6"/>
    <w:lsdException w:uiPriority="61" w:name="Dark List Accent 6"/>
    <w:lsdException w:uiPriority="62" w:name="Colorful Shading Accent 6"/>
    <w:lsdException w:uiPriority="63" w:name="Colorful List Accent 6"/>
    <w:lsdException w:uiPriority="64" w:name="Colorful Grid Accent 6"/>
  </w:latentStyles>
  <w:style w:type="paragraph" w:default="1" w:styleId="1">
    <w:name w:val="Normal"/>
    <w:next w:val="2"/>
    <w:qFormat/>
    <w:uiPriority w:val="0"/>
    <w:pPr>
      <w:widowControl w:val="0"/>
      <w:jc w:val="both"/>
    </w:pPr>
    <w:rPr>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2">
    <w:name w:val="Default Paragraph Font"/>
    <w:unhideWhenUsed/>
    <w:uiPriority w:val="1"/>
  </w:style>
  <w:style w:type="table" w:default="1" w:styleId="11">
    <w:name w:val="Normal Table"/>
    <w:unhideWhenUsed/>
    <w:uiPriority w:val="99"/>
    <w:tblPr>
      <w:tblStyle w:val="11"/>
      <w:tblCellMar>
        <w:top w:w="0" w:type="dxa"/>
        <w:left w:w="108" w:type="dxa"/>
        <w:bottom w:w="0" w:type="dxa"/>
        <w:right w:w="108" w:type="dxa"/>
      </w:tblCellMar>
    </w:tblPr>
  </w:style>
  <w:style w:type="paragraph" w:styleId="3">
    <w:name w:val="Normal Indent"/>
    <w:basedOn w:val="1"/>
    <w:uiPriority w:val="0"/>
    <w:pPr>
      <w:ind w:firstLine="420" w:firstLineChars="200"/>
    </w:pPr>
  </w:style>
  <w:style w:type="paragraph" w:styleId="4">
    <w:name w:val="Body Text Indent"/>
    <w:basedOn w:val="1"/>
    <w:uiPriority w:val="0"/>
    <w:pPr>
      <w:spacing w:line="360" w:lineRule="auto"/>
      <w:ind w:left="540" w:leftChars="257" w:firstLine="420" w:firstLineChars="200"/>
    </w:pPr>
  </w:style>
  <w:style w:type="paragraph" w:styleId="5">
    <w:name w:val="Body Text Indent 2"/>
    <w:basedOn w:val="1"/>
    <w:uiPriority w:val="0"/>
    <w:pPr>
      <w:adjustRightInd w:val="0"/>
      <w:spacing w:line="360" w:lineRule="auto"/>
      <w:ind w:left="1620" w:leftChars="457" w:hanging="660" w:hangingChars="275"/>
    </w:pPr>
    <w:rPr>
      <w:rFonts w:ascii="Arial" w:hAnsi="Arial" w:cs="Arial"/>
      <w:sz w:val="24"/>
    </w:rPr>
  </w:style>
  <w:style w:type="paragraph" w:styleId="6">
    <w:name w:val="Balloon Text"/>
    <w:basedOn w:val="1"/>
    <w:link w:val="16"/>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iPriority w:val="0"/>
    <w:pPr>
      <w:widowControl/>
      <w:spacing w:before="100" w:beforeAutospacing="1" w:after="100" w:afterAutospacing="1"/>
      <w:jc w:val="left"/>
    </w:pPr>
    <w:rPr>
      <w:rFonts w:ascii="宋体" w:hAnsi="宋体"/>
      <w:color w:val="000000"/>
      <w:kern w:val="0"/>
      <w:sz w:val="24"/>
    </w:rPr>
  </w:style>
  <w:style w:type="paragraph" w:styleId="10">
    <w:name w:val="index 1"/>
    <w:basedOn w:val="1"/>
    <w:next w:val="1"/>
    <w:semiHidden/>
    <w:uiPriority w:val="0"/>
    <w:pPr>
      <w:tabs>
        <w:tab w:val="left" w:pos="900"/>
      </w:tabs>
      <w:adjustRightInd w:val="0"/>
    </w:pPr>
    <w:rPr>
      <w:rFonts w:ascii="Arial" w:hAnsi="Arial" w:cs="Arial"/>
      <w:sz w:val="24"/>
    </w:rPr>
  </w:style>
  <w:style w:type="character" w:styleId="13">
    <w:name w:val="Strong"/>
    <w:qFormat/>
    <w:uiPriority w:val="22"/>
    <w:rPr>
      <w:b/>
      <w:bCs/>
    </w:rPr>
  </w:style>
  <w:style w:type="character" w:styleId="14">
    <w:name w:val="Emphasis"/>
    <w:qFormat/>
    <w:uiPriority w:val="20"/>
    <w:rPr>
      <w:color w:val="CC0000"/>
    </w:rPr>
  </w:style>
  <w:style w:type="character" w:styleId="15">
    <w:name w:val="Hyperlink"/>
    <w:uiPriority w:val="0"/>
    <w:rPr>
      <w:color w:val="0000FF"/>
      <w:u w:val="single"/>
    </w:rPr>
  </w:style>
  <w:style w:type="character" w:customStyle="1" w:styleId="16">
    <w:name w:val="批注框文本 Char"/>
    <w:link w:val="6"/>
    <w:uiPriority w:val="0"/>
    <w:rPr>
      <w:kern w:val="2"/>
      <w:sz w:val="18"/>
      <w:szCs w:val="18"/>
    </w:rPr>
  </w:style>
  <w:style w:type="paragraph" w:customStyle="1" w:styleId="17">
    <w:name w:val="Char1 Char Char Char"/>
    <w:basedOn w:val="1"/>
    <w:semiHidden/>
    <w:uiPriority w:val="0"/>
    <w:rPr>
      <w:rFonts w:ascii="Tahoma" w:hAnsi="Tahoma"/>
      <w:sz w:val="24"/>
      <w:szCs w:val="20"/>
    </w:rPr>
  </w:style>
  <w:style w:type="paragraph" w:customStyle="1" w:styleId="18">
    <w:name w:val="列出段落1"/>
    <w:basedOn w:val="1"/>
    <w:qFormat/>
    <w:uiPriority w:val="34"/>
    <w:pPr>
      <w:ind w:firstLine="420" w:firstLineChars="200"/>
    </w:pPr>
    <w:rPr>
      <w:rFonts w:ascii="Cambria" w:hAnsi="Cambria" w:eastAsia="宋体" w:cs="Times New Roman"/>
      <w:szCs w:val="22"/>
    </w:rPr>
  </w:style>
  <w:style w:type="paragraph" w:customStyle="1" w:styleId="19">
    <w:name w:val="Char Char Char Char Char Char1 Char"/>
    <w:basedOn w:val="1"/>
    <w:uiPriority w:val="0"/>
    <w:pPr>
      <w:widowControl/>
      <w:spacing w:after="160" w:line="240" w:lineRule="exact"/>
      <w:jc w:val="left"/>
    </w:pPr>
    <w:rPr>
      <w:rFonts w:ascii="Verdana" w:hAnsi="Verdana"/>
      <w:kern w:val="0"/>
      <w:szCs w:val="20"/>
      <w:lang w:eastAsia="en-US"/>
    </w:rPr>
  </w:style>
  <w:style w:type="paragraph" w:customStyle="1" w:styleId="20">
    <w:name w:val="缺省文本"/>
    <w:basedOn w:val="1"/>
    <w:uiPriority w:val="0"/>
    <w:pPr>
      <w:autoSpaceDE w:val="0"/>
      <w:autoSpaceDN w:val="0"/>
      <w:adjustRightInd w:val="0"/>
      <w:spacing w:before="20" w:after="20" w:line="400" w:lineRule="exact"/>
      <w:ind w:firstLine="504"/>
      <w:jc w:val="left"/>
    </w:pPr>
    <w:rPr>
      <w:kern w:val="0"/>
      <w:sz w:val="24"/>
    </w:rPr>
  </w:style>
  <w:style w:type="paragraph" w:customStyle="1" w:styleId="21">
    <w:name w:val="图"/>
    <w:basedOn w:val="1"/>
    <w:uiPriority w:val="0"/>
    <w:pPr>
      <w:keepNext/>
      <w:adjustRightInd w:val="0"/>
      <w:spacing w:before="60" w:after="60" w:line="300" w:lineRule="auto"/>
      <w:jc w:val="center"/>
      <w:textAlignment w:val="center"/>
    </w:pPr>
    <w:rPr>
      <w:snapToGrid/>
      <w:spacing w:val="20"/>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k12</Company>
  <Pages>7</Pages>
  <Words>465</Words>
  <Characters>467</Characters>
  <Lines>20</Lines>
  <Paragraphs>5</Paragraphs>
  <TotalTime>3</TotalTime>
  <ScaleCrop>false</ScaleCrop>
  <LinksUpToDate>false</LinksUpToDate>
  <CharactersWithSpaces>577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2026-04-08T00:16:00Z</dcterms:created>
  <dc:creator>zhouyu</dc:creator>
  <cp:lastModifiedBy>z</cp:lastModifiedBy>
  <cp:lastPrinted>2026-04-08T00:17:00Z</cp:lastPrinted>
  <dcterms:modified xsi:type="dcterms:W3CDTF">2026-04-09T08:07:52Z</dcterms:modified>
  <dc:title>AVCON销售合同</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EC38EEBEE4DB47448BD73CE273DF827B_13</vt:lpwstr>
  </property>
  <property fmtid="{D5CDD505-2E9C-101B-9397-08002B2CF9AE}" pid="4" name="KSOTemplateDocerSaveRecord">
    <vt:lpwstr>eyJoZGlkIjoiZDY5YzY2YjExOGE2ODAxOGZjNjJlNTg1MmNhNzRiMTAiLCJ1c2VySWQiOiI0OTIwMDg1NDIifQ==</vt:lpwstr>
  </property>
</Properties>
</file>