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224"/>
        <w:gridCol w:w="7249"/>
      </w:tblGrid>
      <w:tr w14:paraId="23DCD9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24" w:type="dxa"/>
          </w:tcPr>
          <w:p w14:paraId="15AA8E0A">
            <w:pPr>
              <w:pStyle w:val="4"/>
            </w:pPr>
            <w:r>
              <w:rPr>
                <w:rFonts w:ascii="仿宋_GB2312" w:hAnsi="仿宋_GB2312" w:eastAsia="仿宋_GB2312" w:cs="仿宋_GB2312"/>
              </w:rPr>
              <w:t xml:space="preserve"> 序号</w:t>
            </w:r>
          </w:p>
        </w:tc>
        <w:tc>
          <w:tcPr>
            <w:tcW w:w="7249" w:type="dxa"/>
          </w:tcPr>
          <w:p w14:paraId="32F6CCC3">
            <w:pPr>
              <w:pStyle w:val="4"/>
            </w:pPr>
            <w:r>
              <w:rPr>
                <w:rFonts w:ascii="仿宋_GB2312" w:hAnsi="仿宋_GB2312" w:eastAsia="仿宋_GB2312" w:cs="仿宋_GB2312"/>
              </w:rPr>
              <w:t xml:space="preserve"> 技术参数与性能指标</w:t>
            </w:r>
          </w:p>
        </w:tc>
      </w:tr>
      <w:tr w14:paraId="0134FD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24" w:type="dxa"/>
          </w:tcPr>
          <w:p w14:paraId="1AFA823B">
            <w:pPr>
              <w:pStyle w:val="4"/>
            </w:pPr>
            <w:r>
              <w:rPr>
                <w:rFonts w:ascii="仿宋_GB2312" w:hAnsi="仿宋_GB2312" w:eastAsia="仿宋_GB2312" w:cs="仿宋_GB2312"/>
              </w:rPr>
              <w:t>1</w:t>
            </w:r>
          </w:p>
        </w:tc>
        <w:tc>
          <w:tcPr>
            <w:tcW w:w="7249" w:type="dxa"/>
          </w:tcPr>
          <w:p w14:paraId="5C080375">
            <w:pPr>
              <w:pStyle w:val="4"/>
              <w:spacing w:after="150"/>
              <w:jc w:val="both"/>
              <w:outlineLvl w:val="0"/>
            </w:pPr>
            <w:r>
              <w:rPr>
                <w:rFonts w:ascii="仿宋_GB2312" w:hAnsi="仿宋_GB2312" w:eastAsia="仿宋_GB2312" w:cs="仿宋_GB2312"/>
                <w:b/>
                <w:sz w:val="18"/>
              </w:rPr>
              <w:t>1、合作条件及建设内容</w:t>
            </w:r>
          </w:p>
          <w:p w14:paraId="7A302440">
            <w:pPr>
              <w:pStyle w:val="4"/>
              <w:jc w:val="both"/>
            </w:pPr>
            <w:r>
              <w:rPr>
                <w:rFonts w:ascii="仿宋_GB2312" w:hAnsi="仿宋_GB2312" w:eastAsia="仿宋_GB2312" w:cs="仿宋_GB2312"/>
                <w:b/>
                <w:sz w:val="18"/>
              </w:rPr>
              <w:t>1.1 为运营商提供的条件</w:t>
            </w:r>
          </w:p>
          <w:p w14:paraId="637A2BA8">
            <w:pPr>
              <w:pStyle w:val="4"/>
              <w:jc w:val="both"/>
            </w:pPr>
            <w:r>
              <w:rPr>
                <w:rFonts w:ascii="仿宋_GB2312" w:hAnsi="仿宋_GB2312" w:eastAsia="仿宋_GB2312" w:cs="仿宋_GB2312"/>
                <w:sz w:val="18"/>
              </w:rPr>
              <w:t xml:space="preserve"> （1）学校每年根据中标价支付给中标人，用于学校基本网络带宽保障。</w:t>
            </w:r>
          </w:p>
          <w:p w14:paraId="3EA8AA51">
            <w:pPr>
              <w:pStyle w:val="4"/>
              <w:jc w:val="both"/>
            </w:pPr>
            <w:r>
              <w:rPr>
                <w:rFonts w:ascii="仿宋_GB2312" w:hAnsi="仿宋_GB2312" w:eastAsia="仿宋_GB2312" w:cs="仿宋_GB2312"/>
                <w:sz w:val="18"/>
              </w:rPr>
              <w:t xml:space="preserve"> （2）现有收费标准、模式不变，中标人可灵活增加套餐，校园网络收费由学校收取，融合套餐由运营商收取，与运营商合作的所有运营收入按120万元/年测算，不足120万延长运营时间。超出120万元部分中标人要拿出不低于30%用于西安医学院校园网络维护和设备更新，具体费用比例及管理办法在投标方案中详细论述。</w:t>
            </w:r>
          </w:p>
          <w:p w14:paraId="418858F9">
            <w:pPr>
              <w:pStyle w:val="4"/>
              <w:jc w:val="both"/>
            </w:pPr>
            <w:r>
              <w:rPr>
                <w:rFonts w:ascii="仿宋_GB2312" w:hAnsi="仿宋_GB2312" w:eastAsia="仿宋_GB2312" w:cs="仿宋_GB2312"/>
                <w:sz w:val="18"/>
              </w:rPr>
              <w:t xml:space="preserve"> （3）投资方式：投标方可采用融资租赁、购买服务等方式全额投资建设，所有投资项目2027年5月建成，未央区学生公寓无线升级2027年2月底完成，合作期间设备所有权归中标人，西安医学院具有使用权和管理权，合作期满设备产权归属甲方。</w:t>
            </w:r>
          </w:p>
          <w:p w14:paraId="5171F4A5">
            <w:pPr>
              <w:pStyle w:val="4"/>
              <w:jc w:val="both"/>
            </w:pPr>
            <w:r>
              <w:rPr>
                <w:rFonts w:ascii="仿宋_GB2312" w:hAnsi="仿宋_GB2312" w:eastAsia="仿宋_GB2312" w:cs="仿宋_GB2312"/>
                <w:sz w:val="18"/>
              </w:rPr>
              <w:t>1.2 建设需求</w:t>
            </w:r>
          </w:p>
          <w:p w14:paraId="44DD0747">
            <w:pPr>
              <w:pStyle w:val="4"/>
              <w:jc w:val="both"/>
            </w:pPr>
            <w:r>
              <w:rPr>
                <w:rFonts w:ascii="仿宋_GB2312" w:hAnsi="仿宋_GB2312" w:eastAsia="仿宋_GB2312" w:cs="仿宋_GB2312"/>
                <w:sz w:val="18"/>
              </w:rPr>
              <w:t xml:space="preserve"> （1）为学校开通18G带宽，保障学校网络使用要求，带宽使用达到70%时自行扩容。</w:t>
            </w:r>
          </w:p>
          <w:p w14:paraId="4434B3ED">
            <w:pPr>
              <w:pStyle w:val="4"/>
              <w:jc w:val="both"/>
            </w:pPr>
            <w:r>
              <w:rPr>
                <w:rFonts w:ascii="仿宋_GB2312" w:hAnsi="仿宋_GB2312" w:eastAsia="仿宋_GB2312" w:cs="仿宋_GB2312"/>
                <w:sz w:val="18"/>
              </w:rPr>
              <w:t xml:space="preserve"> （2）建设5G信号覆盖及与校园网融合基础网络环境，校园无线及手机信号覆盖全校区。</w:t>
            </w:r>
          </w:p>
          <w:p w14:paraId="0348DF82">
            <w:pPr>
              <w:pStyle w:val="4"/>
              <w:jc w:val="both"/>
            </w:pPr>
            <w:r>
              <w:rPr>
                <w:rFonts w:ascii="仿宋_GB2312" w:hAnsi="仿宋_GB2312" w:eastAsia="仿宋_GB2312" w:cs="仿宋_GB2312"/>
                <w:sz w:val="18"/>
              </w:rPr>
              <w:t xml:space="preserve"> （3）校园网宽带融合业务合作运营，学生现有收费模式不变，可增加收费套餐，将5G与校园网进行融合，学生可自愿选择。</w:t>
            </w:r>
          </w:p>
          <w:p w14:paraId="189846EC">
            <w:pPr>
              <w:pStyle w:val="4"/>
              <w:jc w:val="both"/>
            </w:pPr>
            <w:r>
              <w:rPr>
                <w:rFonts w:ascii="仿宋_GB2312" w:hAnsi="仿宋_GB2312" w:eastAsia="仿宋_GB2312" w:cs="仿宋_GB2312"/>
                <w:sz w:val="18"/>
              </w:rPr>
              <w:t xml:space="preserve"> （4）现有家户收费政策不变，若家户开通IPTV电视项目每户增加不能超过25元/月。</w:t>
            </w:r>
          </w:p>
          <w:p w14:paraId="381856DF">
            <w:pPr>
              <w:pStyle w:val="4"/>
              <w:jc w:val="both"/>
            </w:pPr>
            <w:r>
              <w:rPr>
                <w:rFonts w:ascii="仿宋_GB2312" w:hAnsi="仿宋_GB2312" w:eastAsia="仿宋_GB2312" w:cs="仿宋_GB2312"/>
                <w:sz w:val="18"/>
              </w:rPr>
              <w:t xml:space="preserve"> （5）供应商为西安医学院投资建设以下项目：</w:t>
            </w:r>
          </w:p>
          <w:p w14:paraId="4B37DC46">
            <w:pPr>
              <w:pStyle w:val="4"/>
              <w:jc w:val="both"/>
            </w:pPr>
            <w:r>
              <w:rPr>
                <w:rFonts w:ascii="仿宋_GB2312" w:hAnsi="仿宋_GB2312" w:eastAsia="仿宋_GB2312" w:cs="仿宋_GB2312"/>
                <w:sz w:val="18"/>
              </w:rPr>
              <w:t xml:space="preserve">  ①未央校区学生公寓无线升级：将学生公寓骨干网升级为双40G带宽互联，学生公寓全体WIFI 5 AP设备升级WIFI 7 AP设备(共11栋宿舍楼约2500个AP设备)，利旧拆卸WIFI 5设备，对含光及高新校区进行网络布线及AP的扩展与损坏AP的更换。</w:t>
            </w:r>
          </w:p>
          <w:p w14:paraId="048FC423">
            <w:pPr>
              <w:pStyle w:val="4"/>
              <w:jc w:val="both"/>
            </w:pPr>
            <w:r>
              <w:rPr>
                <w:rFonts w:ascii="仿宋_GB2312" w:hAnsi="仿宋_GB2312" w:eastAsia="仿宋_GB2312" w:cs="仿宋_GB2312"/>
                <w:sz w:val="18"/>
              </w:rPr>
              <w:t xml:space="preserve">  ②光纤落地及弱电间改造：未央校区学生公寓光纤线路全部进行落地埋管，对全校弱电间进行改造清理。</w:t>
            </w:r>
          </w:p>
          <w:p w14:paraId="3CCE0B07">
            <w:pPr>
              <w:pStyle w:val="4"/>
              <w:jc w:val="both"/>
            </w:pPr>
            <w:r>
              <w:rPr>
                <w:rFonts w:ascii="仿宋_GB2312" w:hAnsi="仿宋_GB2312" w:eastAsia="仿宋_GB2312" w:cs="仿宋_GB2312"/>
                <w:sz w:val="18"/>
              </w:rPr>
              <w:t xml:space="preserve">  ③无线控制及认证计费：2台无线控制AC设备更新，WIFI 5、WIFI 6、WIFI 7设备统一管理，并含有管理授权5000个；增加认证计费系统设备，形成双机运行管理，保持原有数据及网络资费管理模式。</w:t>
            </w:r>
          </w:p>
          <w:p w14:paraId="69FFFBAE">
            <w:pPr>
              <w:pStyle w:val="4"/>
              <w:jc w:val="both"/>
            </w:pPr>
            <w:r>
              <w:rPr>
                <w:rFonts w:ascii="仿宋_GB2312" w:hAnsi="仿宋_GB2312" w:eastAsia="仿宋_GB2312" w:cs="仿宋_GB2312"/>
                <w:sz w:val="18"/>
              </w:rPr>
              <w:t xml:space="preserve">  ④数据中心建设：新增不低于450T数据中心存储并对原有一卡通数据存储进行数据迁移，迁移过程中保证业务稳定无中断丢失等情况；利旧一卡通存储迁移后的设备，建设本地备份系统，融合学校原有异地备份系统，形成本地异地一体化备份体系；利旧8台服务器设备，并对服务器硬件进行升级改造，并在升级后的服务器上搭建虚拟化平台，对数据中心原虚拟化平台的部分业务进行迁移约200个虚机任务。</w:t>
            </w:r>
          </w:p>
          <w:p w14:paraId="044A4005">
            <w:pPr>
              <w:pStyle w:val="4"/>
              <w:jc w:val="both"/>
            </w:pPr>
            <w:r>
              <w:rPr>
                <w:rFonts w:ascii="仿宋_GB2312" w:hAnsi="仿宋_GB2312" w:eastAsia="仿宋_GB2312" w:cs="仿宋_GB2312"/>
                <w:sz w:val="18"/>
              </w:rPr>
              <w:t xml:space="preserve">  ⑤网络运维系统：建设全校所有网络设备的运维监测系统，提高运维的快速定位及可视化能力。</w:t>
            </w:r>
          </w:p>
          <w:p w14:paraId="72561835">
            <w:pPr>
              <w:pStyle w:val="4"/>
              <w:jc w:val="both"/>
            </w:pPr>
            <w:r>
              <w:rPr>
                <w:rFonts w:ascii="仿宋_GB2312" w:hAnsi="仿宋_GB2312" w:eastAsia="仿宋_GB2312" w:cs="仿宋_GB2312"/>
                <w:sz w:val="18"/>
              </w:rPr>
              <w:t xml:space="preserve">  ⑥AI算力资源及业务智能体：建设AI应用场景及智能体服务20个，服务期内提供30亿Token量供学校AI中台使用，超过部分按照实际使用量收费。</w:t>
            </w:r>
          </w:p>
          <w:p w14:paraId="59A24D15">
            <w:pPr>
              <w:pStyle w:val="4"/>
              <w:jc w:val="both"/>
            </w:pPr>
            <w:r>
              <w:rPr>
                <w:rFonts w:ascii="仿宋_GB2312" w:hAnsi="仿宋_GB2312" w:eastAsia="仿宋_GB2312" w:cs="仿宋_GB2312"/>
                <w:sz w:val="18"/>
              </w:rPr>
              <w:t xml:space="preserve">  ⑦增值服务：投标方在完成①-⑥约定建设内容的同时，可根据自身实力，提供增值建设内容，增值建设内容结合根据学校信息化建设实际，提供学校实际可用的服务或功能，具体内容在投标方案中详细论述。</w:t>
            </w:r>
          </w:p>
          <w:p w14:paraId="7AFD2C08">
            <w:pPr>
              <w:pStyle w:val="4"/>
              <w:jc w:val="both"/>
            </w:pPr>
            <w:r>
              <w:rPr>
                <w:rFonts w:ascii="仿宋_GB2312" w:hAnsi="仿宋_GB2312" w:eastAsia="仿宋_GB2312" w:cs="仿宋_GB2312"/>
                <w:sz w:val="18"/>
              </w:rPr>
              <w:t xml:space="preserve">  招标文件中，软硬件名称均为学校使用功能定义，投标产品名称可以不同，以功能要求为准。同时具体投资建设内容应征得投标方许可后方可进行建设。</w:t>
            </w:r>
          </w:p>
          <w:p w14:paraId="31224277">
            <w:pPr>
              <w:pStyle w:val="4"/>
            </w:pPr>
          </w:p>
        </w:tc>
      </w:tr>
      <w:tr w14:paraId="73F048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24" w:type="dxa"/>
          </w:tcPr>
          <w:p w14:paraId="34688552">
            <w:pPr>
              <w:pStyle w:val="4"/>
            </w:pPr>
            <w:r>
              <w:rPr>
                <w:rFonts w:ascii="仿宋_GB2312" w:hAnsi="仿宋_GB2312" w:eastAsia="仿宋_GB2312" w:cs="仿宋_GB2312"/>
              </w:rPr>
              <w:t>2</w:t>
            </w:r>
          </w:p>
        </w:tc>
        <w:tc>
          <w:tcPr>
            <w:tcW w:w="7249" w:type="dxa"/>
          </w:tcPr>
          <w:p w14:paraId="4D6B0279">
            <w:pPr>
              <w:pStyle w:val="4"/>
            </w:pPr>
            <w:r>
              <w:rPr>
                <w:rFonts w:ascii="仿宋_GB2312" w:hAnsi="仿宋_GB2312" w:eastAsia="仿宋_GB2312" w:cs="仿宋_GB2312"/>
                <w:sz w:val="18"/>
              </w:rPr>
              <w:t>2、</w:t>
            </w:r>
            <w:r>
              <w:rPr>
                <w:rFonts w:ascii="仿宋_GB2312" w:hAnsi="仿宋_GB2312" w:eastAsia="仿宋_GB2312" w:cs="仿宋_GB2312"/>
                <w:b/>
                <w:sz w:val="18"/>
              </w:rPr>
              <w:t>建设目标及要求</w:t>
            </w:r>
            <w:r>
              <w:br w:type="textWrapping"/>
            </w:r>
            <w:r>
              <w:rPr>
                <w:rFonts w:ascii="仿宋_GB2312" w:hAnsi="仿宋_GB2312" w:eastAsia="仿宋_GB2312" w:cs="仿宋_GB2312"/>
                <w:b/>
                <w:sz w:val="18"/>
              </w:rPr>
              <w:t>2.1建设目标</w:t>
            </w:r>
            <w:r>
              <w:br w:type="textWrapping"/>
            </w:r>
            <w:r>
              <w:rPr>
                <w:rFonts w:ascii="仿宋_GB2312" w:hAnsi="仿宋_GB2312" w:eastAsia="仿宋_GB2312" w:cs="仿宋_GB2312"/>
                <w:sz w:val="18"/>
              </w:rPr>
              <w:t xml:space="preserve">   为全面升级学校网络基础设施、构建融合化智慧校园服务体系， 基础带宽提升至18G（70% 使用率自动扩容）保障校园网络稳定承载，全域覆盖 5G 信号与校园无线并深度融合。</w:t>
            </w:r>
            <w:r>
              <w:br w:type="textWrapping"/>
            </w:r>
            <w:r>
              <w:rPr>
                <w:rFonts w:ascii="仿宋_GB2312" w:hAnsi="仿宋_GB2312" w:eastAsia="仿宋_GB2312" w:cs="仿宋_GB2312"/>
                <w:sz w:val="18"/>
              </w:rPr>
              <w:t xml:space="preserve">   本项目完成未央校区学生公寓双 40G 骨干网升级、WIFI 7 全量 AP 替换，未央区学生公寓光纤落地埋管、弱电间改造提升，无线 AC设备更新与统一管控、认证计费系统升级并完成双机冗余部署，新增不少450T数据中心存储、并完成本地+异地一体化备份统一管理，部分服务器硬件升级后，搭建超融合平台系统，并完成200个虚机业务迁移，全校网络运维可视化监测系统建设；结合学校现有的AI中台，本次建设20个 AI 应用场景的智能体服务，并且每年提供30亿Token量。</w:t>
            </w:r>
            <w:r>
              <w:br w:type="textWrapping"/>
            </w:r>
            <w:r>
              <w:rPr>
                <w:rFonts w:ascii="仿宋_GB2312" w:hAnsi="仿宋_GB2312" w:eastAsia="仿宋_GB2312" w:cs="仿宋_GB2312"/>
                <w:sz w:val="18"/>
              </w:rPr>
              <w:t xml:space="preserve">   最终建成高速稳定、全域覆盖、融合计费、安全可靠、智能运维、AI 赋能的现代化校园网络与信息化环境，全面满足教学、科研、管理及师生生活的数字化需求。</w:t>
            </w:r>
            <w:r>
              <w:br w:type="textWrapping"/>
            </w:r>
            <w:r>
              <w:rPr>
                <w:rFonts w:ascii="仿宋_GB2312" w:hAnsi="仿宋_GB2312" w:eastAsia="仿宋_GB2312" w:cs="仿宋_GB2312"/>
                <w:b/>
                <w:sz w:val="18"/>
              </w:rPr>
              <w:t>2.2建设内容</w:t>
            </w:r>
            <w:r>
              <w:br w:type="textWrapping"/>
            </w:r>
            <w:r>
              <w:rPr>
                <w:rFonts w:ascii="仿宋_GB2312" w:hAnsi="仿宋_GB2312" w:eastAsia="仿宋_GB2312" w:cs="仿宋_GB2312"/>
                <w:sz w:val="18"/>
              </w:rPr>
              <w:t xml:space="preserve"> 2.2.1 基础网络带宽及服务</w:t>
            </w:r>
            <w:r>
              <w:br w:type="textWrapping"/>
            </w:r>
            <w:r>
              <w:rPr>
                <w:rFonts w:ascii="仿宋_GB2312" w:hAnsi="仿宋_GB2312" w:eastAsia="仿宋_GB2312" w:cs="仿宋_GB2312"/>
                <w:b/>
                <w:sz w:val="18"/>
              </w:rPr>
              <w:t xml:space="preserve"> </w:t>
            </w:r>
            <w:r>
              <w:rPr>
                <w:rFonts w:ascii="仿宋_GB2312" w:hAnsi="仿宋_GB2312" w:eastAsia="仿宋_GB2312" w:cs="仿宋_GB2312"/>
                <w:sz w:val="18"/>
              </w:rPr>
              <w:t>（1）建设内容2.2中（1）-（4）投标方根据自己的方式建设，但必须满足学校使用及管理需求。</w:t>
            </w:r>
            <w:r>
              <w:br w:type="textWrapping"/>
            </w:r>
            <w:r>
              <w:rPr>
                <w:rFonts w:ascii="仿宋_GB2312" w:hAnsi="仿宋_GB2312" w:eastAsia="仿宋_GB2312" w:cs="仿宋_GB2312"/>
                <w:sz w:val="18"/>
              </w:rPr>
              <w:t xml:space="preserve">  （2）投标方原则上于2027年5月底前完成所有投资内容的建设，未央校区学生公寓2027年2月底前完成建设，具体以校方实际进度为准；</w:t>
            </w:r>
            <w:r>
              <w:br w:type="textWrapping"/>
            </w:r>
            <w:r>
              <w:rPr>
                <w:rFonts w:ascii="仿宋_GB2312" w:hAnsi="仿宋_GB2312" w:eastAsia="仿宋_GB2312" w:cs="仿宋_GB2312"/>
                <w:sz w:val="18"/>
              </w:rPr>
              <w:t xml:space="preserve">  （3）学校现有的网络接入方式、管理方式不变，费用收缴模式不变，双方共同监管收费情况，收入按月或者按季度转给投资方，学校监管收费情况。</w:t>
            </w:r>
            <w:r>
              <w:br w:type="textWrapping"/>
            </w:r>
            <w:r>
              <w:rPr>
                <w:rFonts w:ascii="仿宋_GB2312" w:hAnsi="仿宋_GB2312" w:eastAsia="仿宋_GB2312" w:cs="仿宋_GB2312"/>
                <w:sz w:val="18"/>
              </w:rPr>
              <w:t xml:space="preserve">  （4）带宽质量要求提供带宽访问互联网业务及服务时稳定、低延时、低丢包率。</w:t>
            </w:r>
            <w:r>
              <w:br w:type="textWrapping"/>
            </w:r>
            <w:r>
              <w:rPr>
                <w:rFonts w:ascii="仿宋_GB2312" w:hAnsi="仿宋_GB2312" w:eastAsia="仿宋_GB2312" w:cs="仿宋_GB2312"/>
                <w:sz w:val="18"/>
              </w:rPr>
              <w:t xml:space="preserve">  （5）校方在合作服务期内具有本项目所建设校园网络的使用权、监管权。所有网络上产生的设备数据、用户日志数据、承载的应用数据等，均属于学校数据资产，学校有权随时查阅，服务企业需积极配合，服务企业不得将任何数据提供第三方或用于运维服务之外的其它用途。上述数据包括但不限于用户管理、上网行为管理、数据采集、行为审计、网络日志、业务应用搭载、教学科研活动等。</w:t>
            </w:r>
            <w:r>
              <w:br w:type="textWrapping"/>
            </w:r>
            <w:r>
              <w:rPr>
                <w:rFonts w:ascii="仿宋_GB2312" w:hAnsi="仿宋_GB2312" w:eastAsia="仿宋_GB2312" w:cs="仿宋_GB2312"/>
                <w:sz w:val="18"/>
              </w:rPr>
              <w:t xml:space="preserve"> 2.2.2 未央校区学生公寓无线升级</w:t>
            </w:r>
            <w:r>
              <w:br w:type="textWrapping"/>
            </w:r>
            <w:r>
              <w:rPr>
                <w:rFonts w:ascii="仿宋_GB2312" w:hAnsi="仿宋_GB2312" w:eastAsia="仿宋_GB2312" w:cs="仿宋_GB2312"/>
                <w:sz w:val="18"/>
              </w:rPr>
              <w:t xml:space="preserve">   未央校区学生公寓原有骨干网络上联核心交换机10G链路作为核心架构，汇聚链路由10G提升至双40G高速链路，学生区汇聚交换机进行利旧升级，更换升级板卡，具备40G上下联端口。</w:t>
            </w:r>
          </w:p>
          <w:p w14:paraId="33FEDE16">
            <w:pPr>
              <w:pStyle w:val="4"/>
              <w:ind w:firstLine="480"/>
              <w:jc w:val="left"/>
            </w:pPr>
            <w:r>
              <w:rPr>
                <w:rFonts w:ascii="仿宋_GB2312" w:hAnsi="仿宋_GB2312" w:eastAsia="仿宋_GB2312" w:cs="仿宋_GB2312"/>
                <w:sz w:val="18"/>
              </w:rPr>
              <w:t>覆盖未央校区学生生活区公寓楼11栋，将公寓楼WIFI 5设备全面升级WIFI 7（约2500台），同时给各楼层适配WIFI 7面板的POE交换机（约70台）；对含光、高新无线设备检查，利旧拆除的WIFI 5设备，更新有故障的设备，并根据需求进行WIFI扩展补充。</w:t>
            </w:r>
            <w:r>
              <w:br w:type="textWrapping"/>
            </w:r>
            <w:r>
              <w:rPr>
                <w:rFonts w:ascii="仿宋_GB2312" w:hAnsi="仿宋_GB2312" w:eastAsia="仿宋_GB2312" w:cs="仿宋_GB2312"/>
                <w:sz w:val="18"/>
              </w:rPr>
              <w:t xml:space="preserve"> 2.2.3光纤落地及弱电间改造清理</w:t>
            </w:r>
            <w:r>
              <w:br w:type="textWrapping"/>
            </w:r>
            <w:r>
              <w:rPr>
                <w:rFonts w:ascii="仿宋_GB2312" w:hAnsi="仿宋_GB2312" w:eastAsia="仿宋_GB2312" w:cs="仿宋_GB2312"/>
                <w:sz w:val="18"/>
              </w:rPr>
              <w:t xml:space="preserve">    未央校区学生区公寓现有光缆均为空中架线，经过近10年使用，接入光衰严重，本次将对学生区公寓所有光纤进行落地施工，学生公寓核心汇聚位于4号楼，2至7号楼各楼于4号楼光纤互联，地下埋管，对原楼层1-7楼光纤全部进行更换，提升线路接入稳定性。对所有公寓楼及行政办公区弱电间环境进行排查，清理老旧废弃线路及垃圾，部分潮湿环境进行防潮处理（如实验楼B楼汇聚机房），老旧失修机柜进行更换，环境打扫提升，需干净整洁适宜设备运行，共约100间。</w:t>
            </w:r>
            <w:r>
              <w:br w:type="textWrapping"/>
            </w:r>
            <w:r>
              <w:rPr>
                <w:rFonts w:ascii="仿宋_GB2312" w:hAnsi="仿宋_GB2312" w:eastAsia="仿宋_GB2312" w:cs="仿宋_GB2312"/>
                <w:sz w:val="18"/>
              </w:rPr>
              <w:t xml:space="preserve"> 2.2.4无线网络控制设备</w:t>
            </w:r>
            <w:r>
              <w:br w:type="textWrapping"/>
            </w:r>
            <w:r>
              <w:rPr>
                <w:rFonts w:ascii="仿宋_GB2312" w:hAnsi="仿宋_GB2312" w:eastAsia="仿宋_GB2312" w:cs="仿宋_GB2312"/>
                <w:sz w:val="18"/>
              </w:rPr>
              <w:t xml:space="preserve">    提供2台全新的无线接入网络控制设备，替换原有2台AC设备，统管全校所有无线及本体设备，可管理现有全部WIFI 5、WIFI 6设备和本次升级的全部WIFI 7设备，包含AP管理授权5000个。</w:t>
            </w:r>
            <w:r>
              <w:br w:type="textWrapping"/>
            </w:r>
            <w:r>
              <w:rPr>
                <w:rFonts w:ascii="仿宋_GB2312" w:hAnsi="仿宋_GB2312" w:eastAsia="仿宋_GB2312" w:cs="仿宋_GB2312"/>
                <w:sz w:val="18"/>
              </w:rPr>
              <w:t xml:space="preserve"> 2.2.5计费认证系统升级</w:t>
            </w:r>
            <w:r>
              <w:br w:type="textWrapping"/>
            </w:r>
            <w:r>
              <w:rPr>
                <w:rFonts w:ascii="仿宋_GB2312" w:hAnsi="仿宋_GB2312" w:eastAsia="仿宋_GB2312" w:cs="仿宋_GB2312"/>
                <w:sz w:val="18"/>
              </w:rPr>
              <w:t xml:space="preserve">    新配置一套认证计费系统（2台认证计费设备），并对原有认证计费设备和系统进行更换，与学校 BRAS 做 portal 和 radius 对接，兼容链路运营商业务，学校校园有线网和无线网的统一认证计费网关在线热备，消除系统单点故障，提高可靠性。认证系统的数据源需与招标人统一认证系统单点对接，确保使用统一账号和密码即可登录上网。 </w:t>
            </w:r>
            <w:r>
              <w:br w:type="textWrapping"/>
            </w:r>
            <w:r>
              <w:rPr>
                <w:rFonts w:ascii="仿宋_GB2312" w:hAnsi="仿宋_GB2312" w:eastAsia="仿宋_GB2312" w:cs="仿宋_GB2312"/>
                <w:sz w:val="18"/>
              </w:rPr>
              <w:t xml:space="preserve">    无线网用户必须通过学校认证计费系统认证后上网。项目须对接原计费系统数据，建设统一的有线无线网络用户上网认证计费系统，校内本地部署，由学校全权管理，供应方具有访问查询账号信息权限。融合套餐用户在校园内上网必须通过学校认证计费系统认证，供应方须完成运营商融合套餐用户信息实时同步至校内认证计费系统的对接，认证计费系统要求高可性用旁路冗余部署，安装在学校数据中心机房，由学校负责管理，并与 BRAS 等各类相关设备和系统进行应用和数据对接，全校校园网统一认证、统一计费、统一管理，校外访客快速认证上网，多种方式的认证、授权、计费、策略下发等功能。 </w:t>
            </w:r>
            <w:r>
              <w:br w:type="textWrapping"/>
            </w:r>
            <w:r>
              <w:rPr>
                <w:rFonts w:ascii="仿宋_GB2312" w:hAnsi="仿宋_GB2312" w:eastAsia="仿宋_GB2312" w:cs="仿宋_GB2312"/>
                <w:sz w:val="18"/>
              </w:rPr>
              <w:t xml:space="preserve"> 2.2.6数据中心存储</w:t>
            </w:r>
            <w:r>
              <w:br w:type="textWrapping"/>
            </w:r>
            <w:r>
              <w:rPr>
                <w:rFonts w:ascii="仿宋_GB2312" w:hAnsi="仿宋_GB2312" w:eastAsia="仿宋_GB2312" w:cs="仿宋_GB2312"/>
                <w:sz w:val="18"/>
              </w:rPr>
              <w:t xml:space="preserve">    当前数据中心存储设备使用年限较久，运行时间长，硬件稳定性下降。在学期初选课、财务收费、学生就餐高峰期等高负载时段，存储响应延迟问题尤为突出，难以应对业务数据量持续增长的需求。同时，面临备件供应短缺、技术缺失的隐患，一旦发生故障，易导致数据丢失或业务中断，形成显著的数据安全风险。一卡通存储容量使用率已超80%（100T空间），急需新存储系统解决日益增长的数据对存储需求。新存储系统将提供不低于450TB的裸容量存储空间，采用全闪存（SSD）与大容量硬盘（HDD）相结合的混合存储架构，并结合智能数据分层与全局缓存加速技术，热数据高速读写、冷数据经济存储，在保障业务高并发、高可用性需求的基础上，检索效率显著提高，从而全面满足未来三年校园信息化建设中各类业务对海量数据保存与实时访问的增长需求。</w:t>
            </w:r>
            <w:r>
              <w:br w:type="textWrapping"/>
            </w:r>
            <w:r>
              <w:rPr>
                <w:rFonts w:ascii="仿宋_GB2312" w:hAnsi="仿宋_GB2312" w:eastAsia="仿宋_GB2312" w:cs="仿宋_GB2312"/>
                <w:sz w:val="18"/>
              </w:rPr>
              <w:t xml:space="preserve"> 在连接架构方面，存储系统将通过多路径冗余的32G FC（光纤通道）链路，与服务器端到端直连，构建高带宽、低延迟的存储区域网络（SAN），从根本上消除I/O瓶颈，确保教务管理、科研计算、一卡通交易等关键业务在高负载下的数据读写稳定性和响应速度。新系统还在线扩展、自动负载调节与数据压缩等功能，为校园数字化转型提供可靠、弹性、可持续的存储基础设施支撑。同时将旧一卡通存储数据迁移到新存储，迁移过程中确保数据的完成性和可用性，同时业务应用需保持运转，并将旧一卡通存储利旧。</w:t>
            </w:r>
            <w:r>
              <w:br w:type="textWrapping"/>
            </w:r>
            <w:r>
              <w:rPr>
                <w:rFonts w:ascii="仿宋_GB2312" w:hAnsi="仿宋_GB2312" w:eastAsia="仿宋_GB2312" w:cs="仿宋_GB2312"/>
                <w:sz w:val="18"/>
              </w:rPr>
              <w:t xml:space="preserve"> 2.2.7本地异地备份系统</w:t>
            </w:r>
            <w:r>
              <w:br w:type="textWrapping"/>
            </w:r>
            <w:r>
              <w:rPr>
                <w:rFonts w:ascii="仿宋_GB2312" w:hAnsi="仿宋_GB2312" w:eastAsia="仿宋_GB2312" w:cs="仿宋_GB2312"/>
                <w:sz w:val="18"/>
              </w:rPr>
              <w:t xml:space="preserve">    结合2.2.6中新增存储，和原有含光校区异地备份系统，建立新的一体化的本地异地备份系统，对核心业务应用及数据，在本地数据中心和含光机房的全量备份，核心业务和数据的完整备份及备份统一管理，稳定安全及高可用。</w:t>
            </w:r>
            <w:r>
              <w:br w:type="textWrapping"/>
            </w:r>
            <w:r>
              <w:rPr>
                <w:rFonts w:ascii="仿宋_GB2312" w:hAnsi="仿宋_GB2312" w:eastAsia="仿宋_GB2312" w:cs="仿宋_GB2312"/>
                <w:sz w:val="18"/>
              </w:rPr>
              <w:t xml:space="preserve"> 2.2.8 计算节点及虚拟化升级</w:t>
            </w:r>
            <w:r>
              <w:br w:type="textWrapping"/>
            </w:r>
            <w:r>
              <w:rPr>
                <w:rFonts w:ascii="仿宋_GB2312" w:hAnsi="仿宋_GB2312" w:eastAsia="仿宋_GB2312" w:cs="仿宋_GB2312"/>
                <w:sz w:val="18"/>
              </w:rPr>
              <w:t xml:space="preserve">    对现有8台旧服务器进行利旧升级改造包括硬盘升级，HBA卡升级等，满足部署新的国产虚拟化平台软件的需求，建立新的虚拟化平台承载新增的业务及应用需求，包含对旧虚拟化平台200个业务应用进行迁移保证数据和业务应用的完整性和系统可用性，对计算资源的扩充，存量资源的利旧与业务平滑过渡，避免业务中断。</w:t>
            </w:r>
            <w:r>
              <w:br w:type="textWrapping"/>
            </w:r>
            <w:r>
              <w:rPr>
                <w:rFonts w:ascii="仿宋_GB2312" w:hAnsi="仿宋_GB2312" w:eastAsia="仿宋_GB2312" w:cs="仿宋_GB2312"/>
                <w:sz w:val="18"/>
              </w:rPr>
              <w:t xml:space="preserve"> 2.2.9 网络运维系统</w:t>
            </w:r>
            <w:r>
              <w:br w:type="textWrapping"/>
            </w:r>
            <w:r>
              <w:rPr>
                <w:rFonts w:ascii="仿宋_GB2312" w:hAnsi="仿宋_GB2312" w:eastAsia="仿宋_GB2312" w:cs="仿宋_GB2312"/>
                <w:sz w:val="18"/>
              </w:rPr>
              <w:t xml:space="preserve">    2024年以来，信息化处承担了全校所有网络、网络设备、办公电脑等信息化相关的维护工作。在运维过程中难度极大，本次建设运维一体化系统，对运维工作做到可视化，实时管理全校600余台交换机及全部AP设备，快速实时精准定位问题，全节点运维可视化，故障实时预警提示，提高运维效率减轻工作人员压力。</w:t>
            </w:r>
            <w:r>
              <w:br w:type="textWrapping"/>
            </w:r>
            <w:r>
              <w:rPr>
                <w:rFonts w:ascii="仿宋_GB2312" w:hAnsi="仿宋_GB2312" w:eastAsia="仿宋_GB2312" w:cs="仿宋_GB2312"/>
                <w:sz w:val="18"/>
              </w:rPr>
              <w:t xml:space="preserve"> 2.2.10 AI算力资源及业务智能体</w:t>
            </w:r>
            <w:r>
              <w:br w:type="textWrapping"/>
            </w:r>
            <w:r>
              <w:rPr>
                <w:rFonts w:ascii="仿宋_GB2312" w:hAnsi="仿宋_GB2312" w:eastAsia="仿宋_GB2312" w:cs="仿宋_GB2312"/>
                <w:sz w:val="18"/>
              </w:rPr>
              <w:t xml:space="preserve">    随着人工智能技术的发展，学校科研、教学、管理、办公等对AI技术的需求爆发式增长，急需算力承载，学校目前数据中心设备无法承载AI算力的需求，服务期内需提供AI应用场景和智能体服务20个，及每年30亿Token量供学校AI中台使用，超过部分按照实际使用量收费。</w:t>
            </w:r>
            <w:r>
              <w:br w:type="textWrapping"/>
            </w:r>
            <w:r>
              <w:rPr>
                <w:rFonts w:ascii="仿宋_GB2312" w:hAnsi="仿宋_GB2312" w:eastAsia="仿宋_GB2312" w:cs="仿宋_GB2312"/>
                <w:sz w:val="18"/>
              </w:rPr>
              <w:t xml:space="preserve"> 2.2.10.1 AI就业智能化场景</w:t>
            </w:r>
            <w:r>
              <w:br w:type="textWrapping"/>
            </w:r>
            <w:r>
              <w:rPr>
                <w:rFonts w:ascii="仿宋_GB2312" w:hAnsi="仿宋_GB2312" w:eastAsia="仿宋_GB2312" w:cs="仿宋_GB2312"/>
                <w:sz w:val="18"/>
              </w:rPr>
              <w:t xml:space="preserve">    聚焦医学生求职、升学、政策适配、就业管理全流程，通过AI智能体就业数据自动化采集、智能化分析、高效化管理，解决医学生就业迷茫、政策解读繁琐、教师就业统计工作量大等痛点。</w:t>
            </w:r>
            <w:r>
              <w:br w:type="textWrapping"/>
            </w:r>
            <w:r>
              <w:rPr>
                <w:rFonts w:ascii="仿宋_GB2312" w:hAnsi="仿宋_GB2312" w:eastAsia="仿宋_GB2312" w:cs="仿宋_GB2312"/>
                <w:sz w:val="18"/>
              </w:rPr>
              <w:t xml:space="preserve">    需包含以下智能体：求职政策智能解读、就业智能问数、AI智能简历生成。</w:t>
            </w:r>
            <w:r>
              <w:br w:type="textWrapping"/>
            </w:r>
            <w:r>
              <w:rPr>
                <w:rFonts w:ascii="仿宋_GB2312" w:hAnsi="仿宋_GB2312" w:eastAsia="仿宋_GB2312" w:cs="仿宋_GB2312"/>
                <w:sz w:val="18"/>
              </w:rPr>
              <w:t xml:space="preserve"> 2.2.10.2 AI学工智能化场景</w:t>
            </w:r>
            <w:r>
              <w:br w:type="textWrapping"/>
            </w:r>
            <w:r>
              <w:rPr>
                <w:rFonts w:ascii="仿宋_GB2312" w:hAnsi="仿宋_GB2312" w:eastAsia="仿宋_GB2312" w:cs="仿宋_GB2312"/>
                <w:sz w:val="18"/>
              </w:rPr>
              <w:t xml:space="preserve">    智能体需具备智能分析与风险预警能力，整合考勤、宿管、学业、实训、升学全量学工数据，学生日常管理、学风建设、心理健康、升学规划的智能化、精细化管控，赋能辅导员高效开展学工工作。</w:t>
            </w:r>
            <w:r>
              <w:br w:type="textWrapping"/>
            </w:r>
            <w:r>
              <w:rPr>
                <w:rFonts w:ascii="仿宋_GB2312" w:hAnsi="仿宋_GB2312" w:eastAsia="仿宋_GB2312" w:cs="仿宋_GB2312"/>
                <w:sz w:val="18"/>
              </w:rPr>
              <w:t xml:space="preserve">    需包含以下智能体：请假宿管综合分析智能体、课堂到课率预警智能体、学工综合预警智能体、学业挂科风险预警智能体、考研升学规划智能体、实验实训预习指导智能体。</w:t>
            </w:r>
            <w:r>
              <w:br w:type="textWrapping"/>
            </w:r>
            <w:r>
              <w:rPr>
                <w:rFonts w:ascii="仿宋_GB2312" w:hAnsi="仿宋_GB2312" w:eastAsia="仿宋_GB2312" w:cs="仿宋_GB2312"/>
                <w:sz w:val="18"/>
              </w:rPr>
              <w:t xml:space="preserve"> 2.2.10.3 AI后勤智能化场景</w:t>
            </w:r>
            <w:r>
              <w:br w:type="textWrapping"/>
            </w:r>
            <w:r>
              <w:rPr>
                <w:rFonts w:ascii="仿宋_GB2312" w:hAnsi="仿宋_GB2312" w:eastAsia="仿宋_GB2312" w:cs="仿宋_GB2312"/>
                <w:sz w:val="18"/>
              </w:rPr>
              <w:t xml:space="preserve">    聚焦医学院校实训耗材、医用物资、校园餐饮、固定资产等后勤核心业务，通过AI智能分析、库存预警、数据研判，后勤管理精细化、节能化、智能化，降低管理成本，提升校园后勤保障能力。</w:t>
            </w:r>
            <w:r>
              <w:br w:type="textWrapping"/>
            </w:r>
            <w:r>
              <w:rPr>
                <w:rFonts w:ascii="仿宋_GB2312" w:hAnsi="仿宋_GB2312" w:eastAsia="仿宋_GB2312" w:cs="仿宋_GB2312"/>
                <w:sz w:val="18"/>
              </w:rPr>
              <w:t xml:space="preserve">    需包含以下智能体：医疗物资仓储管理智能体、食堂就餐数据分析智能体、校内资产盘点分析智能体。</w:t>
            </w:r>
            <w:r>
              <w:br w:type="textWrapping"/>
            </w:r>
            <w:r>
              <w:rPr>
                <w:rFonts w:ascii="仿宋_GB2312" w:hAnsi="仿宋_GB2312" w:eastAsia="仿宋_GB2312" w:cs="仿宋_GB2312"/>
                <w:sz w:val="18"/>
              </w:rPr>
              <w:t xml:space="preserve"> 2.2.10.4 AI科研智能化场景</w:t>
            </w:r>
            <w:r>
              <w:br w:type="textWrapping"/>
            </w:r>
            <w:r>
              <w:rPr>
                <w:rFonts w:ascii="仿宋_GB2312" w:hAnsi="仿宋_GB2312" w:eastAsia="仿宋_GB2312" w:cs="仿宋_GB2312"/>
                <w:sz w:val="18"/>
              </w:rPr>
              <w:t xml:space="preserve">    紧扣医学科研特色，围绕科研成果统计、知识图谱构建、文献精读、实验设计、伦理申报、科研数据研判六大维度，打造全流程AI科研赋能体系，大幅降低师生科研门槛，提升科研创新效率。</w:t>
            </w:r>
            <w:r>
              <w:br w:type="textWrapping"/>
            </w:r>
            <w:r>
              <w:rPr>
                <w:rFonts w:ascii="仿宋_GB2312" w:hAnsi="仿宋_GB2312" w:eastAsia="仿宋_GB2312" w:cs="仿宋_GB2312"/>
                <w:sz w:val="18"/>
              </w:rPr>
              <w:t xml:space="preserve">    需包含以下智能体：论文成果统计智能体、科研知识图谱智能体、中英文文献精读拆解智能体、实验方案标准化设计智能体、医学伦理申报辅助智能体、科研问数智能体、教师科研工作专属赋能智能体。</w:t>
            </w:r>
            <w:r>
              <w:br w:type="textWrapping"/>
            </w:r>
            <w:r>
              <w:rPr>
                <w:rFonts w:ascii="仿宋_GB2312" w:hAnsi="仿宋_GB2312" w:eastAsia="仿宋_GB2312" w:cs="仿宋_GB2312"/>
                <w:sz w:val="18"/>
              </w:rPr>
              <w:t xml:space="preserve"> 2.2.10.5 AI通用智能办事场景</w:t>
            </w:r>
            <w:r>
              <w:br w:type="textWrapping"/>
            </w:r>
            <w:r>
              <w:rPr>
                <w:rFonts w:ascii="仿宋_GB2312" w:hAnsi="仿宋_GB2312" w:eastAsia="仿宋_GB2312" w:cs="仿宋_GB2312"/>
                <w:sz w:val="18"/>
              </w:rPr>
              <w:t xml:space="preserve">    聚焦学生高频线上办事需求，依托AI智能审核、智能纠错、智能指引能力，优化校园办事流程，减少材料退回返工，提升师生办事效率，打造一站式智能办事服务体系。</w:t>
            </w:r>
            <w:r>
              <w:br w:type="textWrapping"/>
            </w:r>
            <w:r>
              <w:rPr>
                <w:rFonts w:ascii="仿宋_GB2312" w:hAnsi="仿宋_GB2312" w:eastAsia="仿宋_GB2312" w:cs="仿宋_GB2312"/>
                <w:sz w:val="18"/>
              </w:rPr>
              <w:t xml:space="preserve">    需包含以下智能体：综合办事智能体。</w:t>
            </w:r>
            <w:r>
              <w:br w:type="textWrapping"/>
            </w:r>
            <w:r>
              <w:rPr>
                <w:rFonts w:ascii="仿宋_GB2312" w:hAnsi="仿宋_GB2312" w:eastAsia="仿宋_GB2312" w:cs="仿宋_GB2312"/>
                <w:sz w:val="18"/>
              </w:rPr>
              <w:t xml:space="preserve"> 2.2.10.6 AI应用驻场服务</w:t>
            </w:r>
            <w:r>
              <w:br w:type="textWrapping"/>
            </w:r>
            <w:r>
              <w:rPr>
                <w:rFonts w:ascii="仿宋_GB2312" w:hAnsi="仿宋_GB2312" w:eastAsia="仿宋_GB2312" w:cs="仿宋_GB2312"/>
                <w:sz w:val="18"/>
              </w:rPr>
              <w:t xml:space="preserve">    服务期内投标人须提供本项目不少于2名AI智能体开发技术人员驻场驻场服务。</w:t>
            </w:r>
            <w:r>
              <w:br w:type="textWrapping"/>
            </w:r>
            <w:r>
              <w:rPr>
                <w:rFonts w:ascii="仿宋_GB2312" w:hAnsi="仿宋_GB2312" w:eastAsia="仿宋_GB2312" w:cs="仿宋_GB2312"/>
                <w:sz w:val="18"/>
              </w:rPr>
              <w:t xml:space="preserve">    具体的AI应用场景以学校具体需求准备，总体不少于20个AI智能体,包括但不限于参数列表中的智能体,并可支撑学校各类AI竞赛。</w:t>
            </w:r>
          </w:p>
          <w:p w14:paraId="669E6438">
            <w:pPr>
              <w:pStyle w:val="4"/>
            </w:pPr>
          </w:p>
        </w:tc>
      </w:tr>
      <w:tr w14:paraId="5322A1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24" w:type="dxa"/>
          </w:tcPr>
          <w:p w14:paraId="39C50E38">
            <w:pPr>
              <w:pStyle w:val="4"/>
            </w:pPr>
            <w:r>
              <w:rPr>
                <w:rFonts w:ascii="仿宋_GB2312" w:hAnsi="仿宋_GB2312" w:eastAsia="仿宋_GB2312" w:cs="仿宋_GB2312"/>
              </w:rPr>
              <w:t>3</w:t>
            </w:r>
          </w:p>
        </w:tc>
        <w:tc>
          <w:tcPr>
            <w:tcW w:w="7249" w:type="dxa"/>
          </w:tcPr>
          <w:p w14:paraId="1ABDD037">
            <w:pPr>
              <w:pStyle w:val="4"/>
            </w:pPr>
            <w:r>
              <w:rPr>
                <w:rFonts w:ascii="仿宋_GB2312" w:hAnsi="仿宋_GB2312" w:eastAsia="仿宋_GB2312" w:cs="仿宋_GB2312"/>
                <w:sz w:val="21"/>
              </w:rPr>
              <w:t>建设清单</w:t>
            </w:r>
          </w:p>
          <w:tbl>
            <w:tblPr>
              <w:tblStyle w:val="2"/>
              <w:tblW w:w="0" w:type="auto"/>
              <w:tblInd w:w="16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607"/>
              <w:gridCol w:w="3152"/>
              <w:gridCol w:w="878"/>
              <w:gridCol w:w="910"/>
              <w:gridCol w:w="1136"/>
            </w:tblGrid>
            <w:tr w14:paraId="44085B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single" w:color="000000" w:sz="4" w:space="0"/>
                    <w:left w:val="single" w:color="000000" w:sz="4" w:space="0"/>
                    <w:bottom w:val="single" w:color="000000" w:sz="4" w:space="0"/>
                    <w:right w:val="single" w:color="000000" w:sz="4" w:space="0"/>
                  </w:tcBorders>
                  <w:shd w:val="clear" w:color="auto" w:fill="DCE6F1"/>
                  <w:tcMar>
                    <w:top w:w="0" w:type="dxa"/>
                    <w:left w:w="105" w:type="dxa"/>
                    <w:bottom w:w="0" w:type="dxa"/>
                    <w:right w:w="105" w:type="dxa"/>
                  </w:tcMar>
                  <w:vAlign w:val="top"/>
                </w:tcPr>
                <w:p w14:paraId="6E408332">
                  <w:pPr>
                    <w:pStyle w:val="4"/>
                    <w:jc w:val="center"/>
                  </w:pPr>
                  <w:r>
                    <w:rPr>
                      <w:rFonts w:ascii="仿宋_GB2312" w:hAnsi="仿宋_GB2312" w:eastAsia="仿宋_GB2312" w:cs="仿宋_GB2312"/>
                      <w:b/>
                      <w:sz w:val="18"/>
                    </w:rPr>
                    <w:t>序号</w:t>
                  </w:r>
                </w:p>
              </w:tc>
              <w:tc>
                <w:tcPr>
                  <w:tcW w:w="3152" w:type="dxa"/>
                  <w:tcBorders>
                    <w:top w:val="single" w:color="000000" w:sz="4" w:space="0"/>
                    <w:left w:val="single" w:color="000000" w:sz="4" w:space="0"/>
                    <w:bottom w:val="single" w:color="000000" w:sz="4" w:space="0"/>
                    <w:right w:val="single" w:color="000000" w:sz="4" w:space="0"/>
                  </w:tcBorders>
                  <w:shd w:val="clear" w:color="auto" w:fill="DCE6F1"/>
                  <w:tcMar>
                    <w:top w:w="0" w:type="dxa"/>
                    <w:left w:w="105" w:type="dxa"/>
                    <w:bottom w:w="0" w:type="dxa"/>
                    <w:right w:w="105" w:type="dxa"/>
                  </w:tcMar>
                  <w:vAlign w:val="top"/>
                </w:tcPr>
                <w:p w14:paraId="58530983">
                  <w:pPr>
                    <w:pStyle w:val="4"/>
                    <w:jc w:val="center"/>
                  </w:pPr>
                  <w:r>
                    <w:rPr>
                      <w:rFonts w:ascii="仿宋_GB2312" w:hAnsi="仿宋_GB2312" w:eastAsia="仿宋_GB2312" w:cs="仿宋_GB2312"/>
                      <w:b/>
                      <w:sz w:val="18"/>
                    </w:rPr>
                    <w:t>名称</w:t>
                  </w:r>
                </w:p>
              </w:tc>
              <w:tc>
                <w:tcPr>
                  <w:tcW w:w="878" w:type="dxa"/>
                  <w:tcBorders>
                    <w:top w:val="single" w:color="000000" w:sz="4" w:space="0"/>
                    <w:left w:val="single" w:color="000000" w:sz="4" w:space="0"/>
                    <w:bottom w:val="single" w:color="000000" w:sz="4" w:space="0"/>
                    <w:right w:val="single" w:color="000000" w:sz="4" w:space="0"/>
                  </w:tcBorders>
                  <w:shd w:val="clear" w:color="auto" w:fill="DCE6F1"/>
                  <w:tcMar>
                    <w:top w:w="0" w:type="dxa"/>
                    <w:left w:w="105" w:type="dxa"/>
                    <w:bottom w:w="0" w:type="dxa"/>
                    <w:right w:w="105" w:type="dxa"/>
                  </w:tcMar>
                  <w:vAlign w:val="top"/>
                </w:tcPr>
                <w:p w14:paraId="3B38D72E">
                  <w:pPr>
                    <w:pStyle w:val="4"/>
                    <w:jc w:val="center"/>
                  </w:pPr>
                  <w:r>
                    <w:rPr>
                      <w:rFonts w:ascii="仿宋_GB2312" w:hAnsi="仿宋_GB2312" w:eastAsia="仿宋_GB2312" w:cs="仿宋_GB2312"/>
                      <w:b/>
                      <w:sz w:val="18"/>
                    </w:rPr>
                    <w:t>单位</w:t>
                  </w:r>
                </w:p>
              </w:tc>
              <w:tc>
                <w:tcPr>
                  <w:tcW w:w="910" w:type="dxa"/>
                  <w:tcBorders>
                    <w:top w:val="single" w:color="000000" w:sz="4" w:space="0"/>
                    <w:left w:val="single" w:color="000000" w:sz="4" w:space="0"/>
                    <w:bottom w:val="single" w:color="000000" w:sz="4" w:space="0"/>
                    <w:right w:val="single" w:color="000000" w:sz="4" w:space="0"/>
                  </w:tcBorders>
                  <w:shd w:val="clear" w:color="auto" w:fill="DCE6F1"/>
                  <w:tcMar>
                    <w:top w:w="0" w:type="dxa"/>
                    <w:left w:w="105" w:type="dxa"/>
                    <w:bottom w:w="0" w:type="dxa"/>
                    <w:right w:w="105" w:type="dxa"/>
                  </w:tcMar>
                  <w:vAlign w:val="top"/>
                </w:tcPr>
                <w:p w14:paraId="065E1345">
                  <w:pPr>
                    <w:pStyle w:val="4"/>
                    <w:jc w:val="center"/>
                  </w:pPr>
                  <w:r>
                    <w:rPr>
                      <w:rFonts w:ascii="仿宋_GB2312" w:hAnsi="仿宋_GB2312" w:eastAsia="仿宋_GB2312" w:cs="仿宋_GB2312"/>
                      <w:b/>
                      <w:sz w:val="18"/>
                    </w:rPr>
                    <w:t>数量</w:t>
                  </w:r>
                </w:p>
              </w:tc>
              <w:tc>
                <w:tcPr>
                  <w:tcW w:w="1136" w:type="dxa"/>
                  <w:tcBorders>
                    <w:top w:val="single" w:color="000000" w:sz="4" w:space="0"/>
                    <w:left w:val="single" w:color="000000" w:sz="4" w:space="0"/>
                    <w:bottom w:val="single" w:color="000000" w:sz="4" w:space="0"/>
                    <w:right w:val="single" w:color="000000" w:sz="4" w:space="0"/>
                  </w:tcBorders>
                  <w:shd w:val="clear" w:color="auto" w:fill="DCE6F1"/>
                  <w:tcMar>
                    <w:top w:w="0" w:type="dxa"/>
                    <w:left w:w="105" w:type="dxa"/>
                    <w:bottom w:w="0" w:type="dxa"/>
                    <w:right w:w="105" w:type="dxa"/>
                  </w:tcMar>
                  <w:vAlign w:val="top"/>
                </w:tcPr>
                <w:p w14:paraId="5CBBDCD6">
                  <w:pPr>
                    <w:pStyle w:val="4"/>
                    <w:jc w:val="center"/>
                  </w:pPr>
                  <w:r>
                    <w:rPr>
                      <w:rFonts w:ascii="仿宋_GB2312" w:hAnsi="仿宋_GB2312" w:eastAsia="仿宋_GB2312" w:cs="仿宋_GB2312"/>
                      <w:b/>
                      <w:sz w:val="18"/>
                    </w:rPr>
                    <w:t>备注</w:t>
                  </w:r>
                </w:p>
              </w:tc>
            </w:tr>
            <w:tr w14:paraId="74188D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C69203">
                  <w:pPr>
                    <w:pStyle w:val="4"/>
                    <w:jc w:val="center"/>
                  </w:pPr>
                  <w:r>
                    <w:rPr>
                      <w:rFonts w:ascii="仿宋_GB2312" w:hAnsi="仿宋_GB2312" w:eastAsia="仿宋_GB2312" w:cs="仿宋_GB2312"/>
                      <w:sz w:val="18"/>
                    </w:rPr>
                    <w:t>1</w:t>
                  </w:r>
                </w:p>
              </w:tc>
              <w:tc>
                <w:tcPr>
                  <w:tcW w:w="315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60B6C39">
                  <w:pPr>
                    <w:pStyle w:val="4"/>
                    <w:jc w:val="center"/>
                  </w:pPr>
                  <w:r>
                    <w:rPr>
                      <w:rFonts w:ascii="仿宋_GB2312" w:hAnsi="仿宋_GB2312" w:eastAsia="仿宋_GB2312" w:cs="仿宋_GB2312"/>
                      <w:sz w:val="18"/>
                    </w:rPr>
                    <w:t>Wifi7面板AP</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EB40A4">
                  <w:pPr>
                    <w:pStyle w:val="4"/>
                    <w:jc w:val="center"/>
                  </w:pPr>
                  <w:r>
                    <w:rPr>
                      <w:rFonts w:ascii="仿宋_GB2312" w:hAnsi="仿宋_GB2312" w:eastAsia="仿宋_GB2312" w:cs="仿宋_GB2312"/>
                      <w:sz w:val="18"/>
                    </w:rPr>
                    <w:t>台</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9258B3">
                  <w:pPr>
                    <w:pStyle w:val="4"/>
                    <w:jc w:val="center"/>
                  </w:pPr>
                  <w:r>
                    <w:rPr>
                      <w:rFonts w:ascii="仿宋_GB2312" w:hAnsi="仿宋_GB2312" w:eastAsia="仿宋_GB2312" w:cs="仿宋_GB2312"/>
                      <w:sz w:val="18"/>
                    </w:rPr>
                    <w:t>2500</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71FE6A">
                  <w:pPr>
                    <w:pStyle w:val="4"/>
                    <w:jc w:val="center"/>
                  </w:pPr>
                </w:p>
              </w:tc>
            </w:tr>
            <w:tr w14:paraId="494E2D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53F808">
                  <w:pPr>
                    <w:pStyle w:val="4"/>
                    <w:jc w:val="center"/>
                  </w:pPr>
                  <w:r>
                    <w:rPr>
                      <w:rFonts w:ascii="仿宋_GB2312" w:hAnsi="仿宋_GB2312" w:eastAsia="仿宋_GB2312" w:cs="仿宋_GB2312"/>
                      <w:sz w:val="18"/>
                    </w:rPr>
                    <w:t>2</w:t>
                  </w:r>
                </w:p>
              </w:tc>
              <w:tc>
                <w:tcPr>
                  <w:tcW w:w="315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9E0523">
                  <w:pPr>
                    <w:pStyle w:val="4"/>
                    <w:jc w:val="center"/>
                  </w:pPr>
                  <w:r>
                    <w:rPr>
                      <w:rFonts w:ascii="仿宋_GB2312" w:hAnsi="仿宋_GB2312" w:eastAsia="仿宋_GB2312" w:cs="仿宋_GB2312"/>
                      <w:sz w:val="18"/>
                    </w:rPr>
                    <w:t>24口POE交换机</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BA5AC6">
                  <w:pPr>
                    <w:pStyle w:val="4"/>
                    <w:jc w:val="center"/>
                  </w:pPr>
                  <w:r>
                    <w:rPr>
                      <w:rFonts w:ascii="仿宋_GB2312" w:hAnsi="仿宋_GB2312" w:eastAsia="仿宋_GB2312" w:cs="仿宋_GB2312"/>
                      <w:sz w:val="18"/>
                    </w:rPr>
                    <w:t>台</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0000B4">
                  <w:pPr>
                    <w:pStyle w:val="4"/>
                    <w:jc w:val="center"/>
                  </w:pPr>
                  <w:r>
                    <w:rPr>
                      <w:rFonts w:ascii="仿宋_GB2312" w:hAnsi="仿宋_GB2312" w:eastAsia="仿宋_GB2312" w:cs="仿宋_GB2312"/>
                      <w:sz w:val="18"/>
                    </w:rPr>
                    <w:t>15</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8B70BF">
                  <w:pPr>
                    <w:pStyle w:val="4"/>
                    <w:jc w:val="center"/>
                  </w:pPr>
                </w:p>
              </w:tc>
            </w:tr>
            <w:tr w14:paraId="710612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BB8128">
                  <w:pPr>
                    <w:pStyle w:val="4"/>
                    <w:jc w:val="center"/>
                  </w:pPr>
                  <w:r>
                    <w:rPr>
                      <w:rFonts w:ascii="仿宋_GB2312" w:hAnsi="仿宋_GB2312" w:eastAsia="仿宋_GB2312" w:cs="仿宋_GB2312"/>
                      <w:sz w:val="18"/>
                    </w:rPr>
                    <w:t>3</w:t>
                  </w:r>
                </w:p>
              </w:tc>
              <w:tc>
                <w:tcPr>
                  <w:tcW w:w="315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EBB16AF">
                  <w:pPr>
                    <w:pStyle w:val="4"/>
                    <w:jc w:val="center"/>
                  </w:pPr>
                  <w:r>
                    <w:rPr>
                      <w:rFonts w:ascii="仿宋_GB2312" w:hAnsi="仿宋_GB2312" w:eastAsia="仿宋_GB2312" w:cs="仿宋_GB2312"/>
                      <w:sz w:val="18"/>
                    </w:rPr>
                    <w:t>48口POE交换机</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A75BB4">
                  <w:pPr>
                    <w:pStyle w:val="4"/>
                    <w:jc w:val="center"/>
                  </w:pPr>
                  <w:r>
                    <w:rPr>
                      <w:rFonts w:ascii="仿宋_GB2312" w:hAnsi="仿宋_GB2312" w:eastAsia="仿宋_GB2312" w:cs="仿宋_GB2312"/>
                      <w:sz w:val="18"/>
                    </w:rPr>
                    <w:t>台</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F9C8D0">
                  <w:pPr>
                    <w:pStyle w:val="4"/>
                    <w:jc w:val="center"/>
                  </w:pPr>
                  <w:r>
                    <w:rPr>
                      <w:rFonts w:ascii="仿宋_GB2312" w:hAnsi="仿宋_GB2312" w:eastAsia="仿宋_GB2312" w:cs="仿宋_GB2312"/>
                      <w:sz w:val="18"/>
                    </w:rPr>
                    <w:t>70</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7DAA80">
                  <w:pPr>
                    <w:pStyle w:val="4"/>
                    <w:jc w:val="center"/>
                  </w:pPr>
                </w:p>
              </w:tc>
            </w:tr>
            <w:tr w14:paraId="232C1F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1A00CE">
                  <w:pPr>
                    <w:pStyle w:val="4"/>
                    <w:jc w:val="center"/>
                  </w:pPr>
                  <w:r>
                    <w:rPr>
                      <w:rFonts w:ascii="仿宋_GB2312" w:hAnsi="仿宋_GB2312" w:eastAsia="仿宋_GB2312" w:cs="仿宋_GB2312"/>
                      <w:sz w:val="18"/>
                    </w:rPr>
                    <w:t>4</w:t>
                  </w:r>
                </w:p>
              </w:tc>
              <w:tc>
                <w:tcPr>
                  <w:tcW w:w="315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E9FE40">
                  <w:pPr>
                    <w:pStyle w:val="4"/>
                    <w:jc w:val="center"/>
                  </w:pPr>
                  <w:r>
                    <w:rPr>
                      <w:rFonts w:ascii="仿宋_GB2312" w:hAnsi="仿宋_GB2312" w:eastAsia="仿宋_GB2312" w:cs="仿宋_GB2312"/>
                      <w:sz w:val="18"/>
                    </w:rPr>
                    <w:t>24口静音交换机</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EFECBF">
                  <w:pPr>
                    <w:pStyle w:val="4"/>
                    <w:jc w:val="center"/>
                  </w:pPr>
                  <w:r>
                    <w:rPr>
                      <w:rFonts w:ascii="仿宋_GB2312" w:hAnsi="仿宋_GB2312" w:eastAsia="仿宋_GB2312" w:cs="仿宋_GB2312"/>
                      <w:sz w:val="18"/>
                    </w:rPr>
                    <w:t>台</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380CCB">
                  <w:pPr>
                    <w:pStyle w:val="4"/>
                    <w:jc w:val="center"/>
                  </w:pPr>
                  <w:r>
                    <w:rPr>
                      <w:rFonts w:ascii="仿宋_GB2312" w:hAnsi="仿宋_GB2312" w:eastAsia="仿宋_GB2312" w:cs="仿宋_GB2312"/>
                      <w:sz w:val="18"/>
                    </w:rPr>
                    <w:t>6</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06BF8A">
                  <w:pPr>
                    <w:pStyle w:val="4"/>
                    <w:jc w:val="center"/>
                  </w:pPr>
                </w:p>
              </w:tc>
            </w:tr>
            <w:tr w14:paraId="4701B2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BB1F59">
                  <w:pPr>
                    <w:pStyle w:val="4"/>
                    <w:jc w:val="center"/>
                  </w:pPr>
                  <w:r>
                    <w:rPr>
                      <w:rFonts w:ascii="仿宋_GB2312" w:hAnsi="仿宋_GB2312" w:eastAsia="仿宋_GB2312" w:cs="仿宋_GB2312"/>
                      <w:sz w:val="18"/>
                    </w:rPr>
                    <w:t>5</w:t>
                  </w:r>
                </w:p>
              </w:tc>
              <w:tc>
                <w:tcPr>
                  <w:tcW w:w="315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D25957">
                  <w:pPr>
                    <w:pStyle w:val="4"/>
                    <w:jc w:val="center"/>
                  </w:pPr>
                  <w:r>
                    <w:rPr>
                      <w:rFonts w:ascii="仿宋_GB2312" w:hAnsi="仿宋_GB2312" w:eastAsia="仿宋_GB2312" w:cs="仿宋_GB2312"/>
                      <w:sz w:val="18"/>
                    </w:rPr>
                    <w:t>24口接入交换机</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F76318">
                  <w:pPr>
                    <w:pStyle w:val="4"/>
                    <w:jc w:val="center"/>
                  </w:pPr>
                  <w:r>
                    <w:rPr>
                      <w:rFonts w:ascii="仿宋_GB2312" w:hAnsi="仿宋_GB2312" w:eastAsia="仿宋_GB2312" w:cs="仿宋_GB2312"/>
                      <w:sz w:val="18"/>
                    </w:rPr>
                    <w:t>台</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6FC6B7E">
                  <w:pPr>
                    <w:pStyle w:val="4"/>
                    <w:jc w:val="center"/>
                  </w:pPr>
                  <w:r>
                    <w:rPr>
                      <w:rFonts w:ascii="仿宋_GB2312" w:hAnsi="仿宋_GB2312" w:eastAsia="仿宋_GB2312" w:cs="仿宋_GB2312"/>
                      <w:sz w:val="18"/>
                    </w:rPr>
                    <w:t>10</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35DC55">
                  <w:pPr>
                    <w:pStyle w:val="4"/>
                    <w:jc w:val="center"/>
                  </w:pPr>
                </w:p>
              </w:tc>
            </w:tr>
            <w:tr w14:paraId="02922A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84C4D3">
                  <w:pPr>
                    <w:pStyle w:val="4"/>
                    <w:jc w:val="center"/>
                  </w:pPr>
                  <w:r>
                    <w:rPr>
                      <w:rFonts w:ascii="仿宋_GB2312" w:hAnsi="仿宋_GB2312" w:eastAsia="仿宋_GB2312" w:cs="仿宋_GB2312"/>
                      <w:sz w:val="18"/>
                    </w:rPr>
                    <w:t>6</w:t>
                  </w:r>
                </w:p>
              </w:tc>
              <w:tc>
                <w:tcPr>
                  <w:tcW w:w="315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16BE69">
                  <w:pPr>
                    <w:pStyle w:val="4"/>
                    <w:jc w:val="center"/>
                  </w:pPr>
                  <w:r>
                    <w:rPr>
                      <w:rFonts w:ascii="仿宋_GB2312" w:hAnsi="仿宋_GB2312" w:eastAsia="仿宋_GB2312" w:cs="仿宋_GB2312"/>
                      <w:sz w:val="18"/>
                    </w:rPr>
                    <w:t>WiFi7室外AP</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FB9861">
                  <w:pPr>
                    <w:pStyle w:val="4"/>
                    <w:jc w:val="center"/>
                  </w:pPr>
                  <w:r>
                    <w:rPr>
                      <w:rFonts w:ascii="仿宋_GB2312" w:hAnsi="仿宋_GB2312" w:eastAsia="仿宋_GB2312" w:cs="仿宋_GB2312"/>
                      <w:sz w:val="18"/>
                    </w:rPr>
                    <w:t>台</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25F180">
                  <w:pPr>
                    <w:pStyle w:val="4"/>
                    <w:jc w:val="center"/>
                  </w:pPr>
                  <w:r>
                    <w:rPr>
                      <w:rFonts w:ascii="仿宋_GB2312" w:hAnsi="仿宋_GB2312" w:eastAsia="仿宋_GB2312" w:cs="仿宋_GB2312"/>
                      <w:sz w:val="18"/>
                    </w:rPr>
                    <w:t>30</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36017F">
                  <w:pPr>
                    <w:pStyle w:val="4"/>
                    <w:jc w:val="center"/>
                  </w:pPr>
                </w:p>
              </w:tc>
            </w:tr>
            <w:tr w14:paraId="1E6D2A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3194D3">
                  <w:pPr>
                    <w:pStyle w:val="4"/>
                    <w:jc w:val="center"/>
                  </w:pPr>
                  <w:r>
                    <w:rPr>
                      <w:rFonts w:ascii="仿宋_GB2312" w:hAnsi="仿宋_GB2312" w:eastAsia="仿宋_GB2312" w:cs="仿宋_GB2312"/>
                      <w:sz w:val="18"/>
                    </w:rPr>
                    <w:t>7</w:t>
                  </w:r>
                </w:p>
              </w:tc>
              <w:tc>
                <w:tcPr>
                  <w:tcW w:w="315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DA13DC">
                  <w:pPr>
                    <w:pStyle w:val="4"/>
                    <w:jc w:val="center"/>
                  </w:pPr>
                  <w:r>
                    <w:rPr>
                      <w:rFonts w:ascii="仿宋_GB2312" w:hAnsi="仿宋_GB2312" w:eastAsia="仿宋_GB2312" w:cs="仿宋_GB2312"/>
                      <w:sz w:val="18"/>
                    </w:rPr>
                    <w:t>无线AC控制器</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943D16">
                  <w:pPr>
                    <w:pStyle w:val="4"/>
                    <w:jc w:val="center"/>
                  </w:pPr>
                  <w:r>
                    <w:rPr>
                      <w:rFonts w:ascii="仿宋_GB2312" w:hAnsi="仿宋_GB2312" w:eastAsia="仿宋_GB2312" w:cs="仿宋_GB2312"/>
                      <w:sz w:val="18"/>
                    </w:rPr>
                    <w:t>台</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579D514">
                  <w:pPr>
                    <w:pStyle w:val="4"/>
                    <w:jc w:val="center"/>
                  </w:pPr>
                  <w:r>
                    <w:rPr>
                      <w:rFonts w:ascii="仿宋_GB2312" w:hAnsi="仿宋_GB2312" w:eastAsia="仿宋_GB2312" w:cs="仿宋_GB2312"/>
                      <w:sz w:val="18"/>
                    </w:rPr>
                    <w:t>2</w:t>
                  </w:r>
                </w:p>
              </w:tc>
              <w:tc>
                <w:tcPr>
                  <w:tcW w:w="113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E4A75F">
                  <w:pPr>
                    <w:pStyle w:val="4"/>
                    <w:jc w:val="center"/>
                  </w:pPr>
                </w:p>
              </w:tc>
            </w:tr>
            <w:tr w14:paraId="70537B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3C168F">
                  <w:pPr>
                    <w:pStyle w:val="4"/>
                    <w:jc w:val="center"/>
                  </w:pPr>
                  <w:r>
                    <w:rPr>
                      <w:rFonts w:ascii="仿宋_GB2312" w:hAnsi="仿宋_GB2312" w:eastAsia="仿宋_GB2312" w:cs="仿宋_GB2312"/>
                      <w:sz w:val="18"/>
                    </w:rPr>
                    <w:t>8</w:t>
                  </w:r>
                </w:p>
              </w:tc>
              <w:tc>
                <w:tcPr>
                  <w:tcW w:w="315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3BCBE50">
                  <w:pPr>
                    <w:pStyle w:val="4"/>
                    <w:jc w:val="center"/>
                  </w:pPr>
                  <w:r>
                    <w:rPr>
                      <w:rFonts w:ascii="仿宋_GB2312" w:hAnsi="仿宋_GB2312" w:eastAsia="仿宋_GB2312" w:cs="仿宋_GB2312"/>
                      <w:sz w:val="18"/>
                    </w:rPr>
                    <w:t>7506X-X汇聚交换机板卡扩容</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EF07F5">
                  <w:pPr>
                    <w:pStyle w:val="4"/>
                    <w:jc w:val="center"/>
                  </w:pPr>
                  <w:r>
                    <w:rPr>
                      <w:rFonts w:ascii="仿宋_GB2312" w:hAnsi="仿宋_GB2312" w:eastAsia="仿宋_GB2312" w:cs="仿宋_GB2312"/>
                      <w:sz w:val="18"/>
                    </w:rPr>
                    <w:t>块</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127A3A">
                  <w:pPr>
                    <w:pStyle w:val="4"/>
                    <w:jc w:val="center"/>
                  </w:pPr>
                  <w:r>
                    <w:rPr>
                      <w:rFonts w:ascii="仿宋_GB2312" w:hAnsi="仿宋_GB2312" w:eastAsia="仿宋_GB2312" w:cs="仿宋_GB2312"/>
                      <w:sz w:val="18"/>
                    </w:rPr>
                    <w:t>1</w:t>
                  </w:r>
                </w:p>
              </w:tc>
              <w:tc>
                <w:tcPr>
                  <w:tcW w:w="113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D4F16C5">
                  <w:pPr>
                    <w:pStyle w:val="4"/>
                    <w:jc w:val="center"/>
                  </w:pPr>
                </w:p>
              </w:tc>
            </w:tr>
            <w:tr w14:paraId="043AC7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8BD27A">
                  <w:pPr>
                    <w:pStyle w:val="4"/>
                    <w:jc w:val="center"/>
                  </w:pPr>
                  <w:r>
                    <w:rPr>
                      <w:rFonts w:ascii="仿宋_GB2312" w:hAnsi="仿宋_GB2312" w:eastAsia="仿宋_GB2312" w:cs="仿宋_GB2312"/>
                      <w:sz w:val="18"/>
                    </w:rPr>
                    <w:t>9</w:t>
                  </w:r>
                </w:p>
              </w:tc>
              <w:tc>
                <w:tcPr>
                  <w:tcW w:w="315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2C0CE1">
                  <w:pPr>
                    <w:pStyle w:val="4"/>
                    <w:jc w:val="center"/>
                  </w:pPr>
                  <w:r>
                    <w:rPr>
                      <w:rFonts w:ascii="仿宋_GB2312" w:hAnsi="仿宋_GB2312" w:eastAsia="仿宋_GB2312" w:cs="仿宋_GB2312"/>
                      <w:sz w:val="18"/>
                    </w:rPr>
                    <w:t>楼宇汇聚交换机</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18B883">
                  <w:pPr>
                    <w:pStyle w:val="4"/>
                    <w:jc w:val="center"/>
                  </w:pPr>
                  <w:r>
                    <w:rPr>
                      <w:rFonts w:ascii="仿宋_GB2312" w:hAnsi="仿宋_GB2312" w:eastAsia="仿宋_GB2312" w:cs="仿宋_GB2312"/>
                      <w:sz w:val="18"/>
                    </w:rPr>
                    <w:t>台</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82BCE8">
                  <w:pPr>
                    <w:pStyle w:val="4"/>
                    <w:jc w:val="center"/>
                  </w:pPr>
                  <w:r>
                    <w:rPr>
                      <w:rFonts w:ascii="仿宋_GB2312" w:hAnsi="仿宋_GB2312" w:eastAsia="仿宋_GB2312" w:cs="仿宋_GB2312"/>
                      <w:sz w:val="18"/>
                    </w:rPr>
                    <w:t>11</w:t>
                  </w:r>
                </w:p>
              </w:tc>
              <w:tc>
                <w:tcPr>
                  <w:tcW w:w="113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25268F4">
                  <w:pPr>
                    <w:pStyle w:val="4"/>
                    <w:jc w:val="center"/>
                  </w:pPr>
                </w:p>
              </w:tc>
            </w:tr>
            <w:tr w14:paraId="6D1623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5130CA">
                  <w:pPr>
                    <w:pStyle w:val="4"/>
                    <w:jc w:val="center"/>
                  </w:pPr>
                  <w:r>
                    <w:rPr>
                      <w:rFonts w:ascii="仿宋_GB2312" w:hAnsi="仿宋_GB2312" w:eastAsia="仿宋_GB2312" w:cs="仿宋_GB2312"/>
                      <w:sz w:val="18"/>
                    </w:rPr>
                    <w:t>10</w:t>
                  </w:r>
                </w:p>
              </w:tc>
              <w:tc>
                <w:tcPr>
                  <w:tcW w:w="3152"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006EFC4">
                  <w:pPr>
                    <w:pStyle w:val="4"/>
                    <w:jc w:val="center"/>
                  </w:pPr>
                  <w:r>
                    <w:rPr>
                      <w:rFonts w:ascii="仿宋_GB2312" w:hAnsi="仿宋_GB2312" w:eastAsia="仿宋_GB2312" w:cs="仿宋_GB2312"/>
                      <w:sz w:val="18"/>
                    </w:rPr>
                    <w:t>网络认证计费系统</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2CB1B81">
                  <w:pPr>
                    <w:pStyle w:val="4"/>
                    <w:jc w:val="center"/>
                  </w:pPr>
                  <w:r>
                    <w:rPr>
                      <w:rFonts w:ascii="仿宋_GB2312" w:hAnsi="仿宋_GB2312" w:eastAsia="仿宋_GB2312" w:cs="仿宋_GB2312"/>
                      <w:sz w:val="18"/>
                    </w:rPr>
                    <w:t>台</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04DCD7">
                  <w:pPr>
                    <w:pStyle w:val="4"/>
                    <w:jc w:val="center"/>
                  </w:pPr>
                  <w:r>
                    <w:rPr>
                      <w:rFonts w:ascii="仿宋_GB2312" w:hAnsi="仿宋_GB2312" w:eastAsia="仿宋_GB2312" w:cs="仿宋_GB2312"/>
                      <w:sz w:val="18"/>
                    </w:rPr>
                    <w:t>2</w:t>
                  </w:r>
                </w:p>
              </w:tc>
              <w:tc>
                <w:tcPr>
                  <w:tcW w:w="113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D496F41">
                  <w:pPr>
                    <w:pStyle w:val="4"/>
                    <w:jc w:val="center"/>
                  </w:pPr>
                </w:p>
              </w:tc>
            </w:tr>
            <w:tr w14:paraId="4FAEE9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C8BD83">
                  <w:pPr>
                    <w:pStyle w:val="4"/>
                    <w:jc w:val="center"/>
                  </w:pPr>
                  <w:r>
                    <w:rPr>
                      <w:rFonts w:ascii="仿宋_GB2312" w:hAnsi="仿宋_GB2312" w:eastAsia="仿宋_GB2312" w:cs="仿宋_GB2312"/>
                      <w:sz w:val="18"/>
                    </w:rPr>
                    <w:t>11</w:t>
                  </w:r>
                </w:p>
              </w:tc>
              <w:tc>
                <w:tcPr>
                  <w:tcW w:w="3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B350B9">
                  <w:pPr>
                    <w:pStyle w:val="4"/>
                    <w:jc w:val="center"/>
                  </w:pPr>
                  <w:r>
                    <w:rPr>
                      <w:rFonts w:ascii="仿宋_GB2312" w:hAnsi="仿宋_GB2312" w:eastAsia="仿宋_GB2312" w:cs="仿宋_GB2312"/>
                      <w:sz w:val="18"/>
                    </w:rPr>
                    <w:t>数据中心集中式存储（裸容量不低于450TB）</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9A152F6">
                  <w:pPr>
                    <w:pStyle w:val="4"/>
                    <w:jc w:val="center"/>
                  </w:pPr>
                  <w:r>
                    <w:rPr>
                      <w:rFonts w:ascii="仿宋_GB2312" w:hAnsi="仿宋_GB2312" w:eastAsia="仿宋_GB2312" w:cs="仿宋_GB2312"/>
                      <w:sz w:val="18"/>
                    </w:rPr>
                    <w:t>套</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22390E8">
                  <w:pPr>
                    <w:pStyle w:val="4"/>
                    <w:jc w:val="center"/>
                  </w:pPr>
                  <w:r>
                    <w:rPr>
                      <w:rFonts w:ascii="仿宋_GB2312" w:hAnsi="仿宋_GB2312" w:eastAsia="仿宋_GB2312" w:cs="仿宋_GB2312"/>
                      <w:sz w:val="18"/>
                    </w:rPr>
                    <w:t>1</w:t>
                  </w:r>
                </w:p>
              </w:tc>
              <w:tc>
                <w:tcPr>
                  <w:tcW w:w="113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9CCCD9">
                  <w:pPr>
                    <w:pStyle w:val="4"/>
                    <w:jc w:val="center"/>
                  </w:pPr>
                </w:p>
              </w:tc>
            </w:tr>
            <w:tr w14:paraId="5DBCD50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3A8E58">
                  <w:pPr>
                    <w:pStyle w:val="4"/>
                    <w:jc w:val="center"/>
                  </w:pPr>
                  <w:r>
                    <w:rPr>
                      <w:rFonts w:ascii="仿宋_GB2312" w:hAnsi="仿宋_GB2312" w:eastAsia="仿宋_GB2312" w:cs="仿宋_GB2312"/>
                      <w:sz w:val="18"/>
                    </w:rPr>
                    <w:t>12</w:t>
                  </w:r>
                </w:p>
              </w:tc>
              <w:tc>
                <w:tcPr>
                  <w:tcW w:w="3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F89912">
                  <w:pPr>
                    <w:pStyle w:val="4"/>
                    <w:jc w:val="center"/>
                  </w:pPr>
                  <w:r>
                    <w:rPr>
                      <w:rFonts w:ascii="仿宋_GB2312" w:hAnsi="仿宋_GB2312" w:eastAsia="仿宋_GB2312" w:cs="仿宋_GB2312"/>
                      <w:sz w:val="18"/>
                    </w:rPr>
                    <w:t>光纤交换机授权扩容</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F3649E1">
                  <w:pPr>
                    <w:pStyle w:val="4"/>
                    <w:jc w:val="center"/>
                  </w:pPr>
                  <w:r>
                    <w:rPr>
                      <w:rFonts w:ascii="仿宋_GB2312" w:hAnsi="仿宋_GB2312" w:eastAsia="仿宋_GB2312" w:cs="仿宋_GB2312"/>
                      <w:b/>
                      <w:sz w:val="18"/>
                    </w:rPr>
                    <w:t>套</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2241E0">
                  <w:pPr>
                    <w:pStyle w:val="4"/>
                    <w:jc w:val="center"/>
                  </w:pPr>
                  <w:r>
                    <w:rPr>
                      <w:rFonts w:ascii="仿宋_GB2312" w:hAnsi="仿宋_GB2312" w:eastAsia="仿宋_GB2312" w:cs="仿宋_GB2312"/>
                      <w:b/>
                      <w:sz w:val="18"/>
                    </w:rPr>
                    <w:t>2</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A3E7CC">
                  <w:pPr>
                    <w:pStyle w:val="4"/>
                    <w:jc w:val="center"/>
                  </w:pPr>
                </w:p>
              </w:tc>
            </w:tr>
            <w:tr w14:paraId="741C26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FD8669">
                  <w:pPr>
                    <w:pStyle w:val="4"/>
                    <w:jc w:val="center"/>
                  </w:pPr>
                  <w:r>
                    <w:rPr>
                      <w:rFonts w:ascii="仿宋_GB2312" w:hAnsi="仿宋_GB2312" w:eastAsia="仿宋_GB2312" w:cs="仿宋_GB2312"/>
                      <w:sz w:val="18"/>
                    </w:rPr>
                    <w:t>13</w:t>
                  </w:r>
                </w:p>
              </w:tc>
              <w:tc>
                <w:tcPr>
                  <w:tcW w:w="3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29ABF2">
                  <w:pPr>
                    <w:pStyle w:val="4"/>
                    <w:jc w:val="center"/>
                  </w:pPr>
                  <w:r>
                    <w:rPr>
                      <w:rFonts w:ascii="仿宋_GB2312" w:hAnsi="仿宋_GB2312" w:eastAsia="仿宋_GB2312" w:cs="仿宋_GB2312"/>
                      <w:sz w:val="18"/>
                    </w:rPr>
                    <w:t>超融合虚拟化软件</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AEC640A">
                  <w:pPr>
                    <w:pStyle w:val="4"/>
                    <w:jc w:val="center"/>
                  </w:pPr>
                  <w:r>
                    <w:rPr>
                      <w:rFonts w:ascii="仿宋_GB2312" w:hAnsi="仿宋_GB2312" w:eastAsia="仿宋_GB2312" w:cs="仿宋_GB2312"/>
                      <w:sz w:val="18"/>
                    </w:rPr>
                    <w:t>套</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D0C4991">
                  <w:pPr>
                    <w:pStyle w:val="4"/>
                    <w:jc w:val="center"/>
                  </w:pPr>
                  <w:r>
                    <w:rPr>
                      <w:rFonts w:ascii="仿宋_GB2312" w:hAnsi="仿宋_GB2312" w:eastAsia="仿宋_GB2312" w:cs="仿宋_GB2312"/>
                      <w:sz w:val="18"/>
                    </w:rPr>
                    <w:t>1</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A236E9">
                  <w:pPr>
                    <w:pStyle w:val="4"/>
                    <w:jc w:val="center"/>
                  </w:pPr>
                </w:p>
              </w:tc>
            </w:tr>
            <w:tr w14:paraId="56A87D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43122A">
                  <w:pPr>
                    <w:pStyle w:val="4"/>
                    <w:jc w:val="center"/>
                  </w:pPr>
                  <w:r>
                    <w:rPr>
                      <w:rFonts w:ascii="仿宋_GB2312" w:hAnsi="仿宋_GB2312" w:eastAsia="仿宋_GB2312" w:cs="仿宋_GB2312"/>
                      <w:sz w:val="18"/>
                    </w:rPr>
                    <w:t>14</w:t>
                  </w:r>
                </w:p>
              </w:tc>
              <w:tc>
                <w:tcPr>
                  <w:tcW w:w="3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B92933">
                  <w:pPr>
                    <w:pStyle w:val="4"/>
                    <w:jc w:val="center"/>
                  </w:pPr>
                  <w:r>
                    <w:rPr>
                      <w:rFonts w:ascii="仿宋_GB2312" w:hAnsi="仿宋_GB2312" w:eastAsia="仿宋_GB2312" w:cs="仿宋_GB2312"/>
                      <w:sz w:val="18"/>
                    </w:rPr>
                    <w:t>服务器扩容</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B9A5945">
                  <w:pPr>
                    <w:pStyle w:val="4"/>
                    <w:jc w:val="center"/>
                  </w:pPr>
                  <w:r>
                    <w:rPr>
                      <w:rFonts w:ascii="仿宋_GB2312" w:hAnsi="仿宋_GB2312" w:eastAsia="仿宋_GB2312" w:cs="仿宋_GB2312"/>
                      <w:sz w:val="18"/>
                    </w:rPr>
                    <w:t>项</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24373D9">
                  <w:pPr>
                    <w:pStyle w:val="4"/>
                    <w:jc w:val="center"/>
                  </w:pPr>
                  <w:r>
                    <w:rPr>
                      <w:rFonts w:ascii="仿宋_GB2312" w:hAnsi="仿宋_GB2312" w:eastAsia="仿宋_GB2312" w:cs="仿宋_GB2312"/>
                      <w:sz w:val="18"/>
                    </w:rPr>
                    <w:t>1</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E49915">
                  <w:pPr>
                    <w:pStyle w:val="4"/>
                    <w:jc w:val="center"/>
                  </w:pPr>
                </w:p>
              </w:tc>
            </w:tr>
            <w:tr w14:paraId="1F718E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259035">
                  <w:pPr>
                    <w:pStyle w:val="4"/>
                    <w:jc w:val="center"/>
                  </w:pPr>
                  <w:r>
                    <w:rPr>
                      <w:rFonts w:ascii="仿宋_GB2312" w:hAnsi="仿宋_GB2312" w:eastAsia="仿宋_GB2312" w:cs="仿宋_GB2312"/>
                      <w:sz w:val="18"/>
                    </w:rPr>
                    <w:t>15</w:t>
                  </w:r>
                </w:p>
              </w:tc>
              <w:tc>
                <w:tcPr>
                  <w:tcW w:w="3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EFBCE0">
                  <w:pPr>
                    <w:pStyle w:val="4"/>
                    <w:jc w:val="center"/>
                  </w:pPr>
                  <w:r>
                    <w:rPr>
                      <w:rFonts w:ascii="仿宋_GB2312" w:hAnsi="仿宋_GB2312" w:eastAsia="仿宋_GB2312" w:cs="仿宋_GB2312"/>
                      <w:sz w:val="18"/>
                    </w:rPr>
                    <w:t>运维系统</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C06AED5">
                  <w:pPr>
                    <w:pStyle w:val="4"/>
                    <w:jc w:val="center"/>
                  </w:pPr>
                  <w:r>
                    <w:rPr>
                      <w:rFonts w:ascii="仿宋_GB2312" w:hAnsi="仿宋_GB2312" w:eastAsia="仿宋_GB2312" w:cs="仿宋_GB2312"/>
                      <w:sz w:val="18"/>
                    </w:rPr>
                    <w:t>套</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C74A61">
                  <w:pPr>
                    <w:pStyle w:val="4"/>
                    <w:jc w:val="center"/>
                  </w:pPr>
                  <w:r>
                    <w:rPr>
                      <w:rFonts w:ascii="仿宋_GB2312" w:hAnsi="仿宋_GB2312" w:eastAsia="仿宋_GB2312" w:cs="仿宋_GB2312"/>
                      <w:sz w:val="18"/>
                    </w:rPr>
                    <w:t>1</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6A637B">
                  <w:pPr>
                    <w:pStyle w:val="4"/>
                    <w:jc w:val="center"/>
                  </w:pPr>
                </w:p>
              </w:tc>
            </w:tr>
            <w:tr w14:paraId="3AF359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AB5984">
                  <w:pPr>
                    <w:pStyle w:val="4"/>
                    <w:jc w:val="center"/>
                  </w:pPr>
                  <w:r>
                    <w:rPr>
                      <w:rFonts w:ascii="仿宋_GB2312" w:hAnsi="仿宋_GB2312" w:eastAsia="仿宋_GB2312" w:cs="仿宋_GB2312"/>
                      <w:sz w:val="18"/>
                    </w:rPr>
                    <w:t>16</w:t>
                  </w:r>
                </w:p>
              </w:tc>
              <w:tc>
                <w:tcPr>
                  <w:tcW w:w="3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EB132B">
                  <w:pPr>
                    <w:pStyle w:val="4"/>
                    <w:jc w:val="center"/>
                  </w:pPr>
                  <w:r>
                    <w:rPr>
                      <w:rFonts w:ascii="仿宋_GB2312" w:hAnsi="仿宋_GB2312" w:eastAsia="仿宋_GB2312" w:cs="仿宋_GB2312"/>
                      <w:sz w:val="18"/>
                    </w:rPr>
                    <w:t>备份系统</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4217C3B">
                  <w:pPr>
                    <w:pStyle w:val="4"/>
                    <w:jc w:val="center"/>
                  </w:pPr>
                  <w:r>
                    <w:rPr>
                      <w:rFonts w:ascii="仿宋_GB2312" w:hAnsi="仿宋_GB2312" w:eastAsia="仿宋_GB2312" w:cs="仿宋_GB2312"/>
                      <w:sz w:val="18"/>
                    </w:rPr>
                    <w:t>套</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B93A27">
                  <w:pPr>
                    <w:pStyle w:val="4"/>
                    <w:jc w:val="center"/>
                  </w:pPr>
                  <w:r>
                    <w:rPr>
                      <w:rFonts w:ascii="仿宋_GB2312" w:hAnsi="仿宋_GB2312" w:eastAsia="仿宋_GB2312" w:cs="仿宋_GB2312"/>
                      <w:sz w:val="18"/>
                    </w:rPr>
                    <w:t>1</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E04DF0">
                  <w:pPr>
                    <w:pStyle w:val="4"/>
                    <w:jc w:val="center"/>
                  </w:pPr>
                </w:p>
              </w:tc>
            </w:tr>
            <w:tr w14:paraId="611212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1DC7A9">
                  <w:pPr>
                    <w:pStyle w:val="4"/>
                    <w:jc w:val="center"/>
                  </w:pPr>
                  <w:r>
                    <w:rPr>
                      <w:rFonts w:ascii="仿宋_GB2312" w:hAnsi="仿宋_GB2312" w:eastAsia="仿宋_GB2312" w:cs="仿宋_GB2312"/>
                      <w:sz w:val="18"/>
                    </w:rPr>
                    <w:t>17</w:t>
                  </w:r>
                </w:p>
              </w:tc>
              <w:tc>
                <w:tcPr>
                  <w:tcW w:w="3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CF7279">
                  <w:pPr>
                    <w:pStyle w:val="4"/>
                    <w:jc w:val="center"/>
                  </w:pPr>
                  <w:r>
                    <w:rPr>
                      <w:rFonts w:ascii="仿宋_GB2312" w:hAnsi="仿宋_GB2312" w:eastAsia="仿宋_GB2312" w:cs="仿宋_GB2312"/>
                      <w:sz w:val="18"/>
                    </w:rPr>
                    <w:t>光纤落地及弱电间</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74BCE3">
                  <w:pPr>
                    <w:pStyle w:val="4"/>
                    <w:jc w:val="center"/>
                  </w:pPr>
                  <w:r>
                    <w:rPr>
                      <w:rFonts w:ascii="仿宋_GB2312" w:hAnsi="仿宋_GB2312" w:eastAsia="仿宋_GB2312" w:cs="仿宋_GB2312"/>
                      <w:sz w:val="18"/>
                    </w:rPr>
                    <w:t>项</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331EB81">
                  <w:pPr>
                    <w:pStyle w:val="4"/>
                    <w:jc w:val="center"/>
                  </w:pPr>
                  <w:r>
                    <w:rPr>
                      <w:rFonts w:ascii="仿宋_GB2312" w:hAnsi="仿宋_GB2312" w:eastAsia="仿宋_GB2312" w:cs="仿宋_GB2312"/>
                      <w:sz w:val="18"/>
                    </w:rPr>
                    <w:t>1</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CA9273">
                  <w:pPr>
                    <w:pStyle w:val="4"/>
                    <w:jc w:val="center"/>
                  </w:pPr>
                </w:p>
              </w:tc>
            </w:tr>
            <w:tr w14:paraId="44516D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922546">
                  <w:pPr>
                    <w:pStyle w:val="4"/>
                    <w:jc w:val="center"/>
                  </w:pPr>
                  <w:r>
                    <w:rPr>
                      <w:rFonts w:ascii="仿宋_GB2312" w:hAnsi="仿宋_GB2312" w:eastAsia="仿宋_GB2312" w:cs="仿宋_GB2312"/>
                      <w:sz w:val="18"/>
                    </w:rPr>
                    <w:t>18</w:t>
                  </w:r>
                </w:p>
              </w:tc>
              <w:tc>
                <w:tcPr>
                  <w:tcW w:w="3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CC5F71">
                  <w:pPr>
                    <w:pStyle w:val="4"/>
                    <w:jc w:val="center"/>
                  </w:pPr>
                  <w:r>
                    <w:rPr>
                      <w:rFonts w:ascii="仿宋_GB2312" w:hAnsi="仿宋_GB2312" w:eastAsia="仿宋_GB2312" w:cs="仿宋_GB2312"/>
                      <w:sz w:val="18"/>
                    </w:rPr>
                    <w:t>机房空调</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9F59BE">
                  <w:pPr>
                    <w:pStyle w:val="4"/>
                    <w:jc w:val="center"/>
                  </w:pPr>
                  <w:r>
                    <w:rPr>
                      <w:rFonts w:ascii="仿宋_GB2312" w:hAnsi="仿宋_GB2312" w:eastAsia="仿宋_GB2312" w:cs="仿宋_GB2312"/>
                      <w:sz w:val="18"/>
                    </w:rPr>
                    <w:t>台</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26C72D">
                  <w:pPr>
                    <w:pStyle w:val="4"/>
                    <w:jc w:val="center"/>
                  </w:pPr>
                  <w:r>
                    <w:rPr>
                      <w:rFonts w:ascii="仿宋_GB2312" w:hAnsi="仿宋_GB2312" w:eastAsia="仿宋_GB2312" w:cs="仿宋_GB2312"/>
                      <w:sz w:val="18"/>
                    </w:rPr>
                    <w:t>2</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3A9574">
                  <w:pPr>
                    <w:pStyle w:val="4"/>
                    <w:jc w:val="center"/>
                  </w:pPr>
                </w:p>
              </w:tc>
            </w:tr>
            <w:tr w14:paraId="4CB026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419421">
                  <w:pPr>
                    <w:pStyle w:val="4"/>
                    <w:jc w:val="center"/>
                  </w:pPr>
                  <w:r>
                    <w:rPr>
                      <w:rFonts w:ascii="仿宋_GB2312" w:hAnsi="仿宋_GB2312" w:eastAsia="仿宋_GB2312" w:cs="仿宋_GB2312"/>
                      <w:sz w:val="18"/>
                    </w:rPr>
                    <w:t>19</w:t>
                  </w:r>
                </w:p>
              </w:tc>
              <w:tc>
                <w:tcPr>
                  <w:tcW w:w="3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6672F8">
                  <w:pPr>
                    <w:pStyle w:val="4"/>
                    <w:jc w:val="center"/>
                  </w:pPr>
                  <w:r>
                    <w:rPr>
                      <w:rFonts w:ascii="仿宋_GB2312" w:hAnsi="仿宋_GB2312" w:eastAsia="仿宋_GB2312" w:cs="仿宋_GB2312"/>
                      <w:sz w:val="18"/>
                    </w:rPr>
                    <w:t>网线</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770E48">
                  <w:pPr>
                    <w:pStyle w:val="4"/>
                    <w:jc w:val="center"/>
                  </w:pPr>
                  <w:r>
                    <w:rPr>
                      <w:rFonts w:ascii="仿宋_GB2312" w:hAnsi="仿宋_GB2312" w:eastAsia="仿宋_GB2312" w:cs="仿宋_GB2312"/>
                      <w:sz w:val="18"/>
                    </w:rPr>
                    <w:t>箱</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DC92D0">
                  <w:pPr>
                    <w:pStyle w:val="4"/>
                    <w:jc w:val="center"/>
                  </w:pPr>
                  <w:r>
                    <w:rPr>
                      <w:rFonts w:ascii="仿宋_GB2312" w:hAnsi="仿宋_GB2312" w:eastAsia="仿宋_GB2312" w:cs="仿宋_GB2312"/>
                      <w:sz w:val="18"/>
                    </w:rPr>
                    <w:t>40</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5A9278">
                  <w:pPr>
                    <w:pStyle w:val="4"/>
                    <w:jc w:val="center"/>
                  </w:pPr>
                </w:p>
              </w:tc>
            </w:tr>
            <w:tr w14:paraId="7BD7C0D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229037">
                  <w:pPr>
                    <w:pStyle w:val="4"/>
                    <w:jc w:val="center"/>
                  </w:pPr>
                  <w:r>
                    <w:rPr>
                      <w:rFonts w:ascii="仿宋_GB2312" w:hAnsi="仿宋_GB2312" w:eastAsia="仿宋_GB2312" w:cs="仿宋_GB2312"/>
                      <w:sz w:val="18"/>
                    </w:rPr>
                    <w:t>20</w:t>
                  </w:r>
                </w:p>
              </w:tc>
              <w:tc>
                <w:tcPr>
                  <w:tcW w:w="3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E2D7D1">
                  <w:pPr>
                    <w:pStyle w:val="4"/>
                    <w:jc w:val="center"/>
                  </w:pPr>
                  <w:r>
                    <w:rPr>
                      <w:rFonts w:ascii="仿宋_GB2312" w:hAnsi="仿宋_GB2312" w:eastAsia="仿宋_GB2312" w:cs="仿宋_GB2312"/>
                      <w:sz w:val="18"/>
                    </w:rPr>
                    <w:t>施工服务</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3A6874">
                  <w:pPr>
                    <w:pStyle w:val="4"/>
                    <w:jc w:val="center"/>
                  </w:pPr>
                  <w:r>
                    <w:rPr>
                      <w:rFonts w:ascii="仿宋_GB2312" w:hAnsi="仿宋_GB2312" w:eastAsia="仿宋_GB2312" w:cs="仿宋_GB2312"/>
                      <w:sz w:val="18"/>
                    </w:rPr>
                    <w:t>项</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56200D">
                  <w:pPr>
                    <w:pStyle w:val="4"/>
                    <w:jc w:val="center"/>
                  </w:pPr>
                  <w:r>
                    <w:rPr>
                      <w:rFonts w:ascii="仿宋_GB2312" w:hAnsi="仿宋_GB2312" w:eastAsia="仿宋_GB2312" w:cs="仿宋_GB2312"/>
                      <w:sz w:val="18"/>
                    </w:rPr>
                    <w:t>1</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E25310">
                  <w:pPr>
                    <w:pStyle w:val="4"/>
                    <w:jc w:val="center"/>
                  </w:pPr>
                </w:p>
              </w:tc>
            </w:tr>
            <w:tr w14:paraId="4DE016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05311C">
                  <w:pPr>
                    <w:pStyle w:val="4"/>
                    <w:jc w:val="center"/>
                  </w:pPr>
                  <w:r>
                    <w:rPr>
                      <w:rFonts w:ascii="仿宋_GB2312" w:hAnsi="仿宋_GB2312" w:eastAsia="仿宋_GB2312" w:cs="仿宋_GB2312"/>
                      <w:sz w:val="18"/>
                    </w:rPr>
                    <w:t>21</w:t>
                  </w:r>
                </w:p>
              </w:tc>
              <w:tc>
                <w:tcPr>
                  <w:tcW w:w="3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1300FE">
                  <w:pPr>
                    <w:pStyle w:val="4"/>
                    <w:jc w:val="center"/>
                  </w:pPr>
                  <w:r>
                    <w:rPr>
                      <w:rFonts w:ascii="仿宋_GB2312" w:hAnsi="仿宋_GB2312" w:eastAsia="仿宋_GB2312" w:cs="仿宋_GB2312"/>
                      <w:sz w:val="18"/>
                    </w:rPr>
                    <w:t>AI算力资源及业务智能体</w:t>
                  </w:r>
                </w:p>
              </w:tc>
              <w:tc>
                <w:tcPr>
                  <w:tcW w:w="87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F99AD92">
                  <w:pPr>
                    <w:pStyle w:val="4"/>
                    <w:jc w:val="center"/>
                  </w:pPr>
                  <w:r>
                    <w:rPr>
                      <w:rFonts w:ascii="仿宋_GB2312" w:hAnsi="仿宋_GB2312" w:eastAsia="仿宋_GB2312" w:cs="仿宋_GB2312"/>
                      <w:sz w:val="18"/>
                    </w:rPr>
                    <w:t>项</w:t>
                  </w:r>
                </w:p>
              </w:tc>
              <w:tc>
                <w:tcPr>
                  <w:tcW w:w="910"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9B35391">
                  <w:pPr>
                    <w:pStyle w:val="4"/>
                    <w:jc w:val="center"/>
                  </w:pPr>
                  <w:r>
                    <w:rPr>
                      <w:rFonts w:ascii="仿宋_GB2312" w:hAnsi="仿宋_GB2312" w:eastAsia="仿宋_GB2312" w:cs="仿宋_GB2312"/>
                      <w:sz w:val="18"/>
                    </w:rPr>
                    <w:t>1</w:t>
                  </w:r>
                </w:p>
              </w:tc>
              <w:tc>
                <w:tcPr>
                  <w:tcW w:w="113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FDA545">
                  <w:pPr>
                    <w:pStyle w:val="4"/>
                    <w:jc w:val="center"/>
                  </w:pPr>
                </w:p>
              </w:tc>
            </w:tr>
          </w:tbl>
          <w:p w14:paraId="2BAEA4FB">
            <w:pPr>
              <w:pStyle w:val="4"/>
            </w:pPr>
            <w:r>
              <w:rPr>
                <w:rFonts w:ascii="仿宋_GB2312" w:hAnsi="仿宋_GB2312" w:eastAsia="仿宋_GB2312" w:cs="仿宋_GB2312"/>
              </w:rPr>
              <w:t xml:space="preserve"> </w:t>
            </w:r>
          </w:p>
        </w:tc>
      </w:tr>
      <w:tr w14:paraId="32C9FC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224" w:type="dxa"/>
          </w:tcPr>
          <w:p w14:paraId="3870111D">
            <w:pPr>
              <w:pStyle w:val="4"/>
            </w:pPr>
            <w:r>
              <w:rPr>
                <w:rFonts w:ascii="仿宋_GB2312" w:hAnsi="仿宋_GB2312" w:eastAsia="仿宋_GB2312" w:cs="仿宋_GB2312"/>
              </w:rPr>
              <w:t>4</w:t>
            </w:r>
          </w:p>
        </w:tc>
        <w:tc>
          <w:tcPr>
            <w:tcW w:w="7249" w:type="dxa"/>
          </w:tcPr>
          <w:p w14:paraId="0AD36DBE">
            <w:pPr>
              <w:pStyle w:val="4"/>
            </w:pPr>
            <w:r>
              <w:rPr>
                <w:rFonts w:ascii="仿宋_GB2312" w:hAnsi="仿宋_GB2312" w:eastAsia="仿宋_GB2312" w:cs="仿宋_GB2312"/>
                <w:sz w:val="21"/>
              </w:rPr>
              <w:t>技术参数</w:t>
            </w:r>
          </w:p>
          <w:tbl>
            <w:tblPr>
              <w:tblStyle w:val="2"/>
              <w:tblW w:w="0" w:type="auto"/>
              <w:tblInd w:w="3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fixed"/>
              <w:tblCellMar>
                <w:top w:w="0" w:type="dxa"/>
                <w:left w:w="108" w:type="dxa"/>
                <w:bottom w:w="0" w:type="dxa"/>
                <w:right w:w="108" w:type="dxa"/>
              </w:tblCellMar>
            </w:tblPr>
            <w:tblGrid>
              <w:gridCol w:w="575"/>
              <w:gridCol w:w="716"/>
              <w:gridCol w:w="1156"/>
              <w:gridCol w:w="2598"/>
              <w:gridCol w:w="667"/>
              <w:gridCol w:w="591"/>
              <w:gridCol w:w="591"/>
            </w:tblGrid>
            <w:tr w14:paraId="6CF9A8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single" w:color="000000" w:sz="4" w:space="0"/>
                    <w:left w:val="single" w:color="000000" w:sz="4" w:space="0"/>
                    <w:bottom w:val="single" w:color="000000" w:sz="4" w:space="0"/>
                    <w:right w:val="single" w:color="000000" w:sz="4" w:space="0"/>
                  </w:tcBorders>
                  <w:shd w:val="clear" w:color="auto" w:fill="DCE6F1"/>
                  <w:tcMar>
                    <w:top w:w="0" w:type="dxa"/>
                    <w:left w:w="105" w:type="dxa"/>
                    <w:bottom w:w="0" w:type="dxa"/>
                    <w:right w:w="105" w:type="dxa"/>
                  </w:tcMar>
                  <w:vAlign w:val="top"/>
                </w:tcPr>
                <w:p w14:paraId="0A1C3407">
                  <w:pPr>
                    <w:pStyle w:val="4"/>
                    <w:jc w:val="both"/>
                  </w:pPr>
                  <w:bookmarkStart w:id="0" w:name="_GoBack"/>
                  <w:bookmarkEnd w:id="0"/>
                  <w:r>
                    <w:rPr>
                      <w:rFonts w:ascii="仿宋_GB2312" w:hAnsi="仿宋_GB2312" w:eastAsia="仿宋_GB2312" w:cs="仿宋_GB2312"/>
                      <w:b/>
                      <w:sz w:val="18"/>
                    </w:rPr>
                    <w:t>序号</w:t>
                  </w:r>
                </w:p>
              </w:tc>
              <w:tc>
                <w:tcPr>
                  <w:tcW w:w="716" w:type="dxa"/>
                  <w:tcBorders>
                    <w:top w:val="single" w:color="000000" w:sz="4" w:space="0"/>
                    <w:left w:val="single" w:color="000000" w:sz="4" w:space="0"/>
                    <w:bottom w:val="single" w:color="000000" w:sz="4" w:space="0"/>
                    <w:right w:val="single" w:color="000000" w:sz="4" w:space="0"/>
                  </w:tcBorders>
                  <w:shd w:val="clear" w:color="auto" w:fill="DCE6F1"/>
                  <w:tcMar>
                    <w:top w:w="0" w:type="dxa"/>
                    <w:left w:w="105" w:type="dxa"/>
                    <w:bottom w:w="0" w:type="dxa"/>
                    <w:right w:w="105" w:type="dxa"/>
                  </w:tcMar>
                  <w:vAlign w:val="top"/>
                </w:tcPr>
                <w:p w14:paraId="4B5468EA">
                  <w:pPr>
                    <w:pStyle w:val="4"/>
                    <w:jc w:val="center"/>
                  </w:pPr>
                  <w:r>
                    <w:rPr>
                      <w:rFonts w:ascii="仿宋_GB2312" w:hAnsi="仿宋_GB2312" w:eastAsia="仿宋_GB2312" w:cs="仿宋_GB2312"/>
                      <w:b/>
                      <w:sz w:val="18"/>
                    </w:rPr>
                    <w:t>设备</w:t>
                  </w:r>
                </w:p>
              </w:tc>
              <w:tc>
                <w:tcPr>
                  <w:tcW w:w="3754" w:type="dxa"/>
                  <w:gridSpan w:val="2"/>
                  <w:tcBorders>
                    <w:top w:val="single" w:color="000000" w:sz="4" w:space="0"/>
                    <w:left w:val="single" w:color="000000" w:sz="4" w:space="0"/>
                    <w:bottom w:val="single" w:color="000000" w:sz="4" w:space="0"/>
                    <w:right w:val="single" w:color="000000" w:sz="4" w:space="0"/>
                  </w:tcBorders>
                  <w:shd w:val="clear" w:color="auto" w:fill="DCE6F1"/>
                  <w:tcMar>
                    <w:top w:w="0" w:type="dxa"/>
                    <w:left w:w="105" w:type="dxa"/>
                    <w:bottom w:w="0" w:type="dxa"/>
                    <w:right w:w="105" w:type="dxa"/>
                  </w:tcMar>
                  <w:vAlign w:val="top"/>
                </w:tcPr>
                <w:p w14:paraId="336F9A99">
                  <w:pPr>
                    <w:pStyle w:val="4"/>
                    <w:jc w:val="center"/>
                  </w:pPr>
                  <w:r>
                    <w:rPr>
                      <w:rFonts w:ascii="仿宋_GB2312" w:hAnsi="仿宋_GB2312" w:eastAsia="仿宋_GB2312" w:cs="仿宋_GB2312"/>
                      <w:b/>
                      <w:sz w:val="18"/>
                    </w:rPr>
                    <w:t>产品描述</w:t>
                  </w:r>
                </w:p>
              </w:tc>
              <w:tc>
                <w:tcPr>
                  <w:tcW w:w="667" w:type="dxa"/>
                  <w:tcBorders>
                    <w:top w:val="single" w:color="000000" w:sz="4" w:space="0"/>
                    <w:left w:val="single" w:color="000000" w:sz="4" w:space="0"/>
                    <w:bottom w:val="single" w:color="000000" w:sz="4" w:space="0"/>
                    <w:right w:val="single" w:color="000000" w:sz="4" w:space="0"/>
                  </w:tcBorders>
                  <w:shd w:val="clear" w:color="auto" w:fill="DCE6F1"/>
                  <w:tcMar>
                    <w:top w:w="0" w:type="dxa"/>
                    <w:left w:w="105" w:type="dxa"/>
                    <w:bottom w:w="0" w:type="dxa"/>
                    <w:right w:w="105" w:type="dxa"/>
                  </w:tcMar>
                  <w:vAlign w:val="top"/>
                </w:tcPr>
                <w:p w14:paraId="5FFA13D1">
                  <w:pPr>
                    <w:pStyle w:val="4"/>
                    <w:jc w:val="center"/>
                  </w:pPr>
                  <w:r>
                    <w:rPr>
                      <w:rFonts w:ascii="仿宋_GB2312" w:hAnsi="仿宋_GB2312" w:eastAsia="仿宋_GB2312" w:cs="仿宋_GB2312"/>
                      <w:b/>
                      <w:sz w:val="18"/>
                    </w:rPr>
                    <w:t>单位</w:t>
                  </w:r>
                </w:p>
              </w:tc>
              <w:tc>
                <w:tcPr>
                  <w:tcW w:w="591" w:type="dxa"/>
                  <w:tcBorders>
                    <w:top w:val="single" w:color="000000" w:sz="4" w:space="0"/>
                    <w:left w:val="single" w:color="000000" w:sz="4" w:space="0"/>
                    <w:bottom w:val="single" w:color="000000" w:sz="4" w:space="0"/>
                    <w:right w:val="single" w:color="000000" w:sz="4" w:space="0"/>
                  </w:tcBorders>
                  <w:shd w:val="clear" w:color="auto" w:fill="DCE6F1"/>
                  <w:tcMar>
                    <w:top w:w="0" w:type="dxa"/>
                    <w:left w:w="105" w:type="dxa"/>
                    <w:bottom w:w="0" w:type="dxa"/>
                    <w:right w:w="105" w:type="dxa"/>
                  </w:tcMar>
                  <w:vAlign w:val="top"/>
                </w:tcPr>
                <w:p w14:paraId="6EB9C303">
                  <w:pPr>
                    <w:pStyle w:val="4"/>
                    <w:jc w:val="center"/>
                  </w:pPr>
                  <w:r>
                    <w:rPr>
                      <w:rFonts w:ascii="仿宋_GB2312" w:hAnsi="仿宋_GB2312" w:eastAsia="仿宋_GB2312" w:cs="仿宋_GB2312"/>
                      <w:b/>
                      <w:sz w:val="18"/>
                    </w:rPr>
                    <w:t>数量</w:t>
                  </w:r>
                </w:p>
              </w:tc>
              <w:tc>
                <w:tcPr>
                  <w:tcW w:w="591" w:type="dxa"/>
                  <w:tcBorders>
                    <w:top w:val="single" w:color="000000" w:sz="4" w:space="0"/>
                    <w:left w:val="single" w:color="000000" w:sz="4" w:space="0"/>
                    <w:bottom w:val="single" w:color="000000" w:sz="4" w:space="0"/>
                    <w:right w:val="single" w:color="000000" w:sz="4" w:space="0"/>
                  </w:tcBorders>
                  <w:shd w:val="clear" w:color="auto" w:fill="DCE6F1"/>
                  <w:tcMar>
                    <w:top w:w="0" w:type="dxa"/>
                    <w:left w:w="105" w:type="dxa"/>
                    <w:bottom w:w="0" w:type="dxa"/>
                    <w:right w:w="105" w:type="dxa"/>
                  </w:tcMar>
                  <w:vAlign w:val="top"/>
                </w:tcPr>
                <w:p w14:paraId="23D37DB7">
                  <w:pPr>
                    <w:pStyle w:val="4"/>
                    <w:jc w:val="center"/>
                  </w:pPr>
                  <w:r>
                    <w:rPr>
                      <w:rFonts w:ascii="仿宋_GB2312" w:hAnsi="仿宋_GB2312" w:eastAsia="仿宋_GB2312" w:cs="仿宋_GB2312"/>
                      <w:b/>
                      <w:sz w:val="18"/>
                    </w:rPr>
                    <w:t>备注</w:t>
                  </w:r>
                </w:p>
              </w:tc>
            </w:tr>
            <w:tr w14:paraId="4163AD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2F5848">
                  <w:pPr>
                    <w:pStyle w:val="4"/>
                    <w:jc w:val="right"/>
                  </w:pPr>
                  <w:r>
                    <w:rPr>
                      <w:rFonts w:ascii="仿宋_GB2312" w:hAnsi="仿宋_GB2312" w:eastAsia="仿宋_GB2312" w:cs="仿宋_GB2312"/>
                      <w:sz w:val="18"/>
                    </w:rPr>
                    <w:t>1</w:t>
                  </w:r>
                </w:p>
              </w:tc>
              <w:tc>
                <w:tcPr>
                  <w:tcW w:w="71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98FFCA3">
                  <w:pPr>
                    <w:pStyle w:val="4"/>
                    <w:jc w:val="left"/>
                  </w:pPr>
                  <w:r>
                    <w:rPr>
                      <w:rFonts w:ascii="仿宋_GB2312" w:hAnsi="仿宋_GB2312" w:eastAsia="仿宋_GB2312" w:cs="仿宋_GB2312"/>
                      <w:sz w:val="18"/>
                    </w:rPr>
                    <w:t>Wifi7面板AP</w:t>
                  </w:r>
                </w:p>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D6BF6B">
                  <w:pPr>
                    <w:pStyle w:val="4"/>
                    <w:jc w:val="left"/>
                  </w:pPr>
                  <w:r>
                    <w:rPr>
                      <w:rFonts w:ascii="仿宋_GB2312" w:hAnsi="仿宋_GB2312" w:eastAsia="仿宋_GB2312" w:cs="仿宋_GB2312"/>
                      <w:sz w:val="18"/>
                    </w:rPr>
                    <w:t>1.协议标准：要求2.4G和5G均802.11be协议。</w:t>
                  </w:r>
                </w:p>
                <w:p w14:paraId="496D5045">
                  <w:pPr>
                    <w:pStyle w:val="4"/>
                    <w:jc w:val="left"/>
                  </w:pPr>
                  <w:r>
                    <w:rPr>
                      <w:rFonts w:ascii="仿宋_GB2312" w:hAnsi="仿宋_GB2312" w:eastAsia="仿宋_GB2312" w:cs="仿宋_GB2312"/>
                      <w:sz w:val="18"/>
                    </w:rPr>
                    <w:t>2.设备性能：整机双频四流设计，射频15GHz频段，射频22.4GHz频段，最大接入速率≥3.57Gbps。</w:t>
                  </w:r>
                </w:p>
                <w:p w14:paraId="0E10B85F">
                  <w:pPr>
                    <w:pStyle w:val="4"/>
                    <w:jc w:val="left"/>
                  </w:pPr>
                  <w:r>
                    <w:rPr>
                      <w:rFonts w:ascii="仿宋_GB2312" w:hAnsi="仿宋_GB2312" w:eastAsia="仿宋_GB2312" w:cs="仿宋_GB2312"/>
                      <w:sz w:val="18"/>
                    </w:rPr>
                    <w:t>3.▲设备端口：提供≥6个接口，其中1个2.5G PSFP光口兼容SFP，5个100/1000M电口。</w:t>
                  </w:r>
                </w:p>
                <w:p w14:paraId="4FF1EFDF">
                  <w:pPr>
                    <w:pStyle w:val="4"/>
                    <w:jc w:val="left"/>
                  </w:pPr>
                  <w:r>
                    <w:rPr>
                      <w:rFonts w:ascii="仿宋_GB2312" w:hAnsi="仿宋_GB2312" w:eastAsia="仿宋_GB2312" w:cs="仿宋_GB2312"/>
                      <w:sz w:val="18"/>
                    </w:rPr>
                    <w:t>4.提供≥1个Console口，≥1个USB口，可用于扩展外置BLE，ZigBee、RFID等物联网协议。</w:t>
                  </w:r>
                </w:p>
                <w:p w14:paraId="6A0CFB4A">
                  <w:pPr>
                    <w:pStyle w:val="4"/>
                    <w:jc w:val="left"/>
                  </w:pPr>
                  <w:r>
                    <w:rPr>
                      <w:rFonts w:ascii="仿宋_GB2312" w:hAnsi="仿宋_GB2312" w:eastAsia="仿宋_GB2312" w:cs="仿宋_GB2312"/>
                      <w:sz w:val="18"/>
                    </w:rPr>
                    <w:t>5.供电：双冗余供电，其中GE电口802.3at/af供电，2.5G光口光电复合供电。</w:t>
                  </w:r>
                </w:p>
                <w:p w14:paraId="6DA84E33">
                  <w:pPr>
                    <w:pStyle w:val="4"/>
                    <w:jc w:val="left"/>
                  </w:pPr>
                  <w:r>
                    <w:rPr>
                      <w:rFonts w:ascii="仿宋_GB2312" w:hAnsi="仿宋_GB2312" w:eastAsia="仿宋_GB2312" w:cs="仿宋_GB2312"/>
                      <w:sz w:val="18"/>
                    </w:rPr>
                    <w:t>6.工作频段：802.11be/ax/ac/n/a：5GHz；802.11be/ax/b/g/n:2.4GHz。</w:t>
                  </w:r>
                </w:p>
                <w:p w14:paraId="7101BEB2">
                  <w:pPr>
                    <w:pStyle w:val="4"/>
                    <w:jc w:val="left"/>
                  </w:pPr>
                  <w:r>
                    <w:rPr>
                      <w:rFonts w:ascii="仿宋_GB2312" w:hAnsi="仿宋_GB2312" w:eastAsia="仿宋_GB2312" w:cs="仿宋_GB2312"/>
                      <w:sz w:val="18"/>
                    </w:rPr>
                    <w:t>7.协议：Ipv4/Ipv6双协议栈。</w:t>
                  </w:r>
                </w:p>
                <w:p w14:paraId="48634FDE">
                  <w:pPr>
                    <w:pStyle w:val="4"/>
                    <w:jc w:val="left"/>
                  </w:pPr>
                  <w:r>
                    <w:rPr>
                      <w:rFonts w:ascii="仿宋_GB2312" w:hAnsi="仿宋_GB2312" w:eastAsia="仿宋_GB2312" w:cs="仿宋_GB2312"/>
                      <w:sz w:val="18"/>
                    </w:rPr>
                    <w:t>8.管理及可视化：Snmp和Telemetry。</w:t>
                  </w:r>
                </w:p>
                <w:p w14:paraId="54BB8A1E">
                  <w:pPr>
                    <w:pStyle w:val="4"/>
                    <w:jc w:val="left"/>
                  </w:pP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45DE9E">
                  <w:pPr>
                    <w:pStyle w:val="4"/>
                    <w:jc w:val="center"/>
                  </w:pPr>
                  <w:r>
                    <w:rPr>
                      <w:rFonts w:ascii="仿宋_GB2312" w:hAnsi="仿宋_GB2312" w:eastAsia="仿宋_GB2312" w:cs="仿宋_GB2312"/>
                      <w:sz w:val="18"/>
                    </w:rPr>
                    <w:t>台</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C40A998">
                  <w:pPr>
                    <w:pStyle w:val="4"/>
                    <w:jc w:val="center"/>
                  </w:pPr>
                  <w:r>
                    <w:rPr>
                      <w:rFonts w:ascii="仿宋_GB2312" w:hAnsi="仿宋_GB2312" w:eastAsia="仿宋_GB2312" w:cs="仿宋_GB2312"/>
                      <w:sz w:val="18"/>
                    </w:rPr>
                    <w:t>2500</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7BCDB2">
                  <w:pPr>
                    <w:pStyle w:val="4"/>
                    <w:jc w:val="center"/>
                  </w:pPr>
                </w:p>
              </w:tc>
            </w:tr>
            <w:tr w14:paraId="6FB94D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F8C5A9">
                  <w:pPr>
                    <w:pStyle w:val="4"/>
                    <w:jc w:val="right"/>
                  </w:pPr>
                  <w:r>
                    <w:rPr>
                      <w:rFonts w:ascii="仿宋_GB2312" w:hAnsi="仿宋_GB2312" w:eastAsia="仿宋_GB2312" w:cs="仿宋_GB2312"/>
                      <w:sz w:val="18"/>
                    </w:rPr>
                    <w:t>2</w:t>
                  </w:r>
                </w:p>
              </w:tc>
              <w:tc>
                <w:tcPr>
                  <w:tcW w:w="71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1C53C95">
                  <w:pPr>
                    <w:pStyle w:val="4"/>
                    <w:jc w:val="left"/>
                  </w:pPr>
                  <w:r>
                    <w:rPr>
                      <w:rFonts w:ascii="仿宋_GB2312" w:hAnsi="仿宋_GB2312" w:eastAsia="仿宋_GB2312" w:cs="仿宋_GB2312"/>
                      <w:sz w:val="18"/>
                    </w:rPr>
                    <w:t>24口POE交换机</w:t>
                  </w:r>
                </w:p>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1B521E">
                  <w:pPr>
                    <w:pStyle w:val="4"/>
                    <w:jc w:val="left"/>
                  </w:pPr>
                  <w:r>
                    <w:rPr>
                      <w:rFonts w:ascii="仿宋_GB2312" w:hAnsi="仿宋_GB2312" w:eastAsia="仿宋_GB2312" w:cs="仿宋_GB2312"/>
                      <w:sz w:val="18"/>
                    </w:rPr>
                    <w:t>1.性能：交换容量≥670Gbps，包转发≥170Mpps。（以官网最小值为准）</w:t>
                  </w:r>
                </w:p>
                <w:p w14:paraId="6E843227">
                  <w:pPr>
                    <w:pStyle w:val="4"/>
                    <w:jc w:val="left"/>
                  </w:pPr>
                  <w:r>
                    <w:rPr>
                      <w:rFonts w:ascii="仿宋_GB2312" w:hAnsi="仿宋_GB2312" w:eastAsia="仿宋_GB2312" w:cs="仿宋_GB2312"/>
                      <w:sz w:val="18"/>
                    </w:rPr>
                    <w:t>2.▲端口：提供≥24个10/100/1000BASE-T PoE+电口（其中包含4个100/1000BASE-X combo光口），POE输出功率≥400W，提供≥4个1/2.5/10GE SFP+端口，≥1个USB接口，≥1个带外管理网口。</w:t>
                  </w:r>
                </w:p>
                <w:p w14:paraId="33035FE7">
                  <w:pPr>
                    <w:pStyle w:val="4"/>
                    <w:jc w:val="left"/>
                  </w:pPr>
                  <w:r>
                    <w:rPr>
                      <w:rFonts w:ascii="仿宋_GB2312" w:hAnsi="仿宋_GB2312" w:eastAsia="仿宋_GB2312" w:cs="仿宋_GB2312"/>
                      <w:sz w:val="18"/>
                    </w:rPr>
                    <w:t>3.CPU保护：CPU保护功能，能限制非法报文对CPU的攻击，保护交换机稳定工作。</w:t>
                  </w:r>
                </w:p>
                <w:p w14:paraId="635A07AD">
                  <w:pPr>
                    <w:pStyle w:val="4"/>
                    <w:jc w:val="left"/>
                  </w:pPr>
                  <w:r>
                    <w:rPr>
                      <w:rFonts w:ascii="仿宋_GB2312" w:hAnsi="仿宋_GB2312" w:eastAsia="仿宋_GB2312" w:cs="仿宋_GB2312"/>
                      <w:sz w:val="18"/>
                    </w:rPr>
                    <w:t>4.VLAN特性：基于端口的VLAN，基于协议的VLAN，基于MAC的VLAN，最大VLAN数为4096。</w:t>
                  </w:r>
                </w:p>
                <w:p w14:paraId="7C1CD2C8">
                  <w:pPr>
                    <w:pStyle w:val="4"/>
                    <w:jc w:val="left"/>
                  </w:pPr>
                  <w:r>
                    <w:rPr>
                      <w:rFonts w:ascii="仿宋_GB2312" w:hAnsi="仿宋_GB2312" w:eastAsia="仿宋_GB2312" w:cs="仿宋_GB2312"/>
                      <w:sz w:val="18"/>
                    </w:rPr>
                    <w:t>5.路由协议：IPv4/IPv6静态路由、RIP V1/V2、RIPng、OSPF、OSPFv3。</w:t>
                  </w:r>
                </w:p>
                <w:p w14:paraId="4808E083">
                  <w:pPr>
                    <w:pStyle w:val="4"/>
                    <w:jc w:val="left"/>
                  </w:pPr>
                  <w:r>
                    <w:rPr>
                      <w:rFonts w:ascii="仿宋_GB2312" w:hAnsi="仿宋_GB2312" w:eastAsia="仿宋_GB2312" w:cs="仿宋_GB2312"/>
                      <w:sz w:val="18"/>
                    </w:rPr>
                    <w:t>6.管理特性：SNMP V1/V2/V3、RMON、SSHV2，OAM(802.1AG，802.3AH)以太网运行、维护和管理标准。</w:t>
                  </w:r>
                </w:p>
                <w:p w14:paraId="1216850B">
                  <w:pPr>
                    <w:pStyle w:val="4"/>
                    <w:jc w:val="left"/>
                  </w:pPr>
                  <w:r>
                    <w:rPr>
                      <w:rFonts w:ascii="仿宋_GB2312" w:hAnsi="仿宋_GB2312" w:eastAsia="仿宋_GB2312" w:cs="仿宋_GB2312"/>
                      <w:sz w:val="18"/>
                    </w:rPr>
                    <w:t>7.绿色节能：采用最新节能芯片以及创新的架构设计，端口自动节能技术。</w:t>
                  </w:r>
                </w:p>
                <w:p w14:paraId="756F0AAB">
                  <w:pPr>
                    <w:pStyle w:val="4"/>
                    <w:jc w:val="left"/>
                  </w:pPr>
                  <w:r>
                    <w:rPr>
                      <w:rFonts w:ascii="仿宋_GB2312" w:hAnsi="仿宋_GB2312" w:eastAsia="仿宋_GB2312" w:cs="仿宋_GB2312"/>
                      <w:sz w:val="18"/>
                    </w:rPr>
                    <w:t>8.设备防雷：采用内置端口防雷技术，业务端口防雷能力≥10KV。</w:t>
                  </w:r>
                </w:p>
                <w:p w14:paraId="1EC76660">
                  <w:pPr>
                    <w:pStyle w:val="4"/>
                    <w:jc w:val="left"/>
                  </w:pPr>
                  <w:r>
                    <w:rPr>
                      <w:rFonts w:ascii="仿宋_GB2312" w:hAnsi="仿宋_GB2312" w:eastAsia="仿宋_GB2312" w:cs="仿宋_GB2312"/>
                      <w:sz w:val="18"/>
                    </w:rPr>
                    <w:t>9.设备配置：提供≥2个原厂万兆单模光模块。</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12D7B2">
                  <w:pPr>
                    <w:pStyle w:val="4"/>
                    <w:jc w:val="center"/>
                  </w:pPr>
                  <w:r>
                    <w:rPr>
                      <w:rFonts w:ascii="仿宋_GB2312" w:hAnsi="仿宋_GB2312" w:eastAsia="仿宋_GB2312" w:cs="仿宋_GB2312"/>
                      <w:sz w:val="18"/>
                    </w:rPr>
                    <w:t>台</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8D00FF">
                  <w:pPr>
                    <w:pStyle w:val="4"/>
                    <w:jc w:val="center"/>
                  </w:pPr>
                  <w:r>
                    <w:rPr>
                      <w:rFonts w:ascii="仿宋_GB2312" w:hAnsi="仿宋_GB2312" w:eastAsia="仿宋_GB2312" w:cs="仿宋_GB2312"/>
                      <w:sz w:val="18"/>
                    </w:rPr>
                    <w:t>15</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ED4794">
                  <w:pPr>
                    <w:pStyle w:val="4"/>
                    <w:jc w:val="center"/>
                  </w:pPr>
                </w:p>
              </w:tc>
            </w:tr>
            <w:tr w14:paraId="3B5C06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A3C74F">
                  <w:pPr>
                    <w:pStyle w:val="4"/>
                    <w:jc w:val="right"/>
                  </w:pPr>
                  <w:r>
                    <w:rPr>
                      <w:rFonts w:ascii="仿宋_GB2312" w:hAnsi="仿宋_GB2312" w:eastAsia="仿宋_GB2312" w:cs="仿宋_GB2312"/>
                      <w:sz w:val="18"/>
                    </w:rPr>
                    <w:t>3</w:t>
                  </w:r>
                </w:p>
              </w:tc>
              <w:tc>
                <w:tcPr>
                  <w:tcW w:w="71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861D9C">
                  <w:pPr>
                    <w:pStyle w:val="4"/>
                    <w:jc w:val="left"/>
                  </w:pPr>
                  <w:r>
                    <w:rPr>
                      <w:rFonts w:ascii="仿宋_GB2312" w:hAnsi="仿宋_GB2312" w:eastAsia="仿宋_GB2312" w:cs="仿宋_GB2312"/>
                      <w:sz w:val="18"/>
                    </w:rPr>
                    <w:t>48口POE交换机</w:t>
                  </w:r>
                </w:p>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6BD7996">
                  <w:pPr>
                    <w:pStyle w:val="4"/>
                    <w:jc w:val="left"/>
                  </w:pPr>
                  <w:r>
                    <w:rPr>
                      <w:rFonts w:ascii="仿宋_GB2312" w:hAnsi="仿宋_GB2312" w:eastAsia="仿宋_GB2312" w:cs="仿宋_GB2312"/>
                      <w:sz w:val="18"/>
                    </w:rPr>
                    <w:t>1.性能：交换容量≥670Gbps，包转发≥200Mpps。（以官网最小值为准）</w:t>
                  </w:r>
                </w:p>
                <w:p w14:paraId="08DF0867">
                  <w:pPr>
                    <w:pStyle w:val="4"/>
                    <w:jc w:val="left"/>
                  </w:pPr>
                  <w:r>
                    <w:rPr>
                      <w:rFonts w:ascii="仿宋_GB2312" w:hAnsi="仿宋_GB2312" w:eastAsia="仿宋_GB2312" w:cs="仿宋_GB2312"/>
                      <w:sz w:val="18"/>
                    </w:rPr>
                    <w:t>2.▲端口：提供≥48个10/100/1000BASE-T PoE+电口），POE输出功率≥770W，提供≥4个1/2.5/10GE SFP+端口，≥1个USB接口，≥1个带外管理网口。</w:t>
                  </w:r>
                </w:p>
                <w:p w14:paraId="49D9F125">
                  <w:pPr>
                    <w:pStyle w:val="4"/>
                    <w:jc w:val="left"/>
                  </w:pPr>
                  <w:r>
                    <w:rPr>
                      <w:rFonts w:ascii="仿宋_GB2312" w:hAnsi="仿宋_GB2312" w:eastAsia="仿宋_GB2312" w:cs="仿宋_GB2312"/>
                      <w:sz w:val="18"/>
                    </w:rPr>
                    <w:t>3.CPU保护：CPU保护功能，能限制非法报文对CPU的攻击，保护交换机稳定工作。</w:t>
                  </w:r>
                </w:p>
                <w:p w14:paraId="477A5727">
                  <w:pPr>
                    <w:pStyle w:val="4"/>
                    <w:jc w:val="left"/>
                  </w:pPr>
                  <w:r>
                    <w:rPr>
                      <w:rFonts w:ascii="仿宋_GB2312" w:hAnsi="仿宋_GB2312" w:eastAsia="仿宋_GB2312" w:cs="仿宋_GB2312"/>
                      <w:sz w:val="18"/>
                    </w:rPr>
                    <w:t>4.VLAN特性：基于端口的VLAN，基于协议的VLAN，基于MAC的VLAN，最大VLAN数为4096。</w:t>
                  </w:r>
                </w:p>
                <w:p w14:paraId="539D05D2">
                  <w:pPr>
                    <w:pStyle w:val="4"/>
                    <w:jc w:val="left"/>
                  </w:pPr>
                  <w:r>
                    <w:rPr>
                      <w:rFonts w:ascii="仿宋_GB2312" w:hAnsi="仿宋_GB2312" w:eastAsia="仿宋_GB2312" w:cs="仿宋_GB2312"/>
                      <w:sz w:val="18"/>
                    </w:rPr>
                    <w:t>5.路由协议：IPv4/IPv6静态路由、RIP V1/V2、RIPng、OSPF、OSPFv3。</w:t>
                  </w:r>
                </w:p>
                <w:p w14:paraId="544F47A7">
                  <w:pPr>
                    <w:pStyle w:val="4"/>
                    <w:jc w:val="left"/>
                  </w:pPr>
                  <w:r>
                    <w:rPr>
                      <w:rFonts w:ascii="仿宋_GB2312" w:hAnsi="仿宋_GB2312" w:eastAsia="仿宋_GB2312" w:cs="仿宋_GB2312"/>
                      <w:sz w:val="18"/>
                    </w:rPr>
                    <w:t>6.管理特性：SNMP V1/V2/V3、RMON、SSHV2，OAM(802.1AG，802.3AH)以太网运行、维护和管理标准。</w:t>
                  </w:r>
                </w:p>
                <w:p w14:paraId="7555C867">
                  <w:pPr>
                    <w:pStyle w:val="4"/>
                    <w:jc w:val="left"/>
                  </w:pPr>
                  <w:r>
                    <w:rPr>
                      <w:rFonts w:ascii="仿宋_GB2312" w:hAnsi="仿宋_GB2312" w:eastAsia="仿宋_GB2312" w:cs="仿宋_GB2312"/>
                      <w:sz w:val="18"/>
                    </w:rPr>
                    <w:t>7.绿色节能：采用最新节能芯片以及创新的架构设计，端口自动节能技术。</w:t>
                  </w:r>
                </w:p>
                <w:p w14:paraId="245C9CD1">
                  <w:pPr>
                    <w:pStyle w:val="4"/>
                    <w:jc w:val="left"/>
                  </w:pPr>
                  <w:r>
                    <w:rPr>
                      <w:rFonts w:ascii="仿宋_GB2312" w:hAnsi="仿宋_GB2312" w:eastAsia="仿宋_GB2312" w:cs="仿宋_GB2312"/>
                      <w:sz w:val="18"/>
                    </w:rPr>
                    <w:t>8.设备防雷：采用内置端口防雷技术，业务端口防雷能力≥10KV。</w:t>
                  </w:r>
                </w:p>
                <w:p w14:paraId="69173D18">
                  <w:pPr>
                    <w:pStyle w:val="4"/>
                    <w:jc w:val="left"/>
                  </w:pPr>
                  <w:r>
                    <w:rPr>
                      <w:rFonts w:ascii="仿宋_GB2312" w:hAnsi="仿宋_GB2312" w:eastAsia="仿宋_GB2312" w:cs="仿宋_GB2312"/>
                      <w:sz w:val="18"/>
                    </w:rPr>
                    <w:t>9.设备配置：提供≥2个原厂万兆单模光模块。</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4DEBCB">
                  <w:pPr>
                    <w:pStyle w:val="4"/>
                    <w:jc w:val="center"/>
                  </w:pPr>
                  <w:r>
                    <w:rPr>
                      <w:rFonts w:ascii="仿宋_GB2312" w:hAnsi="仿宋_GB2312" w:eastAsia="仿宋_GB2312" w:cs="仿宋_GB2312"/>
                      <w:sz w:val="18"/>
                    </w:rPr>
                    <w:t>台</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09C6D7">
                  <w:pPr>
                    <w:pStyle w:val="4"/>
                    <w:jc w:val="center"/>
                  </w:pPr>
                  <w:r>
                    <w:rPr>
                      <w:rFonts w:ascii="仿宋_GB2312" w:hAnsi="仿宋_GB2312" w:eastAsia="仿宋_GB2312" w:cs="仿宋_GB2312"/>
                      <w:sz w:val="18"/>
                    </w:rPr>
                    <w:t>70</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2EF2A6">
                  <w:pPr>
                    <w:pStyle w:val="4"/>
                    <w:jc w:val="center"/>
                  </w:pPr>
                </w:p>
              </w:tc>
            </w:tr>
            <w:tr w14:paraId="07DF50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42D06D">
                  <w:pPr>
                    <w:pStyle w:val="4"/>
                    <w:jc w:val="right"/>
                  </w:pPr>
                  <w:r>
                    <w:rPr>
                      <w:rFonts w:ascii="仿宋_GB2312" w:hAnsi="仿宋_GB2312" w:eastAsia="仿宋_GB2312" w:cs="仿宋_GB2312"/>
                      <w:sz w:val="18"/>
                    </w:rPr>
                    <w:t>4</w:t>
                  </w:r>
                </w:p>
              </w:tc>
              <w:tc>
                <w:tcPr>
                  <w:tcW w:w="71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2900F3D">
                  <w:pPr>
                    <w:pStyle w:val="4"/>
                    <w:jc w:val="left"/>
                  </w:pPr>
                  <w:r>
                    <w:rPr>
                      <w:rFonts w:ascii="仿宋_GB2312" w:hAnsi="仿宋_GB2312" w:eastAsia="仿宋_GB2312" w:cs="仿宋_GB2312"/>
                      <w:sz w:val="18"/>
                    </w:rPr>
                    <w:t>24口POE静音交换机</w:t>
                  </w:r>
                </w:p>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043FF5">
                  <w:pPr>
                    <w:pStyle w:val="4"/>
                    <w:jc w:val="left"/>
                  </w:pPr>
                  <w:r>
                    <w:rPr>
                      <w:rFonts w:ascii="仿宋_GB2312" w:hAnsi="仿宋_GB2312" w:eastAsia="仿宋_GB2312" w:cs="仿宋_GB2312"/>
                      <w:sz w:val="18"/>
                    </w:rPr>
                    <w:t>1.性能：交换容量≥670Gbps，包转发≥170Mpps（以官网最小值为准）。</w:t>
                  </w:r>
                </w:p>
                <w:p w14:paraId="3CA79DEA">
                  <w:pPr>
                    <w:pStyle w:val="4"/>
                    <w:jc w:val="left"/>
                  </w:pPr>
                  <w:r>
                    <w:rPr>
                      <w:rFonts w:ascii="仿宋_GB2312" w:hAnsi="仿宋_GB2312" w:eastAsia="仿宋_GB2312" w:cs="仿宋_GB2312"/>
                      <w:sz w:val="18"/>
                    </w:rPr>
                    <w:t>2.端口：提供≥24个10/100/1000BASE-T PoE+自适应以太网端口（POE输出功率超360W），≥4个1/2.5/10GE SFP+端口</w:t>
                  </w:r>
                </w:p>
                <w:p w14:paraId="68C5CA90">
                  <w:pPr>
                    <w:pStyle w:val="4"/>
                    <w:jc w:val="left"/>
                  </w:pPr>
                  <w:r>
                    <w:rPr>
                      <w:rFonts w:ascii="仿宋_GB2312" w:hAnsi="仿宋_GB2312" w:eastAsia="仿宋_GB2312" w:cs="仿宋_GB2312"/>
                      <w:sz w:val="18"/>
                    </w:rPr>
                    <w:t>3.CPU保护：CPU保护功能，能限制非法报文对CPU的攻击，保护交换机稳定工作。</w:t>
                  </w:r>
                </w:p>
                <w:p w14:paraId="48B68360">
                  <w:pPr>
                    <w:pStyle w:val="4"/>
                    <w:jc w:val="left"/>
                  </w:pPr>
                  <w:r>
                    <w:rPr>
                      <w:rFonts w:ascii="仿宋_GB2312" w:hAnsi="仿宋_GB2312" w:eastAsia="仿宋_GB2312" w:cs="仿宋_GB2312"/>
                      <w:sz w:val="18"/>
                    </w:rPr>
                    <w:t>4.VLAN特性：基于端口的VLAN，基于协议的VLAN，基于MAC的VLAN，最大VLAN数为4096。</w:t>
                  </w:r>
                </w:p>
                <w:p w14:paraId="7D5FEC32">
                  <w:pPr>
                    <w:pStyle w:val="4"/>
                    <w:jc w:val="left"/>
                  </w:pPr>
                  <w:r>
                    <w:rPr>
                      <w:rFonts w:ascii="仿宋_GB2312" w:hAnsi="仿宋_GB2312" w:eastAsia="仿宋_GB2312" w:cs="仿宋_GB2312"/>
                      <w:sz w:val="18"/>
                    </w:rPr>
                    <w:t>5.路由协议：IPv4/IPv6静态路由、RIP V1/V2、RIPng、OSPF、OSPFv3。</w:t>
                  </w:r>
                </w:p>
                <w:p w14:paraId="7706143A">
                  <w:pPr>
                    <w:pStyle w:val="4"/>
                    <w:jc w:val="left"/>
                  </w:pPr>
                  <w:r>
                    <w:rPr>
                      <w:rFonts w:ascii="仿宋_GB2312" w:hAnsi="仿宋_GB2312" w:eastAsia="仿宋_GB2312" w:cs="仿宋_GB2312"/>
                      <w:sz w:val="18"/>
                    </w:rPr>
                    <w:t>6.管理特性：SNMP V1/V2/V3、RMON、SSHV2，OAM(802.1AG，802.3AH)以太网运行、维护和管理标准。</w:t>
                  </w:r>
                </w:p>
                <w:p w14:paraId="1952B8FB">
                  <w:pPr>
                    <w:pStyle w:val="4"/>
                    <w:jc w:val="left"/>
                  </w:pPr>
                  <w:r>
                    <w:rPr>
                      <w:rFonts w:ascii="仿宋_GB2312" w:hAnsi="仿宋_GB2312" w:eastAsia="仿宋_GB2312" w:cs="仿宋_GB2312"/>
                      <w:sz w:val="18"/>
                    </w:rPr>
                    <w:t>7.静音架构：静音无风扇设计，噪声指标＜35dB。</w:t>
                  </w:r>
                </w:p>
                <w:p w14:paraId="2E2F3A19">
                  <w:pPr>
                    <w:pStyle w:val="4"/>
                    <w:jc w:val="left"/>
                  </w:pPr>
                  <w:r>
                    <w:rPr>
                      <w:rFonts w:ascii="仿宋_GB2312" w:hAnsi="仿宋_GB2312" w:eastAsia="仿宋_GB2312" w:cs="仿宋_GB2312"/>
                      <w:sz w:val="18"/>
                    </w:rPr>
                    <w:t>8.设备防雷：采用内置端口防雷技术，业务端口防雷能力≥10KV。</w:t>
                  </w:r>
                </w:p>
                <w:p w14:paraId="36DF7EA9">
                  <w:pPr>
                    <w:pStyle w:val="4"/>
                    <w:jc w:val="left"/>
                  </w:pPr>
                  <w:r>
                    <w:rPr>
                      <w:rFonts w:ascii="仿宋_GB2312" w:hAnsi="仿宋_GB2312" w:eastAsia="仿宋_GB2312" w:cs="仿宋_GB2312"/>
                      <w:sz w:val="18"/>
                    </w:rPr>
                    <w:t>9.设备配置：提供≥2个原厂万兆单模光模块。</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11B5EF">
                  <w:pPr>
                    <w:pStyle w:val="4"/>
                    <w:jc w:val="center"/>
                  </w:pPr>
                  <w:r>
                    <w:rPr>
                      <w:rFonts w:ascii="仿宋_GB2312" w:hAnsi="仿宋_GB2312" w:eastAsia="仿宋_GB2312" w:cs="仿宋_GB2312"/>
                      <w:sz w:val="18"/>
                    </w:rPr>
                    <w:t>台</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B1B807">
                  <w:pPr>
                    <w:pStyle w:val="4"/>
                    <w:jc w:val="center"/>
                  </w:pPr>
                  <w:r>
                    <w:rPr>
                      <w:rFonts w:ascii="仿宋_GB2312" w:hAnsi="仿宋_GB2312" w:eastAsia="仿宋_GB2312" w:cs="仿宋_GB2312"/>
                      <w:sz w:val="18"/>
                    </w:rPr>
                    <w:t>6</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480B10">
                  <w:pPr>
                    <w:pStyle w:val="4"/>
                    <w:jc w:val="center"/>
                  </w:pPr>
                </w:p>
              </w:tc>
            </w:tr>
            <w:tr w14:paraId="6E769D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B8B5519">
                  <w:pPr>
                    <w:pStyle w:val="4"/>
                    <w:jc w:val="right"/>
                  </w:pPr>
                  <w:r>
                    <w:rPr>
                      <w:rFonts w:ascii="仿宋_GB2312" w:hAnsi="仿宋_GB2312" w:eastAsia="仿宋_GB2312" w:cs="仿宋_GB2312"/>
                      <w:sz w:val="18"/>
                    </w:rPr>
                    <w:t>5</w:t>
                  </w:r>
                </w:p>
              </w:tc>
              <w:tc>
                <w:tcPr>
                  <w:tcW w:w="71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9B1248">
                  <w:pPr>
                    <w:pStyle w:val="4"/>
                    <w:jc w:val="left"/>
                  </w:pPr>
                  <w:r>
                    <w:rPr>
                      <w:rFonts w:ascii="仿宋_GB2312" w:hAnsi="仿宋_GB2312" w:eastAsia="仿宋_GB2312" w:cs="仿宋_GB2312"/>
                      <w:sz w:val="18"/>
                    </w:rPr>
                    <w:t>24口接入交换机</w:t>
                  </w:r>
                </w:p>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3ED359">
                  <w:pPr>
                    <w:pStyle w:val="4"/>
                    <w:jc w:val="left"/>
                  </w:pPr>
                  <w:r>
                    <w:rPr>
                      <w:rFonts w:ascii="仿宋_GB2312" w:hAnsi="仿宋_GB2312" w:eastAsia="仿宋_GB2312" w:cs="仿宋_GB2312"/>
                      <w:sz w:val="18"/>
                    </w:rPr>
                    <w:t>1.性能：交换容量≥670Gbps，包转发≥170Mpps。（以官网最小值为准）</w:t>
                  </w:r>
                </w:p>
                <w:p w14:paraId="0FF742F5">
                  <w:pPr>
                    <w:pStyle w:val="4"/>
                    <w:jc w:val="left"/>
                  </w:pPr>
                  <w:r>
                    <w:rPr>
                      <w:rFonts w:ascii="仿宋_GB2312" w:hAnsi="仿宋_GB2312" w:eastAsia="仿宋_GB2312" w:cs="仿宋_GB2312"/>
                      <w:sz w:val="18"/>
                    </w:rPr>
                    <w:t>2.▲端口：提供≥24个10/100/1000BASE-T自适应以太网端口，≥4个1/2.5/10GE SFP+端口，≥1个USB接口，≥1个带外管理网口。</w:t>
                  </w:r>
                </w:p>
                <w:p w14:paraId="51C9CA83">
                  <w:pPr>
                    <w:pStyle w:val="4"/>
                    <w:jc w:val="left"/>
                  </w:pPr>
                  <w:r>
                    <w:rPr>
                      <w:rFonts w:ascii="仿宋_GB2312" w:hAnsi="仿宋_GB2312" w:eastAsia="仿宋_GB2312" w:cs="仿宋_GB2312"/>
                      <w:sz w:val="18"/>
                    </w:rPr>
                    <w:t>3.CPU保护：CPU保护功能，能限制非法报文对CPU的攻击，保护交换机稳定工作。</w:t>
                  </w:r>
                </w:p>
                <w:p w14:paraId="30051762">
                  <w:pPr>
                    <w:pStyle w:val="4"/>
                    <w:jc w:val="left"/>
                  </w:pPr>
                  <w:r>
                    <w:rPr>
                      <w:rFonts w:ascii="仿宋_GB2312" w:hAnsi="仿宋_GB2312" w:eastAsia="仿宋_GB2312" w:cs="仿宋_GB2312"/>
                      <w:sz w:val="18"/>
                    </w:rPr>
                    <w:t>4.VLAN特性：基于端口的VLAN，基于协议的VLAN，基于MAC的VLAN，最大VLAN数为4096。</w:t>
                  </w:r>
                </w:p>
                <w:p w14:paraId="0EBD30E7">
                  <w:pPr>
                    <w:pStyle w:val="4"/>
                    <w:jc w:val="left"/>
                  </w:pPr>
                  <w:r>
                    <w:rPr>
                      <w:rFonts w:ascii="仿宋_GB2312" w:hAnsi="仿宋_GB2312" w:eastAsia="仿宋_GB2312" w:cs="仿宋_GB2312"/>
                      <w:sz w:val="18"/>
                    </w:rPr>
                    <w:t>5.路由协议：IPv4/IPv6静态路由、RIP V1/V2、RIPng、OSPF、OSPFv3。</w:t>
                  </w:r>
                </w:p>
                <w:p w14:paraId="56DE3007">
                  <w:pPr>
                    <w:pStyle w:val="4"/>
                    <w:jc w:val="left"/>
                  </w:pPr>
                  <w:r>
                    <w:rPr>
                      <w:rFonts w:ascii="仿宋_GB2312" w:hAnsi="仿宋_GB2312" w:eastAsia="仿宋_GB2312" w:cs="仿宋_GB2312"/>
                      <w:sz w:val="18"/>
                    </w:rPr>
                    <w:t>6.管理特性：SNMP V1/V2/V3、RMON、SSHV2，OAM(802.1AG，802.3AH)以太网运行、维护和管理标准。</w:t>
                  </w:r>
                </w:p>
                <w:p w14:paraId="20DD52B6">
                  <w:pPr>
                    <w:pStyle w:val="4"/>
                    <w:jc w:val="left"/>
                  </w:pPr>
                  <w:r>
                    <w:rPr>
                      <w:rFonts w:ascii="仿宋_GB2312" w:hAnsi="仿宋_GB2312" w:eastAsia="仿宋_GB2312" w:cs="仿宋_GB2312"/>
                      <w:sz w:val="18"/>
                    </w:rPr>
                    <w:t>7.设备防雷：采用内置端口防雷技术，业务端口防雷能力≥10KV。</w:t>
                  </w:r>
                </w:p>
                <w:p w14:paraId="04F871D5">
                  <w:pPr>
                    <w:pStyle w:val="4"/>
                    <w:jc w:val="left"/>
                  </w:pPr>
                  <w:r>
                    <w:rPr>
                      <w:rFonts w:ascii="仿宋_GB2312" w:hAnsi="仿宋_GB2312" w:eastAsia="仿宋_GB2312" w:cs="仿宋_GB2312"/>
                      <w:sz w:val="18"/>
                    </w:rPr>
                    <w:t>8.设备配置：提供≥2个原厂万兆单模光模块。</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422F2B">
                  <w:pPr>
                    <w:pStyle w:val="4"/>
                    <w:jc w:val="center"/>
                  </w:pPr>
                  <w:r>
                    <w:rPr>
                      <w:rFonts w:ascii="仿宋_GB2312" w:hAnsi="仿宋_GB2312" w:eastAsia="仿宋_GB2312" w:cs="仿宋_GB2312"/>
                      <w:sz w:val="18"/>
                    </w:rPr>
                    <w:t>台</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4B05440">
                  <w:pPr>
                    <w:pStyle w:val="4"/>
                    <w:jc w:val="center"/>
                  </w:pPr>
                  <w:r>
                    <w:rPr>
                      <w:rFonts w:ascii="仿宋_GB2312" w:hAnsi="仿宋_GB2312" w:eastAsia="仿宋_GB2312" w:cs="仿宋_GB2312"/>
                      <w:sz w:val="18"/>
                    </w:rPr>
                    <w:t>10</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CF79DD">
                  <w:pPr>
                    <w:pStyle w:val="4"/>
                    <w:jc w:val="center"/>
                  </w:pPr>
                </w:p>
              </w:tc>
            </w:tr>
            <w:tr w14:paraId="704F02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F74F8F">
                  <w:pPr>
                    <w:pStyle w:val="4"/>
                    <w:jc w:val="right"/>
                  </w:pPr>
                  <w:r>
                    <w:rPr>
                      <w:rFonts w:ascii="仿宋_GB2312" w:hAnsi="仿宋_GB2312" w:eastAsia="仿宋_GB2312" w:cs="仿宋_GB2312"/>
                      <w:sz w:val="18"/>
                    </w:rPr>
                    <w:t>6</w:t>
                  </w:r>
                </w:p>
              </w:tc>
              <w:tc>
                <w:tcPr>
                  <w:tcW w:w="71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C082B3">
                  <w:pPr>
                    <w:pStyle w:val="4"/>
                    <w:jc w:val="left"/>
                  </w:pPr>
                  <w:r>
                    <w:rPr>
                      <w:rFonts w:ascii="仿宋_GB2312" w:hAnsi="仿宋_GB2312" w:eastAsia="仿宋_GB2312" w:cs="仿宋_GB2312"/>
                      <w:sz w:val="18"/>
                    </w:rPr>
                    <w:t>WiFi7室外AP</w:t>
                  </w:r>
                </w:p>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018C81">
                  <w:pPr>
                    <w:pStyle w:val="4"/>
                    <w:jc w:val="left"/>
                  </w:pPr>
                  <w:r>
                    <w:rPr>
                      <w:rFonts w:ascii="仿宋_GB2312" w:hAnsi="仿宋_GB2312" w:eastAsia="仿宋_GB2312" w:cs="仿宋_GB2312"/>
                      <w:sz w:val="18"/>
                    </w:rPr>
                    <w:t>1.协议标准：要求2.4G和5G均802.11be协议。</w:t>
                  </w:r>
                </w:p>
                <w:p w14:paraId="0A18D132">
                  <w:pPr>
                    <w:pStyle w:val="4"/>
                    <w:jc w:val="left"/>
                  </w:pPr>
                  <w:r>
                    <w:rPr>
                      <w:rFonts w:ascii="仿宋_GB2312" w:hAnsi="仿宋_GB2312" w:eastAsia="仿宋_GB2312" w:cs="仿宋_GB2312"/>
                      <w:sz w:val="18"/>
                    </w:rPr>
                    <w:t>2.设备性能：整机双频四流设计，射频16GHz/5GHz频段切换，射频25GHz/2.4GHz切换，可全5GHz频段或5GHz+6GHz频段部署模式，最大接入速率≥8.64Gbps。</w:t>
                  </w:r>
                </w:p>
                <w:p w14:paraId="28BFA31E">
                  <w:pPr>
                    <w:pStyle w:val="4"/>
                    <w:jc w:val="left"/>
                  </w:pPr>
                  <w:r>
                    <w:rPr>
                      <w:rFonts w:ascii="仿宋_GB2312" w:hAnsi="仿宋_GB2312" w:eastAsia="仿宋_GB2312" w:cs="仿宋_GB2312"/>
                      <w:sz w:val="18"/>
                    </w:rPr>
                    <w:t>3.▲设备端口：提供≥1个100/1000M/2.5G电口，≥1个10G光口，≥1个10/100/1000M电口，可用于扩展物联网，提供≥1个Console口，≥1个USB口。</w:t>
                  </w:r>
                </w:p>
                <w:p w14:paraId="73BD7457">
                  <w:pPr>
                    <w:pStyle w:val="4"/>
                    <w:jc w:val="left"/>
                  </w:pPr>
                  <w:r>
                    <w:rPr>
                      <w:rFonts w:ascii="仿宋_GB2312" w:hAnsi="仿宋_GB2312" w:eastAsia="仿宋_GB2312" w:cs="仿宋_GB2312"/>
                      <w:sz w:val="18"/>
                    </w:rPr>
                    <w:t>4.天线：提供双频段外置定向天线，单射频最大发射功率可达500mW，可无线远距离覆盖。</w:t>
                  </w:r>
                </w:p>
                <w:p w14:paraId="6C532166">
                  <w:pPr>
                    <w:pStyle w:val="4"/>
                    <w:jc w:val="left"/>
                  </w:pPr>
                  <w:r>
                    <w:rPr>
                      <w:rFonts w:ascii="仿宋_GB2312" w:hAnsi="仿宋_GB2312" w:eastAsia="仿宋_GB2312" w:cs="仿宋_GB2312"/>
                      <w:sz w:val="18"/>
                    </w:rPr>
                    <w:t>5.供电： 802.3at或802.3af供电。</w:t>
                  </w:r>
                </w:p>
                <w:p w14:paraId="00288933">
                  <w:pPr>
                    <w:pStyle w:val="4"/>
                    <w:jc w:val="left"/>
                  </w:pPr>
                  <w:r>
                    <w:rPr>
                      <w:rFonts w:ascii="仿宋_GB2312" w:hAnsi="仿宋_GB2312" w:eastAsia="仿宋_GB2312" w:cs="仿宋_GB2312"/>
                      <w:sz w:val="18"/>
                    </w:rPr>
                    <w:t>6.工作频段：802.11be/ax/ac/n/a：5GHz；802.11be/ax/b/g/n : 2.4GHz。</w:t>
                  </w:r>
                </w:p>
                <w:p w14:paraId="19DE6D18">
                  <w:pPr>
                    <w:pStyle w:val="4"/>
                    <w:jc w:val="left"/>
                  </w:pPr>
                  <w:r>
                    <w:rPr>
                      <w:rFonts w:ascii="仿宋_GB2312" w:hAnsi="仿宋_GB2312" w:eastAsia="仿宋_GB2312" w:cs="仿宋_GB2312"/>
                      <w:sz w:val="18"/>
                    </w:rPr>
                    <w:t>7.协议：Ipv4/Ipv6双协议栈。</w:t>
                  </w:r>
                </w:p>
                <w:p w14:paraId="67F07602">
                  <w:pPr>
                    <w:pStyle w:val="4"/>
                    <w:jc w:val="left"/>
                  </w:pPr>
                  <w:r>
                    <w:rPr>
                      <w:rFonts w:ascii="仿宋_GB2312" w:hAnsi="仿宋_GB2312" w:eastAsia="仿宋_GB2312" w:cs="仿宋_GB2312"/>
                      <w:sz w:val="18"/>
                    </w:rPr>
                    <w:t>8.管理及可视化：Snmp和Telemetry。</w:t>
                  </w:r>
                </w:p>
                <w:p w14:paraId="70F91E0C">
                  <w:pPr>
                    <w:pStyle w:val="4"/>
                    <w:jc w:val="left"/>
                  </w:pPr>
                  <w:r>
                    <w:rPr>
                      <w:rFonts w:ascii="仿宋_GB2312" w:hAnsi="仿宋_GB2312" w:eastAsia="仿宋_GB2312" w:cs="仿宋_GB2312"/>
                      <w:sz w:val="18"/>
                    </w:rPr>
                    <w:t>9.防护等级：具备IP68防护等级</w:t>
                  </w:r>
                </w:p>
                <w:p w14:paraId="03FDF042">
                  <w:pPr>
                    <w:pStyle w:val="4"/>
                    <w:jc w:val="left"/>
                  </w:pPr>
                  <w:r>
                    <w:rPr>
                      <w:rFonts w:ascii="仿宋_GB2312" w:hAnsi="仿宋_GB2312" w:eastAsia="仿宋_GB2312" w:cs="仿宋_GB2312"/>
                      <w:sz w:val="18"/>
                    </w:rPr>
                    <w:t>10.设备配置：提供POE供电注入器，配置≥2个万兆单模光模块。提供设备的安装，防雷，防水耗材组件。</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19764D">
                  <w:pPr>
                    <w:pStyle w:val="4"/>
                    <w:jc w:val="center"/>
                  </w:pPr>
                  <w:r>
                    <w:rPr>
                      <w:rFonts w:ascii="仿宋_GB2312" w:hAnsi="仿宋_GB2312" w:eastAsia="仿宋_GB2312" w:cs="仿宋_GB2312"/>
                      <w:sz w:val="18"/>
                    </w:rPr>
                    <w:t>台</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236216">
                  <w:pPr>
                    <w:pStyle w:val="4"/>
                    <w:jc w:val="center"/>
                  </w:pPr>
                  <w:r>
                    <w:rPr>
                      <w:rFonts w:ascii="仿宋_GB2312" w:hAnsi="仿宋_GB2312" w:eastAsia="仿宋_GB2312" w:cs="仿宋_GB2312"/>
                      <w:sz w:val="18"/>
                    </w:rPr>
                    <w:t>30</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8919BC">
                  <w:pPr>
                    <w:pStyle w:val="4"/>
                    <w:jc w:val="center"/>
                  </w:pPr>
                </w:p>
              </w:tc>
            </w:tr>
            <w:tr w14:paraId="17E21B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9F68E6">
                  <w:pPr>
                    <w:pStyle w:val="4"/>
                    <w:jc w:val="right"/>
                  </w:pPr>
                  <w:r>
                    <w:rPr>
                      <w:rFonts w:ascii="仿宋_GB2312" w:hAnsi="仿宋_GB2312" w:eastAsia="仿宋_GB2312" w:cs="仿宋_GB2312"/>
                      <w:sz w:val="18"/>
                    </w:rPr>
                    <w:t>7</w:t>
                  </w:r>
                </w:p>
              </w:tc>
              <w:tc>
                <w:tcPr>
                  <w:tcW w:w="71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B84012">
                  <w:pPr>
                    <w:pStyle w:val="4"/>
                    <w:jc w:val="left"/>
                  </w:pPr>
                  <w:r>
                    <w:rPr>
                      <w:rFonts w:ascii="仿宋_GB2312" w:hAnsi="仿宋_GB2312" w:eastAsia="仿宋_GB2312" w:cs="仿宋_GB2312"/>
                      <w:sz w:val="18"/>
                    </w:rPr>
                    <w:t>无线AC控制器</w:t>
                  </w:r>
                </w:p>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11E827D">
                  <w:pPr>
                    <w:pStyle w:val="4"/>
                    <w:jc w:val="left"/>
                  </w:pPr>
                  <w:r>
                    <w:rPr>
                      <w:rFonts w:ascii="仿宋_GB2312" w:hAnsi="仿宋_GB2312" w:eastAsia="仿宋_GB2312" w:cs="仿宋_GB2312"/>
                      <w:sz w:val="18"/>
                    </w:rPr>
                    <w:t>1.设备形态：独立硬件盒式设备。</w:t>
                  </w:r>
                </w:p>
                <w:p w14:paraId="106D6D2C">
                  <w:pPr>
                    <w:pStyle w:val="4"/>
                    <w:jc w:val="left"/>
                  </w:pPr>
                  <w:r>
                    <w:rPr>
                      <w:rFonts w:ascii="仿宋_GB2312" w:hAnsi="仿宋_GB2312" w:eastAsia="仿宋_GB2312" w:cs="仿宋_GB2312"/>
                      <w:sz w:val="18"/>
                    </w:rPr>
                    <w:t>2.所有AP的集中管理，控制器可做1+1或者N+1冗余部署，集群对外呈现一个IP地址，对外统一管理界面，无线管理授权共享，会话同步和无中断的故障切换。</w:t>
                  </w:r>
                </w:p>
                <w:p w14:paraId="077CC1AF">
                  <w:pPr>
                    <w:pStyle w:val="4"/>
                    <w:jc w:val="left"/>
                  </w:pPr>
                  <w:r>
                    <w:rPr>
                      <w:rFonts w:ascii="仿宋_GB2312" w:hAnsi="仿宋_GB2312" w:eastAsia="仿宋_GB2312" w:cs="仿宋_GB2312"/>
                      <w:sz w:val="18"/>
                    </w:rPr>
                    <w:t>3.▲提供≥8个SFP+万兆可用端口（非互斥），≥2个QSFP+ 40G可用端口（非互斥），≥16GE Combo接口。</w:t>
                  </w:r>
                </w:p>
                <w:p w14:paraId="56AD4873">
                  <w:pPr>
                    <w:pStyle w:val="4"/>
                    <w:jc w:val="left"/>
                  </w:pPr>
                  <w:r>
                    <w:rPr>
                      <w:rFonts w:ascii="仿宋_GB2312" w:hAnsi="仿宋_GB2312" w:eastAsia="仿宋_GB2312" w:cs="仿宋_GB2312"/>
                      <w:sz w:val="18"/>
                    </w:rPr>
                    <w:t>4.设备数据转发性能≥120Gbps，最大可管理AP数量≥5000个，本次满配管理AP授权。</w:t>
                  </w:r>
                </w:p>
                <w:p w14:paraId="49738D20">
                  <w:pPr>
                    <w:pStyle w:val="4"/>
                    <w:jc w:val="left"/>
                  </w:pPr>
                  <w:r>
                    <w:rPr>
                      <w:rFonts w:ascii="仿宋_GB2312" w:hAnsi="仿宋_GB2312" w:eastAsia="仿宋_GB2312" w:cs="仿宋_GB2312"/>
                      <w:sz w:val="18"/>
                    </w:rPr>
                    <w:t>5.▲二、三层漫游功能，基于终端业务的漫游调度，对关键的应用识别和保障。</w:t>
                  </w:r>
                </w:p>
                <w:p w14:paraId="415EE6E7">
                  <w:pPr>
                    <w:pStyle w:val="4"/>
                    <w:jc w:val="left"/>
                  </w:pPr>
                  <w:r>
                    <w:rPr>
                      <w:rFonts w:ascii="仿宋_GB2312" w:hAnsi="仿宋_GB2312" w:eastAsia="仿宋_GB2312" w:cs="仿宋_GB2312"/>
                      <w:sz w:val="18"/>
                    </w:rPr>
                    <w:t>6.可根据无线网络实际情况自动优化、调节无线网络射频参数,如信道和发射功率等，下发至 AP 来生效，并不影响AP 正常接入性能。</w:t>
                  </w:r>
                </w:p>
                <w:p w14:paraId="570678BD">
                  <w:pPr>
                    <w:pStyle w:val="4"/>
                    <w:jc w:val="left"/>
                  </w:pPr>
                  <w:r>
                    <w:rPr>
                      <w:rFonts w:ascii="仿宋_GB2312" w:hAnsi="仿宋_GB2312" w:eastAsia="仿宋_GB2312" w:cs="仿宋_GB2312"/>
                      <w:sz w:val="18"/>
                    </w:rPr>
                    <w:t>7.无线控制器AC、APSSID自主逃生，当AP射频检测到雷达信号时，会将本射频的SSID迁移到其他射频，保障关键业务正常通信。</w:t>
                  </w:r>
                </w:p>
                <w:p w14:paraId="20845518">
                  <w:pPr>
                    <w:pStyle w:val="4"/>
                    <w:jc w:val="left"/>
                  </w:pPr>
                  <w:r>
                    <w:rPr>
                      <w:rFonts w:ascii="仿宋_GB2312" w:hAnsi="仿宋_GB2312" w:eastAsia="仿宋_GB2312" w:cs="仿宋_GB2312"/>
                      <w:sz w:val="18"/>
                    </w:rPr>
                    <w:t>8.IPv4/IPv6双协议栈,可满足用户在IPv4到IPv6网络迁移中的各种需求。</w:t>
                  </w:r>
                </w:p>
                <w:p w14:paraId="1611C4B5">
                  <w:pPr>
                    <w:pStyle w:val="4"/>
                    <w:jc w:val="left"/>
                  </w:pPr>
                  <w:r>
                    <w:rPr>
                      <w:rFonts w:ascii="仿宋_GB2312" w:hAnsi="仿宋_GB2312" w:eastAsia="仿宋_GB2312" w:cs="仿宋_GB2312"/>
                      <w:sz w:val="18"/>
                    </w:rPr>
                    <w:t>9.设备配置：提供≥2个原厂万兆多模光模块。</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A9472F">
                  <w:pPr>
                    <w:pStyle w:val="4"/>
                    <w:jc w:val="center"/>
                  </w:pPr>
                  <w:r>
                    <w:rPr>
                      <w:rFonts w:ascii="仿宋_GB2312" w:hAnsi="仿宋_GB2312" w:eastAsia="仿宋_GB2312" w:cs="仿宋_GB2312"/>
                      <w:sz w:val="18"/>
                    </w:rPr>
                    <w:t>台</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82058CF">
                  <w:pPr>
                    <w:pStyle w:val="4"/>
                    <w:jc w:val="center"/>
                  </w:pPr>
                  <w:r>
                    <w:rPr>
                      <w:rFonts w:ascii="仿宋_GB2312" w:hAnsi="仿宋_GB2312" w:eastAsia="仿宋_GB2312" w:cs="仿宋_GB2312"/>
                      <w:sz w:val="18"/>
                    </w:rPr>
                    <w:t>2</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A28224">
                  <w:pPr>
                    <w:pStyle w:val="4"/>
                    <w:jc w:val="center"/>
                  </w:pPr>
                </w:p>
              </w:tc>
            </w:tr>
            <w:tr w14:paraId="307A42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FEDFE4">
                  <w:pPr>
                    <w:pStyle w:val="4"/>
                    <w:jc w:val="right"/>
                  </w:pPr>
                  <w:r>
                    <w:rPr>
                      <w:rFonts w:ascii="仿宋_GB2312" w:hAnsi="仿宋_GB2312" w:eastAsia="仿宋_GB2312" w:cs="仿宋_GB2312"/>
                      <w:sz w:val="18"/>
                    </w:rPr>
                    <w:t>8</w:t>
                  </w:r>
                </w:p>
              </w:tc>
              <w:tc>
                <w:tcPr>
                  <w:tcW w:w="71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17CA25">
                  <w:pPr>
                    <w:pStyle w:val="4"/>
                    <w:jc w:val="left"/>
                  </w:pPr>
                  <w:r>
                    <w:rPr>
                      <w:rFonts w:ascii="仿宋_GB2312" w:hAnsi="仿宋_GB2312" w:eastAsia="仿宋_GB2312" w:cs="仿宋_GB2312"/>
                      <w:sz w:val="18"/>
                    </w:rPr>
                    <w:t>7506X-X汇聚交换机板卡扩容</w:t>
                  </w:r>
                </w:p>
              </w:tc>
              <w:tc>
                <w:tcPr>
                  <w:tcW w:w="3754"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6A96B6">
                  <w:pPr>
                    <w:pStyle w:val="4"/>
                    <w:jc w:val="left"/>
                  </w:pPr>
                  <w:r>
                    <w:rPr>
                      <w:rFonts w:ascii="仿宋_GB2312" w:hAnsi="仿宋_GB2312" w:eastAsia="仿宋_GB2312" w:cs="仿宋_GB2312"/>
                      <w:sz w:val="18"/>
                    </w:rPr>
                    <w:t>1.扩容品牌型号：H3C 7506X-X，扩容≥8端口100G以太网光接口(QSFP28),≥8端口40G/4端口100G以太网光接口模块；≥6块QSFP+ 40G 10km单模光模块。</w:t>
                  </w:r>
                </w:p>
                <w:p w14:paraId="34D8E474">
                  <w:pPr>
                    <w:pStyle w:val="4"/>
                    <w:jc w:val="left"/>
                  </w:pPr>
                  <w:r>
                    <w:rPr>
                      <w:rFonts w:ascii="仿宋_GB2312" w:hAnsi="仿宋_GB2312" w:eastAsia="仿宋_GB2312" w:cs="仿宋_GB2312"/>
                      <w:sz w:val="18"/>
                    </w:rPr>
                    <w:t>2、扩容品牌型号：H3C 7506X-X，扩容≥24端口10G以太网光接口；≥24块10G 10km单模光模块。</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CCD96F">
                  <w:pPr>
                    <w:pStyle w:val="4"/>
                    <w:jc w:val="center"/>
                  </w:pPr>
                  <w:r>
                    <w:rPr>
                      <w:rFonts w:ascii="仿宋_GB2312" w:hAnsi="仿宋_GB2312" w:eastAsia="仿宋_GB2312" w:cs="仿宋_GB2312"/>
                      <w:sz w:val="18"/>
                    </w:rPr>
                    <w:t>块</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057729">
                  <w:pPr>
                    <w:pStyle w:val="4"/>
                    <w:jc w:val="center"/>
                  </w:pPr>
                  <w:r>
                    <w:rPr>
                      <w:rFonts w:ascii="仿宋_GB2312" w:hAnsi="仿宋_GB2312" w:eastAsia="仿宋_GB2312" w:cs="仿宋_GB2312"/>
                      <w:sz w:val="18"/>
                    </w:rPr>
                    <w:t>1</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DE3D7F">
                  <w:pPr>
                    <w:pStyle w:val="4"/>
                    <w:jc w:val="center"/>
                  </w:pPr>
                </w:p>
              </w:tc>
            </w:tr>
            <w:tr w14:paraId="050FE1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645744">
                  <w:pPr>
                    <w:pStyle w:val="4"/>
                    <w:jc w:val="right"/>
                  </w:pPr>
                  <w:r>
                    <w:rPr>
                      <w:rFonts w:ascii="仿宋_GB2312" w:hAnsi="仿宋_GB2312" w:eastAsia="仿宋_GB2312" w:cs="仿宋_GB2312"/>
                      <w:sz w:val="18"/>
                    </w:rPr>
                    <w:t>9</w:t>
                  </w:r>
                </w:p>
              </w:tc>
              <w:tc>
                <w:tcPr>
                  <w:tcW w:w="71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336295">
                  <w:pPr>
                    <w:pStyle w:val="4"/>
                    <w:jc w:val="left"/>
                  </w:pPr>
                  <w:r>
                    <w:rPr>
                      <w:rFonts w:ascii="仿宋_GB2312" w:hAnsi="仿宋_GB2312" w:eastAsia="仿宋_GB2312" w:cs="仿宋_GB2312"/>
                      <w:sz w:val="18"/>
                    </w:rPr>
                    <w:t>楼宇汇聚交换机</w:t>
                  </w:r>
                </w:p>
              </w:tc>
              <w:tc>
                <w:tcPr>
                  <w:tcW w:w="3754"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308F13">
                  <w:pPr>
                    <w:pStyle w:val="4"/>
                    <w:jc w:val="left"/>
                  </w:pPr>
                  <w:r>
                    <w:rPr>
                      <w:rFonts w:ascii="仿宋_GB2312" w:hAnsi="仿宋_GB2312" w:eastAsia="仿宋_GB2312" w:cs="仿宋_GB2312"/>
                      <w:sz w:val="18"/>
                    </w:rPr>
                    <w:t>1.设备性能：交换容量≥4.8Tbps，包转发率≥1600Mpps（以官网最小值为准）。</w:t>
                  </w:r>
                </w:p>
                <w:p w14:paraId="23484580">
                  <w:pPr>
                    <w:pStyle w:val="4"/>
                    <w:jc w:val="left"/>
                  </w:pPr>
                  <w:r>
                    <w:rPr>
                      <w:rFonts w:ascii="仿宋_GB2312" w:hAnsi="仿宋_GB2312" w:eastAsia="仿宋_GB2312" w:cs="仿宋_GB2312"/>
                      <w:sz w:val="18"/>
                    </w:rPr>
                    <w:t>2.▲端口形态：提供万兆光口≥32个，40/100GE QSFP28端口光口≥4个；额外提供≥2个扩展槽，可扩展多种类型接口板卡，可防火墙业务板卡。</w:t>
                  </w:r>
                </w:p>
                <w:p w14:paraId="439DA9F5">
                  <w:pPr>
                    <w:pStyle w:val="4"/>
                    <w:jc w:val="left"/>
                  </w:pPr>
                  <w:r>
                    <w:rPr>
                      <w:rFonts w:ascii="仿宋_GB2312" w:hAnsi="仿宋_GB2312" w:eastAsia="仿宋_GB2312" w:cs="仿宋_GB2312"/>
                      <w:sz w:val="18"/>
                    </w:rPr>
                    <w:t>3.VLAN特性：4K个VLAN，QINQ、灵活QINQ，基于MAC/协议/IP子网/策略/端口的VLAN。</w:t>
                  </w:r>
                </w:p>
                <w:p w14:paraId="2E429629">
                  <w:pPr>
                    <w:pStyle w:val="4"/>
                    <w:jc w:val="left"/>
                  </w:pPr>
                  <w:r>
                    <w:rPr>
                      <w:rFonts w:ascii="仿宋_GB2312" w:hAnsi="仿宋_GB2312" w:eastAsia="仿宋_GB2312" w:cs="仿宋_GB2312"/>
                      <w:sz w:val="18"/>
                    </w:rPr>
                    <w:t>4.VxLAN特性：VxLAN 二层网关、三层网关；BGP EVPN</w:t>
                  </w:r>
                </w:p>
                <w:p w14:paraId="048D37F9">
                  <w:pPr>
                    <w:pStyle w:val="4"/>
                    <w:jc w:val="left"/>
                  </w:pPr>
                  <w:r>
                    <w:rPr>
                      <w:rFonts w:ascii="仿宋_GB2312" w:hAnsi="仿宋_GB2312" w:eastAsia="仿宋_GB2312" w:cs="仿宋_GB2312"/>
                      <w:sz w:val="18"/>
                    </w:rPr>
                    <w:t>5.路由协议：IPv4/IPv6 静态路由、RIP、OSPF、OSPFv3策略路由等。</w:t>
                  </w:r>
                </w:p>
                <w:p w14:paraId="0C71394C">
                  <w:pPr>
                    <w:pStyle w:val="4"/>
                    <w:jc w:val="left"/>
                  </w:pPr>
                  <w:r>
                    <w:rPr>
                      <w:rFonts w:ascii="仿宋_GB2312" w:hAnsi="仿宋_GB2312" w:eastAsia="仿宋_GB2312" w:cs="仿宋_GB2312"/>
                      <w:sz w:val="18"/>
                    </w:rPr>
                    <w:t>6.管理和维护：Snmp及telemetry技术。</w:t>
                  </w:r>
                </w:p>
                <w:p w14:paraId="561D55B6">
                  <w:pPr>
                    <w:pStyle w:val="4"/>
                    <w:jc w:val="left"/>
                  </w:pPr>
                  <w:r>
                    <w:rPr>
                      <w:rFonts w:ascii="仿宋_GB2312" w:hAnsi="仿宋_GB2312" w:eastAsia="仿宋_GB2312" w:cs="仿宋_GB2312"/>
                      <w:sz w:val="18"/>
                    </w:rPr>
                    <w:t>7.电源风扇：要求满配模块化电源和风扇。</w:t>
                  </w:r>
                </w:p>
                <w:p w14:paraId="64D760FE">
                  <w:pPr>
                    <w:pStyle w:val="4"/>
                    <w:jc w:val="left"/>
                  </w:pPr>
                  <w:r>
                    <w:rPr>
                      <w:rFonts w:ascii="仿宋_GB2312" w:hAnsi="仿宋_GB2312" w:eastAsia="仿宋_GB2312" w:cs="仿宋_GB2312"/>
                      <w:sz w:val="18"/>
                    </w:rPr>
                    <w:t>8.设备配置：提供≥26个与交换机同品牌万兆单模光模块。</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D10A301">
                  <w:pPr>
                    <w:pStyle w:val="4"/>
                    <w:jc w:val="center"/>
                  </w:pPr>
                  <w:r>
                    <w:rPr>
                      <w:rFonts w:ascii="仿宋_GB2312" w:hAnsi="仿宋_GB2312" w:eastAsia="仿宋_GB2312" w:cs="仿宋_GB2312"/>
                      <w:sz w:val="18"/>
                    </w:rPr>
                    <w:t>台</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22A1A92">
                  <w:pPr>
                    <w:pStyle w:val="4"/>
                    <w:jc w:val="center"/>
                  </w:pPr>
                  <w:r>
                    <w:rPr>
                      <w:rFonts w:ascii="仿宋_GB2312" w:hAnsi="仿宋_GB2312" w:eastAsia="仿宋_GB2312" w:cs="仿宋_GB2312"/>
                      <w:sz w:val="18"/>
                    </w:rPr>
                    <w:t>11</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4F5609B">
                  <w:pPr>
                    <w:pStyle w:val="4"/>
                    <w:jc w:val="center"/>
                  </w:pPr>
                </w:p>
              </w:tc>
            </w:tr>
            <w:tr w14:paraId="4AFCC6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14E7CA">
                  <w:pPr>
                    <w:pStyle w:val="4"/>
                    <w:jc w:val="right"/>
                  </w:pPr>
                  <w:r>
                    <w:rPr>
                      <w:rFonts w:ascii="仿宋_GB2312" w:hAnsi="仿宋_GB2312" w:eastAsia="仿宋_GB2312" w:cs="仿宋_GB2312"/>
                      <w:sz w:val="18"/>
                    </w:rPr>
                    <w:t>10</w:t>
                  </w:r>
                </w:p>
              </w:tc>
              <w:tc>
                <w:tcPr>
                  <w:tcW w:w="71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5112C4">
                  <w:pPr>
                    <w:pStyle w:val="4"/>
                    <w:jc w:val="center"/>
                  </w:pPr>
                  <w:r>
                    <w:rPr>
                      <w:rFonts w:ascii="仿宋_GB2312" w:hAnsi="仿宋_GB2312" w:eastAsia="仿宋_GB2312" w:cs="仿宋_GB2312"/>
                      <w:sz w:val="18"/>
                    </w:rPr>
                    <w:t>网络认证计费系统</w:t>
                  </w:r>
                </w:p>
              </w:tc>
              <w:tc>
                <w:tcPr>
                  <w:tcW w:w="3754"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A0C023">
                  <w:pPr>
                    <w:pStyle w:val="4"/>
                    <w:jc w:val="left"/>
                  </w:pPr>
                  <w:r>
                    <w:rPr>
                      <w:rFonts w:ascii="仿宋_GB2312" w:hAnsi="仿宋_GB2312" w:eastAsia="仿宋_GB2312" w:cs="仿宋_GB2312"/>
                      <w:sz w:val="18"/>
                    </w:rPr>
                    <w:t>1.并发用户数≥30000，注册用户数≥500000，万兆光口≥4个，千兆光口≥4个，冗余电源，标准机架式设备，两台设备以双机负载模式搭建高可用集群。</w:t>
                  </w:r>
                </w:p>
                <w:p w14:paraId="4D541777">
                  <w:pPr>
                    <w:pStyle w:val="4"/>
                    <w:jc w:val="left"/>
                  </w:pPr>
                  <w:r>
                    <w:rPr>
                      <w:rFonts w:ascii="仿宋_GB2312" w:hAnsi="仿宋_GB2312" w:eastAsia="仿宋_GB2312" w:cs="仿宋_GB2312"/>
                      <w:sz w:val="18"/>
                    </w:rPr>
                    <w:t>2.IPv4/IPv6单栈、双栈认证及计费功能。</w:t>
                  </w:r>
                </w:p>
                <w:p w14:paraId="563E5E84">
                  <w:pPr>
                    <w:pStyle w:val="4"/>
                    <w:jc w:val="left"/>
                  </w:pPr>
                  <w:r>
                    <w:rPr>
                      <w:rFonts w:ascii="仿宋_GB2312" w:hAnsi="仿宋_GB2312" w:eastAsia="仿宋_GB2312" w:cs="仿宋_GB2312"/>
                      <w:sz w:val="18"/>
                    </w:rPr>
                    <w:t>3.WEB、Portal、PPPoE、802.1x、PPTP、IPoE、专用客户端等认证方式。</w:t>
                  </w:r>
                </w:p>
                <w:p w14:paraId="4C998BD7">
                  <w:pPr>
                    <w:pStyle w:val="4"/>
                    <w:jc w:val="left"/>
                  </w:pPr>
                  <w:r>
                    <w:rPr>
                      <w:rFonts w:ascii="仿宋_GB2312" w:hAnsi="仿宋_GB2312" w:eastAsia="仿宋_GB2312" w:cs="仿宋_GB2312"/>
                      <w:sz w:val="18"/>
                    </w:rPr>
                    <w:t>4.扩展认证功能，包括但不限于LDAP认证、AD域认证、短信认证、微信认证、钉钉认证、别名认证等。提供相关功能截图。</w:t>
                  </w:r>
                </w:p>
                <w:p w14:paraId="276A60DD">
                  <w:pPr>
                    <w:pStyle w:val="4"/>
                    <w:jc w:val="left"/>
                  </w:pPr>
                  <w:r>
                    <w:rPr>
                      <w:rFonts w:ascii="仿宋_GB2312" w:hAnsi="仿宋_GB2312" w:eastAsia="仿宋_GB2312" w:cs="仿宋_GB2312"/>
                      <w:sz w:val="18"/>
                    </w:rPr>
                    <w:t>5.与统一身份实名认证计费系统的对接融合，用户的认证页面为统一身份实名认证计费系统，与统一身份认证共用一套用户名和密码，为网络认证提供更多的认证方式。</w:t>
                  </w:r>
                </w:p>
                <w:p w14:paraId="105BEADF">
                  <w:pPr>
                    <w:pStyle w:val="4"/>
                    <w:jc w:val="left"/>
                  </w:pPr>
                  <w:r>
                    <w:rPr>
                      <w:rFonts w:ascii="仿宋_GB2312" w:hAnsi="仿宋_GB2312" w:eastAsia="仿宋_GB2312" w:cs="仿宋_GB2312"/>
                      <w:sz w:val="18"/>
                    </w:rPr>
                    <w:t>6.三层环境下通过DHCP方式或SNMP方式无感知认证、与BRAS对接无感知认证。</w:t>
                  </w:r>
                </w:p>
                <w:p w14:paraId="711E1E9C">
                  <w:pPr>
                    <w:pStyle w:val="4"/>
                    <w:jc w:val="left"/>
                  </w:pPr>
                  <w:r>
                    <w:rPr>
                      <w:rFonts w:ascii="仿宋_GB2312" w:hAnsi="仿宋_GB2312" w:eastAsia="仿宋_GB2312" w:cs="仿宋_GB2312"/>
                      <w:sz w:val="18"/>
                    </w:rPr>
                    <w:t>▲7.IPv4及IPv6的无感知联动功能、无感知黑白名单、终端类型、终端数量及无感知有效期等无感知策略，MAC地址的绑定、解绑、超限清理、到期解绑等均有详细日志。提供相关功能截图。</w:t>
                  </w:r>
                </w:p>
                <w:p w14:paraId="56199856">
                  <w:pPr>
                    <w:pStyle w:val="4"/>
                    <w:jc w:val="left"/>
                  </w:pPr>
                  <w:r>
                    <w:rPr>
                      <w:rFonts w:ascii="仿宋_GB2312" w:hAnsi="仿宋_GB2312" w:eastAsia="仿宋_GB2312" w:cs="仿宋_GB2312"/>
                      <w:sz w:val="18"/>
                    </w:rPr>
                    <w:t>8.华为、华三、锐捷、中兴等网络设备厂家Radius和Portal协议。</w:t>
                  </w:r>
                </w:p>
                <w:p w14:paraId="36C53587">
                  <w:pPr>
                    <w:pStyle w:val="4"/>
                    <w:jc w:val="left"/>
                  </w:pPr>
                  <w:r>
                    <w:rPr>
                      <w:rFonts w:ascii="仿宋_GB2312" w:hAnsi="仿宋_GB2312" w:eastAsia="仿宋_GB2312" w:cs="仿宋_GB2312"/>
                      <w:sz w:val="18"/>
                    </w:rPr>
                    <w:t>▲9.提供符合安全要求的移动端和PC端认证页面，认证界面可以定义修改，认证页面http和https一键切换管理，证书导入。</w:t>
                  </w:r>
                </w:p>
                <w:p w14:paraId="7525C686">
                  <w:pPr>
                    <w:pStyle w:val="4"/>
                    <w:jc w:val="left"/>
                  </w:pPr>
                  <w:r>
                    <w:rPr>
                      <w:rFonts w:ascii="仿宋_GB2312" w:hAnsi="仿宋_GB2312" w:eastAsia="仿宋_GB2312" w:cs="仿宋_GB2312"/>
                      <w:sz w:val="18"/>
                    </w:rPr>
                    <w:t>▲10.与多运营商对接，通过与运营商AAA系统对接融合认证功能。</w:t>
                  </w:r>
                </w:p>
                <w:p w14:paraId="7BF708BA">
                  <w:pPr>
                    <w:pStyle w:val="4"/>
                    <w:jc w:val="left"/>
                  </w:pPr>
                  <w:r>
                    <w:rPr>
                      <w:rFonts w:ascii="仿宋_GB2312" w:hAnsi="仿宋_GB2312" w:eastAsia="仿宋_GB2312" w:cs="仿宋_GB2312"/>
                      <w:sz w:val="18"/>
                    </w:rPr>
                    <w:t>11.用户属性字段自定义扩展可视化配置，包括数据类型、字段排序、开户录入规则等。</w:t>
                  </w:r>
                </w:p>
                <w:p w14:paraId="54083FCA">
                  <w:pPr>
                    <w:pStyle w:val="4"/>
                    <w:jc w:val="left"/>
                  </w:pPr>
                  <w:r>
                    <w:rPr>
                      <w:rFonts w:ascii="仿宋_GB2312" w:hAnsi="仿宋_GB2312" w:eastAsia="仿宋_GB2312" w:cs="仿宋_GB2312"/>
                      <w:sz w:val="18"/>
                    </w:rPr>
                    <w:t>12.系统概况统计，可显示日新增用户数、日活跃用户数、停机户数、现存户数、授权用户数、收入情况、在线用户曲线图、在线用户峰值、在线用户曲线图可选择自定义区间，可显示系统CPU、内存、硬盘、系统健康度状态。</w:t>
                  </w:r>
                </w:p>
                <w:p w14:paraId="0AA5A82E">
                  <w:pPr>
                    <w:pStyle w:val="4"/>
                    <w:jc w:val="left"/>
                  </w:pPr>
                  <w:r>
                    <w:rPr>
                      <w:rFonts w:ascii="仿宋_GB2312" w:hAnsi="仿宋_GB2312" w:eastAsia="仿宋_GB2312" w:cs="仿宋_GB2312"/>
                      <w:sz w:val="18"/>
                    </w:rPr>
                    <w:t>13.域名策略配置，通过域名组、域名白名单等配置来放行目标免认证地址。</w:t>
                  </w:r>
                </w:p>
                <w:p w14:paraId="565433FF">
                  <w:pPr>
                    <w:pStyle w:val="4"/>
                    <w:jc w:val="left"/>
                  </w:pPr>
                  <w:r>
                    <w:rPr>
                      <w:rFonts w:ascii="仿宋_GB2312" w:hAnsi="仿宋_GB2312" w:eastAsia="仿宋_GB2312" w:cs="仿宋_GB2312"/>
                      <w:sz w:val="18"/>
                    </w:rPr>
                    <w:t>14.系统通过VLAN、IP等配置位置信息，可在在线用户及上网详单中进行展示。</w:t>
                  </w:r>
                </w:p>
                <w:p w14:paraId="7431DF51">
                  <w:pPr>
                    <w:pStyle w:val="4"/>
                    <w:jc w:val="left"/>
                  </w:pPr>
                  <w:r>
                    <w:rPr>
                      <w:rFonts w:ascii="仿宋_GB2312" w:hAnsi="仿宋_GB2312" w:eastAsia="仿宋_GB2312" w:cs="仿宋_GB2312"/>
                      <w:sz w:val="18"/>
                    </w:rPr>
                    <w:t>15.与学校身份系统打通，通过数据库视图、ETL、API_Json等方式对接现有基础数据库，认证计费系统账号与身份系统账号生命周期自动化匹配，对接基于CAS、oAuth、LDAP等协议的单点登录，为用户提供统一认证。</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FF6BB2">
                  <w:pPr>
                    <w:pStyle w:val="4"/>
                    <w:jc w:val="center"/>
                  </w:pPr>
                  <w:r>
                    <w:rPr>
                      <w:rFonts w:ascii="仿宋_GB2312" w:hAnsi="仿宋_GB2312" w:eastAsia="仿宋_GB2312" w:cs="仿宋_GB2312"/>
                      <w:sz w:val="18"/>
                    </w:rPr>
                    <w:t>台</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4F8D8E7">
                  <w:pPr>
                    <w:pStyle w:val="4"/>
                    <w:jc w:val="center"/>
                  </w:pPr>
                  <w:r>
                    <w:rPr>
                      <w:rFonts w:ascii="仿宋_GB2312" w:hAnsi="仿宋_GB2312" w:eastAsia="仿宋_GB2312" w:cs="仿宋_GB2312"/>
                      <w:sz w:val="18"/>
                    </w:rPr>
                    <w:t>2</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9DE745">
                  <w:pPr>
                    <w:pStyle w:val="4"/>
                    <w:jc w:val="center"/>
                  </w:pPr>
                </w:p>
              </w:tc>
            </w:tr>
            <w:tr w14:paraId="183F08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B10A37">
                  <w:pPr>
                    <w:pStyle w:val="4"/>
                    <w:jc w:val="right"/>
                  </w:pPr>
                  <w:r>
                    <w:rPr>
                      <w:rFonts w:ascii="仿宋_GB2312" w:hAnsi="仿宋_GB2312" w:eastAsia="仿宋_GB2312" w:cs="仿宋_GB2312"/>
                      <w:sz w:val="18"/>
                    </w:rPr>
                    <w:t>11</w:t>
                  </w:r>
                </w:p>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A48886">
                  <w:pPr>
                    <w:pStyle w:val="4"/>
                    <w:jc w:val="left"/>
                  </w:pPr>
                  <w:r>
                    <w:rPr>
                      <w:rFonts w:ascii="仿宋_GB2312" w:hAnsi="仿宋_GB2312" w:eastAsia="仿宋_GB2312" w:cs="仿宋_GB2312"/>
                      <w:sz w:val="18"/>
                    </w:rPr>
                    <w:t>数据中心集中式存储（裸容量不低于450TB）</w:t>
                  </w:r>
                </w:p>
              </w:tc>
              <w:tc>
                <w:tcPr>
                  <w:tcW w:w="3754"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698890">
                  <w:pPr>
                    <w:pStyle w:val="4"/>
                    <w:jc w:val="left"/>
                  </w:pPr>
                  <w:r>
                    <w:rPr>
                      <w:rFonts w:ascii="仿宋_GB2312" w:hAnsi="仿宋_GB2312" w:eastAsia="仿宋_GB2312" w:cs="仿宋_GB2312"/>
                      <w:sz w:val="18"/>
                    </w:rPr>
                    <w:t>1.▲自主研发，非OEM品牌。（提供相关证明材料包括但不限于产品CCC、节能、环保认证等）</w:t>
                  </w:r>
                </w:p>
                <w:p w14:paraId="47CF999E">
                  <w:pPr>
                    <w:pStyle w:val="4"/>
                    <w:jc w:val="left"/>
                  </w:pPr>
                  <w:r>
                    <w:rPr>
                      <w:rFonts w:ascii="仿宋_GB2312" w:hAnsi="仿宋_GB2312" w:eastAsia="仿宋_GB2312" w:cs="仿宋_GB2312"/>
                      <w:sz w:val="18"/>
                    </w:rPr>
                    <w:t>2.控制器采用 Active-Active 架构，单LUN业务均衡负载到所有控制器；</w:t>
                  </w:r>
                </w:p>
                <w:p w14:paraId="61187320">
                  <w:pPr>
                    <w:pStyle w:val="4"/>
                    <w:jc w:val="left"/>
                  </w:pPr>
                  <w:r>
                    <w:rPr>
                      <w:rFonts w:ascii="仿宋_GB2312" w:hAnsi="仿宋_GB2312" w:eastAsia="仿宋_GB2312" w:cs="仿宋_GB2312"/>
                      <w:sz w:val="18"/>
                    </w:rPr>
                    <w:t>3.多控制器架构，最大可扩展到≥32个SAN控制器，本次配置≥2个控制器；（SAN控制器不包括外接虚拟化网关或者NAS控制器等）</w:t>
                  </w:r>
                </w:p>
                <w:p w14:paraId="1BBA2146">
                  <w:pPr>
                    <w:pStyle w:val="4"/>
                    <w:jc w:val="left"/>
                  </w:pPr>
                  <w:r>
                    <w:rPr>
                      <w:rFonts w:ascii="仿宋_GB2312" w:hAnsi="仿宋_GB2312" w:eastAsia="仿宋_GB2312" w:cs="仿宋_GB2312"/>
                      <w:sz w:val="18"/>
                    </w:rPr>
                    <w:t>4.▲控制器配置国产C86平台处理器，单颗处理器≥16核，主频≥2.5GHz，单颗CPU TDP≤160W；CPU符合中国信息安全测评中心要求（提供相关证明材料）。</w:t>
                  </w:r>
                </w:p>
                <w:p w14:paraId="4294D0F9">
                  <w:pPr>
                    <w:pStyle w:val="4"/>
                    <w:jc w:val="left"/>
                  </w:pPr>
                  <w:r>
                    <w:rPr>
                      <w:rFonts w:ascii="仿宋_GB2312" w:hAnsi="仿宋_GB2312" w:eastAsia="仿宋_GB2312" w:cs="仿宋_GB2312"/>
                      <w:sz w:val="18"/>
                    </w:rPr>
                    <w:t>5.配置32Gb FC接口≥8个（含模块），25GE接口≥8个（含模块），1GE接口≥2个；</w:t>
                  </w:r>
                </w:p>
                <w:p w14:paraId="2ED956B8">
                  <w:pPr>
                    <w:pStyle w:val="4"/>
                    <w:jc w:val="left"/>
                  </w:pPr>
                  <w:r>
                    <w:rPr>
                      <w:rFonts w:ascii="仿宋_GB2312" w:hAnsi="仿宋_GB2312" w:eastAsia="仿宋_GB2312" w:cs="仿宋_GB2312"/>
                      <w:sz w:val="18"/>
                    </w:rPr>
                    <w:t>6.配置高速缓存≥256GB，可升级扩展至1TB（缓存不包含SCM、SSD、闪存及NAS控制器缓存等）；配置缓存掉电保护功能；</w:t>
                  </w:r>
                </w:p>
                <w:p w14:paraId="6057E010">
                  <w:pPr>
                    <w:pStyle w:val="4"/>
                    <w:jc w:val="left"/>
                  </w:pPr>
                  <w:r>
                    <w:rPr>
                      <w:rFonts w:ascii="仿宋_GB2312" w:hAnsi="仿宋_GB2312" w:eastAsia="仿宋_GB2312" w:cs="仿宋_GB2312"/>
                      <w:sz w:val="18"/>
                    </w:rPr>
                    <w:t>7.配置企业级3.84TB NVMe SSD≥25块，20TB 7200转NL-SAS硬盘≥20块；RAID2.0、RAID-TP等虚拟化RAID技术；</w:t>
                  </w:r>
                </w:p>
                <w:p w14:paraId="7C8B5B45">
                  <w:pPr>
                    <w:pStyle w:val="4"/>
                    <w:jc w:val="left"/>
                  </w:pPr>
                  <w:r>
                    <w:rPr>
                      <w:rFonts w:ascii="仿宋_GB2312" w:hAnsi="仿宋_GB2312" w:eastAsia="仿宋_GB2312" w:cs="仿宋_GB2312"/>
                      <w:sz w:val="18"/>
                    </w:rPr>
                    <w:t>8.存储系统控制器冗余，在任意1个控制器故障时，业务仍然连续且单LUN无IO跌零；控制器在线升级，升级过程中前端业务运行正常，单LUN无IO跌零；</w:t>
                  </w:r>
                </w:p>
                <w:p w14:paraId="05EF74BB">
                  <w:pPr>
                    <w:pStyle w:val="4"/>
                    <w:jc w:val="left"/>
                  </w:pPr>
                  <w:r>
                    <w:rPr>
                      <w:rFonts w:ascii="仿宋_GB2312" w:hAnsi="仿宋_GB2312" w:eastAsia="仿宋_GB2312" w:cs="仿宋_GB2312"/>
                      <w:sz w:val="18"/>
                    </w:rPr>
                    <w:t>9.▲配置自动精简功能，存储空间超分配，精简回收颗粒度≤16KB，界面体现精简LUN使用率，以便于管理存储容量并进行扩容；（提供软件界面截图，加盖原厂有效印章）</w:t>
                  </w:r>
                </w:p>
                <w:p w14:paraId="7FBB2A3B">
                  <w:pPr>
                    <w:pStyle w:val="4"/>
                    <w:jc w:val="left"/>
                  </w:pPr>
                  <w:r>
                    <w:rPr>
                      <w:rFonts w:ascii="仿宋_GB2312" w:hAnsi="仿宋_GB2312" w:eastAsia="仿宋_GB2312" w:cs="仿宋_GB2312"/>
                      <w:sz w:val="18"/>
                    </w:rPr>
                    <w:t>10.双活功能，跨机房同城异地部署；单套存储在线扩容双活，扩容双活过程中业务不中断；</w:t>
                  </w:r>
                </w:p>
                <w:p w14:paraId="5BE112F8">
                  <w:pPr>
                    <w:pStyle w:val="4"/>
                    <w:jc w:val="left"/>
                  </w:pPr>
                  <w:r>
                    <w:rPr>
                      <w:rFonts w:ascii="仿宋_GB2312" w:hAnsi="仿宋_GB2312" w:eastAsia="仿宋_GB2312" w:cs="仿宋_GB2312"/>
                      <w:sz w:val="18"/>
                    </w:rPr>
                    <w:t>11.配置基于时间点的数据快照功能，要求存储设备同时支持COW及ROW快照，有效预防各种软故障的发生，单LUN快照数量≥2000个；</w:t>
                  </w:r>
                </w:p>
                <w:p w14:paraId="0C58959A">
                  <w:pPr>
                    <w:pStyle w:val="4"/>
                    <w:jc w:val="left"/>
                  </w:pPr>
                  <w:r>
                    <w:rPr>
                      <w:rFonts w:ascii="仿宋_GB2312" w:hAnsi="仿宋_GB2312" w:eastAsia="仿宋_GB2312" w:cs="仿宋_GB2312"/>
                      <w:sz w:val="18"/>
                    </w:rPr>
                    <w:t>12.S3协议访问，在同一个界面同时管理当前版本和历史版本的对象，包括对象的在线预览、下载、URL分享、元数据修改、访问权限设置；</w:t>
                  </w:r>
                </w:p>
                <w:p w14:paraId="1DEFEA76">
                  <w:pPr>
                    <w:pStyle w:val="4"/>
                    <w:jc w:val="left"/>
                  </w:pPr>
                  <w:r>
                    <w:rPr>
                      <w:rFonts w:ascii="仿宋_GB2312" w:hAnsi="仿宋_GB2312" w:eastAsia="仿宋_GB2312" w:cs="仿宋_GB2312"/>
                      <w:sz w:val="18"/>
                    </w:rPr>
                    <w:t>13.配置中文图形化管理平台软件，配置日志告警、指示灯告警、控制台告警、蜂鸣器告警、邮件告警功能；</w:t>
                  </w:r>
                </w:p>
                <w:p w14:paraId="5E89A693">
                  <w:pPr>
                    <w:pStyle w:val="4"/>
                    <w:jc w:val="left"/>
                  </w:pPr>
                  <w:r>
                    <w:rPr>
                      <w:rFonts w:ascii="仿宋_GB2312" w:hAnsi="仿宋_GB2312" w:eastAsia="仿宋_GB2312" w:cs="仿宋_GB2312"/>
                      <w:sz w:val="18"/>
                    </w:rPr>
                    <w:t>14.提供原厂安装和不少于3年的原厂质保服务，提供货物正规来源渠道证明材料。</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99D4657">
                  <w:pPr>
                    <w:pStyle w:val="4"/>
                    <w:jc w:val="center"/>
                  </w:pPr>
                  <w:r>
                    <w:rPr>
                      <w:rFonts w:ascii="仿宋_GB2312" w:hAnsi="仿宋_GB2312" w:eastAsia="仿宋_GB2312" w:cs="仿宋_GB2312"/>
                      <w:sz w:val="18"/>
                    </w:rPr>
                    <w:t>套</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ED59918">
                  <w:pPr>
                    <w:pStyle w:val="4"/>
                    <w:jc w:val="center"/>
                  </w:pPr>
                  <w:r>
                    <w:rPr>
                      <w:rFonts w:ascii="仿宋_GB2312" w:hAnsi="仿宋_GB2312" w:eastAsia="仿宋_GB2312" w:cs="仿宋_GB2312"/>
                      <w:sz w:val="18"/>
                    </w:rPr>
                    <w:t>1</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CFA2B7">
                  <w:pPr>
                    <w:pStyle w:val="4"/>
                    <w:jc w:val="center"/>
                  </w:pPr>
                </w:p>
              </w:tc>
            </w:tr>
            <w:tr w14:paraId="07062E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7F6695">
                  <w:pPr>
                    <w:pStyle w:val="4"/>
                    <w:jc w:val="right"/>
                  </w:pPr>
                  <w:r>
                    <w:rPr>
                      <w:rFonts w:ascii="仿宋_GB2312" w:hAnsi="仿宋_GB2312" w:eastAsia="仿宋_GB2312" w:cs="仿宋_GB2312"/>
                      <w:sz w:val="18"/>
                    </w:rPr>
                    <w:t>12</w:t>
                  </w:r>
                </w:p>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8ED91A">
                  <w:pPr>
                    <w:pStyle w:val="4"/>
                    <w:jc w:val="left"/>
                  </w:pPr>
                  <w:r>
                    <w:rPr>
                      <w:rFonts w:ascii="仿宋_GB2312" w:hAnsi="仿宋_GB2312" w:eastAsia="仿宋_GB2312" w:cs="仿宋_GB2312"/>
                      <w:sz w:val="18"/>
                    </w:rPr>
                    <w:t>光纤交换机授权扩容</w:t>
                  </w:r>
                </w:p>
              </w:tc>
              <w:tc>
                <w:tcPr>
                  <w:tcW w:w="3754" w:type="dxa"/>
                  <w:gridSpan w:val="2"/>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A2F310">
                  <w:pPr>
                    <w:pStyle w:val="4"/>
                    <w:jc w:val="left"/>
                  </w:pPr>
                  <w:r>
                    <w:rPr>
                      <w:rFonts w:ascii="仿宋_GB2312" w:hAnsi="仿宋_GB2312" w:eastAsia="仿宋_GB2312" w:cs="仿宋_GB2312"/>
                      <w:sz w:val="18"/>
                    </w:rPr>
                    <w:t>1.对现有光纤交换机进行24口激活授权加模块.</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A047C5">
                  <w:pPr>
                    <w:pStyle w:val="4"/>
                    <w:jc w:val="center"/>
                  </w:pPr>
                  <w:r>
                    <w:rPr>
                      <w:rFonts w:ascii="仿宋_GB2312" w:hAnsi="仿宋_GB2312" w:eastAsia="仿宋_GB2312" w:cs="仿宋_GB2312"/>
                      <w:b/>
                      <w:sz w:val="18"/>
                    </w:rPr>
                    <w:t>套</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E756B2">
                  <w:pPr>
                    <w:pStyle w:val="4"/>
                    <w:jc w:val="center"/>
                  </w:pPr>
                  <w:r>
                    <w:rPr>
                      <w:rFonts w:ascii="仿宋_GB2312" w:hAnsi="仿宋_GB2312" w:eastAsia="仿宋_GB2312" w:cs="仿宋_GB2312"/>
                      <w:b/>
                      <w:sz w:val="18"/>
                    </w:rPr>
                    <w:t>2</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4A12CB">
                  <w:pPr>
                    <w:pStyle w:val="4"/>
                    <w:jc w:val="center"/>
                  </w:pPr>
                </w:p>
              </w:tc>
            </w:tr>
            <w:tr w14:paraId="1F71EF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9316F9">
                  <w:pPr>
                    <w:pStyle w:val="4"/>
                    <w:jc w:val="right"/>
                  </w:pPr>
                  <w:r>
                    <w:rPr>
                      <w:rFonts w:ascii="仿宋_GB2312" w:hAnsi="仿宋_GB2312" w:eastAsia="仿宋_GB2312" w:cs="仿宋_GB2312"/>
                      <w:sz w:val="18"/>
                    </w:rPr>
                    <w:t>13</w:t>
                  </w:r>
                </w:p>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CAB0EA">
                  <w:pPr>
                    <w:pStyle w:val="4"/>
                    <w:jc w:val="left"/>
                  </w:pPr>
                  <w:r>
                    <w:rPr>
                      <w:rFonts w:ascii="仿宋_GB2312" w:hAnsi="仿宋_GB2312" w:eastAsia="仿宋_GB2312" w:cs="仿宋_GB2312"/>
                      <w:sz w:val="18"/>
                    </w:rPr>
                    <w:t>超融合虚拟化软件</w:t>
                  </w:r>
                </w:p>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07D886">
                  <w:pPr>
                    <w:pStyle w:val="4"/>
                    <w:jc w:val="left"/>
                  </w:pPr>
                  <w:r>
                    <w:rPr>
                      <w:rFonts w:ascii="仿宋_GB2312" w:hAnsi="仿宋_GB2312" w:eastAsia="仿宋_GB2312" w:cs="仿宋_GB2312"/>
                      <w:sz w:val="18"/>
                    </w:rPr>
                    <w:t>▲1.要求自主可控，应为完全自主研发品牌。</w:t>
                  </w:r>
                </w:p>
                <w:p w14:paraId="509C82CD">
                  <w:pPr>
                    <w:pStyle w:val="4"/>
                    <w:jc w:val="left"/>
                  </w:pPr>
                  <w:r>
                    <w:rPr>
                      <w:rFonts w:ascii="仿宋_GB2312" w:hAnsi="仿宋_GB2312" w:eastAsia="仿宋_GB2312" w:cs="仿宋_GB2312"/>
                      <w:b/>
                      <w:sz w:val="18"/>
                    </w:rPr>
                    <w:t>超融合管理平台：</w:t>
                  </w:r>
                </w:p>
                <w:p w14:paraId="74A3323C">
                  <w:pPr>
                    <w:pStyle w:val="4"/>
                    <w:jc w:val="left"/>
                  </w:pPr>
                  <w:r>
                    <w:rPr>
                      <w:rFonts w:ascii="仿宋_GB2312" w:hAnsi="仿宋_GB2312" w:eastAsia="仿宋_GB2312" w:cs="仿宋_GB2312"/>
                      <w:sz w:val="18"/>
                    </w:rPr>
                    <w:t>2.配置不少于10颗CPU计算虚拟化授权。</w:t>
                  </w:r>
                </w:p>
                <w:p w14:paraId="0AF9BDAB">
                  <w:pPr>
                    <w:pStyle w:val="4"/>
                    <w:jc w:val="left"/>
                  </w:pPr>
                  <w:r>
                    <w:rPr>
                      <w:rFonts w:ascii="仿宋_GB2312" w:hAnsi="仿宋_GB2312" w:eastAsia="仿宋_GB2312" w:cs="仿宋_GB2312"/>
                      <w:sz w:val="18"/>
                    </w:rPr>
                    <w:t>3.平台可提供初始化流程，登录管理节点即可向导化完成超融合产品节点、网络、存储的配置初始化，无需逐个节点登录进行配置，大大简化安装部署流程。</w:t>
                  </w:r>
                </w:p>
                <w:p w14:paraId="226FEA63">
                  <w:pPr>
                    <w:pStyle w:val="4"/>
                    <w:jc w:val="left"/>
                  </w:pPr>
                  <w:r>
                    <w:rPr>
                      <w:rFonts w:ascii="仿宋_GB2312" w:hAnsi="仿宋_GB2312" w:eastAsia="仿宋_GB2312" w:cs="仿宋_GB2312"/>
                      <w:sz w:val="18"/>
                    </w:rPr>
                    <w:t>4.健康巡检功能，用于快速查看超融合系统健康情况，包括系统运行状态检测、系统配置检测、硬件健康检测等。</w:t>
                  </w:r>
                </w:p>
                <w:p w14:paraId="28EF1312">
                  <w:pPr>
                    <w:pStyle w:val="4"/>
                    <w:jc w:val="left"/>
                  </w:pPr>
                  <w:r>
                    <w:rPr>
                      <w:rFonts w:ascii="仿宋_GB2312" w:hAnsi="仿宋_GB2312" w:eastAsia="仿宋_GB2312" w:cs="仿宋_GB2312"/>
                      <w:sz w:val="18"/>
                    </w:rPr>
                    <w:t>5.▲资源容量预测服务，内置时间序列模型，管理平台自动化数据检索预测，提供用户易用的数据预测服务，服务呈现实时的CPU、内存和存储容量资源使用数据信息展示，并给出基于AI机器学习算法预测CPU、内存和存储未来的预警提示，帮助用户做好资源扩容、成本预算等，提升业务可靠性，提供第三方检测报告证明并加盖原厂公章；</w:t>
                  </w:r>
                </w:p>
                <w:p w14:paraId="7D089505">
                  <w:pPr>
                    <w:pStyle w:val="4"/>
                    <w:jc w:val="left"/>
                  </w:pPr>
                  <w:r>
                    <w:rPr>
                      <w:rFonts w:ascii="仿宋_GB2312" w:hAnsi="仿宋_GB2312" w:eastAsia="仿宋_GB2312" w:cs="仿宋_GB2312"/>
                      <w:sz w:val="18"/>
                    </w:rPr>
                    <w:t>6.闲置资源分析，根据虚拟机连续的电源关闭时间、CPU利用率、磁盘IO及网络吞吐率等关键指标，自动识别并生成僵尸虚拟机、闲置虚拟机、虚拟机快照、孤立磁盘等资源状态列表，同时生成虚拟机扩缩容建议列表，提供资源可回收和可优化建议；</w:t>
                  </w:r>
                </w:p>
                <w:p w14:paraId="687BF77A">
                  <w:pPr>
                    <w:pStyle w:val="4"/>
                    <w:jc w:val="left"/>
                  </w:pPr>
                  <w:r>
                    <w:rPr>
                      <w:rFonts w:ascii="仿宋_GB2312" w:hAnsi="仿宋_GB2312" w:eastAsia="仿宋_GB2312" w:cs="仿宋_GB2312"/>
                      <w:sz w:val="18"/>
                    </w:rPr>
                    <w:t>7.故障级联诊断功能，虚拟化平台通过智能分析技术，对虚拟化环境中的虚拟机、主机、集群等资源的异常事件进行关联分析。</w:t>
                  </w:r>
                </w:p>
                <w:p w14:paraId="5909BFEF">
                  <w:pPr>
                    <w:pStyle w:val="4"/>
                    <w:jc w:val="left"/>
                  </w:pPr>
                  <w:r>
                    <w:rPr>
                      <w:rFonts w:ascii="仿宋_GB2312" w:hAnsi="仿宋_GB2312" w:eastAsia="仿宋_GB2312" w:cs="仿宋_GB2312"/>
                      <w:b/>
                      <w:sz w:val="18"/>
                    </w:rPr>
                    <w:t>计算虚拟化：</w:t>
                  </w:r>
                </w:p>
                <w:p w14:paraId="4D57FC17">
                  <w:pPr>
                    <w:pStyle w:val="4"/>
                    <w:jc w:val="left"/>
                  </w:pPr>
                  <w:r>
                    <w:rPr>
                      <w:rFonts w:ascii="仿宋_GB2312" w:hAnsi="仿宋_GB2312" w:eastAsia="仿宋_GB2312" w:cs="仿宋_GB2312"/>
                      <w:sz w:val="18"/>
                    </w:rPr>
                    <w:t>8.配置不少于10颗CPU计算虚拟化授权；</w:t>
                  </w:r>
                </w:p>
                <w:p w14:paraId="755EC7C0">
                  <w:pPr>
                    <w:pStyle w:val="4"/>
                    <w:jc w:val="left"/>
                  </w:pPr>
                  <w:r>
                    <w:rPr>
                      <w:rFonts w:ascii="仿宋_GB2312" w:hAnsi="仿宋_GB2312" w:eastAsia="仿宋_GB2312" w:cs="仿宋_GB2312"/>
                      <w:sz w:val="18"/>
                    </w:rPr>
                    <w:t>9.虚拟化软件兼容OpenStack Havana、Juno、Kilo、Mikata、Pike等主流版本，并能提供标准接口与OpenStack平滑对接；</w:t>
                  </w:r>
                </w:p>
                <w:p w14:paraId="58A4FEAB">
                  <w:pPr>
                    <w:pStyle w:val="4"/>
                    <w:jc w:val="left"/>
                  </w:pPr>
                  <w:r>
                    <w:rPr>
                      <w:rFonts w:ascii="仿宋_GB2312" w:hAnsi="仿宋_GB2312" w:eastAsia="仿宋_GB2312" w:cs="仿宋_GB2312"/>
                      <w:sz w:val="18"/>
                    </w:rPr>
                    <w:t>10.兼容现有市场上主流的存储阵列产品和存储协议，平台提供FC-SAN、iSCSI存储对接功能，利旧原有旧存储设备投资保护；</w:t>
                  </w:r>
                </w:p>
                <w:p w14:paraId="7D2F3539">
                  <w:pPr>
                    <w:pStyle w:val="4"/>
                    <w:jc w:val="left"/>
                  </w:pPr>
                  <w:r>
                    <w:rPr>
                      <w:rFonts w:ascii="仿宋_GB2312" w:hAnsi="仿宋_GB2312" w:eastAsia="仿宋_GB2312" w:cs="仿宋_GB2312"/>
                      <w:sz w:val="18"/>
                    </w:rPr>
                    <w:t>11.双向迁移操作，可将威 睿虚拟机迁移到超融合平台上，也可将超融合平台上的虚拟机迁移到威 睿 vCenter的集群中，迁移结束后的虚拟机可进行手动或自动重启操作；</w:t>
                  </w:r>
                </w:p>
                <w:p w14:paraId="42B6A525">
                  <w:pPr>
                    <w:pStyle w:val="4"/>
                    <w:jc w:val="left"/>
                  </w:pPr>
                  <w:r>
                    <w:rPr>
                      <w:rFonts w:ascii="仿宋_GB2312" w:hAnsi="仿宋_GB2312" w:eastAsia="仿宋_GB2312" w:cs="仿宋_GB2312"/>
                      <w:sz w:val="18"/>
                    </w:rPr>
                    <w:t>12.▲批量修改虚拟机的配置参数，包括：I/O优先级、启动优先级、是否自动迁移、CPU调度优先级、自动启动、CPU个数、内存大小、启用VNC代理、tools自动升级等，需提供证明材料加盖原厂公章。</w:t>
                  </w:r>
                </w:p>
                <w:p w14:paraId="45C0B9A0">
                  <w:pPr>
                    <w:pStyle w:val="4"/>
                    <w:jc w:val="left"/>
                  </w:pPr>
                  <w:r>
                    <w:rPr>
                      <w:rFonts w:ascii="仿宋_GB2312" w:hAnsi="仿宋_GB2312" w:eastAsia="仿宋_GB2312" w:cs="仿宋_GB2312"/>
                      <w:b/>
                      <w:sz w:val="18"/>
                    </w:rPr>
                    <w:t>存储虚拟化：</w:t>
                  </w:r>
                </w:p>
                <w:p w14:paraId="140D4F0A">
                  <w:pPr>
                    <w:pStyle w:val="4"/>
                    <w:jc w:val="left"/>
                  </w:pPr>
                  <w:r>
                    <w:rPr>
                      <w:rFonts w:ascii="仿宋_GB2312" w:hAnsi="仿宋_GB2312" w:eastAsia="仿宋_GB2312" w:cs="仿宋_GB2312"/>
                      <w:sz w:val="18"/>
                    </w:rPr>
                    <w:t>13.提供不少于10颗存储虚拟化授权，不限制存储容量；</w:t>
                  </w:r>
                </w:p>
                <w:p w14:paraId="1FB19A16">
                  <w:pPr>
                    <w:pStyle w:val="4"/>
                    <w:jc w:val="left"/>
                  </w:pPr>
                  <w:r>
                    <w:rPr>
                      <w:rFonts w:ascii="仿宋_GB2312" w:hAnsi="仿宋_GB2312" w:eastAsia="仿宋_GB2312" w:cs="仿宋_GB2312"/>
                      <w:sz w:val="18"/>
                    </w:rPr>
                    <w:t>14.多副本保护机制，多副本机制可选择2~6副本，标准的iSCSI协议，允许外部物理主机或应用通过标准的iSCSI接口访问虚拟存储；</w:t>
                  </w:r>
                </w:p>
                <w:p w14:paraId="7EDE83AF">
                  <w:pPr>
                    <w:pStyle w:val="4"/>
                    <w:jc w:val="left"/>
                  </w:pPr>
                  <w:r>
                    <w:rPr>
                      <w:rFonts w:ascii="仿宋_GB2312" w:hAnsi="仿宋_GB2312" w:eastAsia="仿宋_GB2312" w:cs="仿宋_GB2312"/>
                      <w:sz w:val="18"/>
                    </w:rPr>
                    <w:t>15.数据重建时平衡业务性能及数据重建效率，管理人员可以对其进行管理，避免业务造成影响；</w:t>
                  </w:r>
                </w:p>
                <w:p w14:paraId="7AE125C5">
                  <w:pPr>
                    <w:pStyle w:val="4"/>
                    <w:jc w:val="left"/>
                  </w:pPr>
                  <w:r>
                    <w:rPr>
                      <w:rFonts w:ascii="仿宋_GB2312" w:hAnsi="仿宋_GB2312" w:eastAsia="仿宋_GB2312" w:cs="仿宋_GB2312"/>
                      <w:sz w:val="18"/>
                    </w:rPr>
                    <w:t>16.MySQL单机或主从模式部署，SQL Server单机或AlwaysOn模式部署，Oracle单机或RAC模式部署；</w:t>
                  </w:r>
                </w:p>
                <w:p w14:paraId="77DC9120">
                  <w:pPr>
                    <w:pStyle w:val="4"/>
                    <w:jc w:val="left"/>
                  </w:pPr>
                  <w:r>
                    <w:rPr>
                      <w:rFonts w:ascii="仿宋_GB2312" w:hAnsi="仿宋_GB2312" w:eastAsia="仿宋_GB2312" w:cs="仿宋_GB2312"/>
                      <w:sz w:val="18"/>
                    </w:rPr>
                    <w:t>17.多个副本的容错机制，通过延伸集群的方式跨数据中心的数据双活，数据零丢失，业务分钟级别恢复，RPO=0；</w:t>
                  </w:r>
                </w:p>
                <w:p w14:paraId="2F07F6E4">
                  <w:pPr>
                    <w:pStyle w:val="4"/>
                    <w:jc w:val="left"/>
                  </w:pPr>
                  <w:r>
                    <w:rPr>
                      <w:rFonts w:ascii="仿宋_GB2312" w:hAnsi="仿宋_GB2312" w:eastAsia="仿宋_GB2312" w:cs="仿宋_GB2312"/>
                      <w:sz w:val="18"/>
                    </w:rPr>
                    <w:t>18.高性能纠删码特性，N+1到N+4的纠删码保护，任意4个节点故障而数据不丢失、系统不停机；</w:t>
                  </w:r>
                </w:p>
                <w:p w14:paraId="55407AAA">
                  <w:pPr>
                    <w:pStyle w:val="4"/>
                    <w:jc w:val="left"/>
                  </w:pPr>
                  <w:r>
                    <w:rPr>
                      <w:rFonts w:ascii="仿宋_GB2312" w:hAnsi="仿宋_GB2312" w:eastAsia="仿宋_GB2312" w:cs="仿宋_GB2312"/>
                      <w:sz w:val="18"/>
                    </w:rPr>
                    <w:t>19.▲磁盘或者节点故障之后无需人工干预,所有硬盘并发重构，提升重构效率，可以做到 ≤8min/TB,需提供证明材料加盖原厂公章。</w:t>
                  </w:r>
                </w:p>
                <w:p w14:paraId="64F15092">
                  <w:pPr>
                    <w:pStyle w:val="4"/>
                    <w:jc w:val="left"/>
                  </w:pPr>
                  <w:r>
                    <w:rPr>
                      <w:rFonts w:ascii="仿宋_GB2312" w:hAnsi="仿宋_GB2312" w:eastAsia="仿宋_GB2312" w:cs="仿宋_GB2312"/>
                      <w:b/>
                      <w:sz w:val="18"/>
                    </w:rPr>
                    <w:t>网络安全虚拟化：</w:t>
                  </w:r>
                </w:p>
                <w:p w14:paraId="51110E08">
                  <w:pPr>
                    <w:pStyle w:val="4"/>
                    <w:jc w:val="left"/>
                  </w:pPr>
                  <w:r>
                    <w:rPr>
                      <w:rFonts w:ascii="仿宋_GB2312" w:hAnsi="仿宋_GB2312" w:eastAsia="仿宋_GB2312" w:cs="仿宋_GB2312"/>
                      <w:sz w:val="18"/>
                    </w:rPr>
                    <w:t>20.提供不少于10颗网络安全虚拟化授权；</w:t>
                  </w:r>
                </w:p>
                <w:p w14:paraId="4C5302B9">
                  <w:pPr>
                    <w:pStyle w:val="4"/>
                    <w:jc w:val="left"/>
                  </w:pPr>
                  <w:r>
                    <w:rPr>
                      <w:rFonts w:ascii="仿宋_GB2312" w:hAnsi="仿宋_GB2312" w:eastAsia="仿宋_GB2312" w:cs="仿宋_GB2312"/>
                      <w:sz w:val="18"/>
                    </w:rPr>
                    <w:t>21.纳管、配置和监控物理交换机设备。验证超融合管理平台界面设置物理交换机LLDP功能开关、端口聚合等。不限制虚拟交换机、虚拟路由器创建数量，HA功能。</w:t>
                  </w:r>
                </w:p>
                <w:p w14:paraId="1F882A77">
                  <w:pPr>
                    <w:pStyle w:val="4"/>
                    <w:jc w:val="left"/>
                  </w:pPr>
                  <w:r>
                    <w:rPr>
                      <w:rFonts w:ascii="仿宋_GB2312" w:hAnsi="仿宋_GB2312" w:eastAsia="仿宋_GB2312" w:cs="仿宋_GB2312"/>
                      <w:sz w:val="18"/>
                    </w:rPr>
                    <w:t>22.提供分布式虚拟防火墙，提供实时拦截日志显示功能；查看宿主机正在使用的服务及端口号，并设置访问端口的IP范围，防止未授权的访问和攻击，保障平台安全性。</w:t>
                  </w:r>
                </w:p>
                <w:p w14:paraId="03B7519D">
                  <w:pPr>
                    <w:pStyle w:val="4"/>
                    <w:jc w:val="left"/>
                  </w:pPr>
                  <w:r>
                    <w:rPr>
                      <w:rFonts w:ascii="仿宋_GB2312" w:hAnsi="仿宋_GB2312" w:eastAsia="仿宋_GB2312" w:cs="仿宋_GB2312"/>
                      <w:sz w:val="18"/>
                    </w:rPr>
                    <w:t>23.网关、静态路由、ACL访问控制策略、端口映射、内网DNS等，控制虚拟机之间的网络访问能力，保障业务资源的安全性。</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EC7C97A">
                  <w:pPr>
                    <w:pStyle w:val="4"/>
                    <w:jc w:val="center"/>
                  </w:pPr>
                  <w:r>
                    <w:rPr>
                      <w:rFonts w:ascii="仿宋_GB2312" w:hAnsi="仿宋_GB2312" w:eastAsia="仿宋_GB2312" w:cs="仿宋_GB2312"/>
                      <w:sz w:val="18"/>
                    </w:rPr>
                    <w:t>套</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704C278">
                  <w:pPr>
                    <w:pStyle w:val="4"/>
                    <w:jc w:val="center"/>
                  </w:pPr>
                  <w:r>
                    <w:rPr>
                      <w:rFonts w:ascii="仿宋_GB2312" w:hAnsi="仿宋_GB2312" w:eastAsia="仿宋_GB2312" w:cs="仿宋_GB2312"/>
                      <w:sz w:val="18"/>
                    </w:rPr>
                    <w:t>1</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78BF5D">
                  <w:pPr>
                    <w:pStyle w:val="4"/>
                    <w:jc w:val="center"/>
                  </w:pPr>
                </w:p>
              </w:tc>
            </w:tr>
            <w:tr w14:paraId="768A65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59F202">
                  <w:pPr>
                    <w:pStyle w:val="4"/>
                    <w:jc w:val="right"/>
                  </w:pPr>
                  <w:r>
                    <w:rPr>
                      <w:rFonts w:ascii="仿宋_GB2312" w:hAnsi="仿宋_GB2312" w:eastAsia="仿宋_GB2312" w:cs="仿宋_GB2312"/>
                      <w:sz w:val="18"/>
                    </w:rPr>
                    <w:t>14</w:t>
                  </w:r>
                </w:p>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85CAB4">
                  <w:pPr>
                    <w:pStyle w:val="4"/>
                    <w:jc w:val="center"/>
                  </w:pPr>
                  <w:r>
                    <w:rPr>
                      <w:rFonts w:ascii="仿宋_GB2312" w:hAnsi="仿宋_GB2312" w:eastAsia="仿宋_GB2312" w:cs="仿宋_GB2312"/>
                      <w:sz w:val="18"/>
                    </w:rPr>
                    <w:t>服务器扩容</w:t>
                  </w:r>
                </w:p>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E79CED2">
                  <w:pPr>
                    <w:pStyle w:val="4"/>
                    <w:jc w:val="left"/>
                  </w:pPr>
                  <w:r>
                    <w:rPr>
                      <w:rFonts w:ascii="仿宋_GB2312" w:hAnsi="仿宋_GB2312" w:eastAsia="仿宋_GB2312" w:cs="仿宋_GB2312"/>
                      <w:sz w:val="18"/>
                    </w:rPr>
                    <w:t>1.现有计算存储服务器扩容（5台）：</w:t>
                  </w:r>
                </w:p>
                <w:p w14:paraId="1199850A">
                  <w:pPr>
                    <w:pStyle w:val="4"/>
                    <w:jc w:val="left"/>
                  </w:pPr>
                  <w:r>
                    <w:rPr>
                      <w:rFonts w:ascii="仿宋_GB2312" w:hAnsi="仿宋_GB2312" w:eastAsia="仿宋_GB2312" w:cs="仿宋_GB2312"/>
                      <w:sz w:val="18"/>
                    </w:rPr>
                    <w:t xml:space="preserve">    480GB 6G SATA 2.5in RI PM893 SSD UC硬盘*10块</w:t>
                  </w:r>
                </w:p>
                <w:p w14:paraId="5B9DEE05">
                  <w:pPr>
                    <w:pStyle w:val="4"/>
                    <w:ind w:left="540"/>
                    <w:jc w:val="left"/>
                  </w:pPr>
                  <w:r>
                    <w:rPr>
                      <w:rFonts w:ascii="仿宋_GB2312" w:hAnsi="仿宋_GB2312" w:eastAsia="仿宋_GB2312" w:cs="仿宋_GB2312"/>
                      <w:sz w:val="18"/>
                    </w:rPr>
                    <w:t>2端口16Gb光纤通道HBA卡(带两个SFP+ 模块)*5</w:t>
                  </w:r>
                </w:p>
                <w:p w14:paraId="4DCD6394">
                  <w:pPr>
                    <w:pStyle w:val="4"/>
                    <w:ind w:left="540"/>
                    <w:jc w:val="left"/>
                  </w:pPr>
                  <w:r>
                    <w:rPr>
                      <w:rFonts w:ascii="仿宋_GB2312" w:hAnsi="仿宋_GB2312" w:eastAsia="仿宋_GB2312" w:cs="仿宋_GB2312"/>
                      <w:sz w:val="18"/>
                    </w:rPr>
                    <w:t>2端口万兆网卡*5</w:t>
                  </w:r>
                </w:p>
                <w:p w14:paraId="6E798A99">
                  <w:pPr>
                    <w:pStyle w:val="4"/>
                    <w:jc w:val="left"/>
                  </w:pPr>
                  <w:r>
                    <w:rPr>
                      <w:rFonts w:ascii="仿宋_GB2312" w:hAnsi="仿宋_GB2312" w:eastAsia="仿宋_GB2312" w:cs="仿宋_GB2312"/>
                      <w:sz w:val="18"/>
                    </w:rPr>
                    <w:t>2.现有管理服务器1扩容（1台）：</w:t>
                  </w:r>
                </w:p>
                <w:p w14:paraId="35136250">
                  <w:pPr>
                    <w:pStyle w:val="4"/>
                    <w:jc w:val="left"/>
                  </w:pPr>
                  <w:r>
                    <w:rPr>
                      <w:rFonts w:ascii="仿宋_GB2312" w:hAnsi="仿宋_GB2312" w:eastAsia="仿宋_GB2312" w:cs="仿宋_GB2312"/>
                      <w:sz w:val="18"/>
                    </w:rPr>
                    <w:t xml:space="preserve">    480GB 6G SATA 2.5in RI PM893 SSD UC硬盘*2</w:t>
                  </w:r>
                </w:p>
                <w:p w14:paraId="6F662206">
                  <w:pPr>
                    <w:pStyle w:val="4"/>
                    <w:ind w:firstLine="360"/>
                    <w:jc w:val="left"/>
                  </w:pPr>
                  <w:r>
                    <w:rPr>
                      <w:rFonts w:ascii="仿宋_GB2312" w:hAnsi="仿宋_GB2312" w:eastAsia="仿宋_GB2312" w:cs="仿宋_GB2312"/>
                      <w:sz w:val="18"/>
                    </w:rPr>
                    <w:t>2端口16Gb光纤通道HBA卡(带两个SFP+ 模块)*1</w:t>
                  </w:r>
                </w:p>
                <w:p w14:paraId="00EAF0AE">
                  <w:pPr>
                    <w:pStyle w:val="4"/>
                    <w:jc w:val="left"/>
                  </w:pPr>
                  <w:r>
                    <w:rPr>
                      <w:rFonts w:ascii="仿宋_GB2312" w:hAnsi="仿宋_GB2312" w:eastAsia="仿宋_GB2312" w:cs="仿宋_GB2312"/>
                      <w:sz w:val="18"/>
                    </w:rPr>
                    <w:t>3.现有管理服务器2扩容（2台）：</w:t>
                  </w:r>
                </w:p>
                <w:p w14:paraId="2955FA7A">
                  <w:pPr>
                    <w:pStyle w:val="4"/>
                    <w:ind w:firstLine="360"/>
                    <w:jc w:val="left"/>
                  </w:pPr>
                  <w:r>
                    <w:rPr>
                      <w:rFonts w:ascii="仿宋_GB2312" w:hAnsi="仿宋_GB2312" w:eastAsia="仿宋_GB2312" w:cs="仿宋_GB2312"/>
                      <w:sz w:val="18"/>
                    </w:rPr>
                    <w:t>480GB 6G SATA 2.5in RI PM893 SSD UC硬盘*4</w:t>
                  </w:r>
                </w:p>
                <w:p w14:paraId="4DD5E6D1">
                  <w:pPr>
                    <w:pStyle w:val="4"/>
                    <w:ind w:firstLine="360"/>
                    <w:jc w:val="left"/>
                  </w:pPr>
                  <w:r>
                    <w:rPr>
                      <w:rFonts w:ascii="仿宋_GB2312" w:hAnsi="仿宋_GB2312" w:eastAsia="仿宋_GB2312" w:cs="仿宋_GB2312"/>
                      <w:sz w:val="18"/>
                    </w:rPr>
                    <w:t>2端口16Gb光纤通道HBA卡(带两个SFP+ 模块)*2</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C849CE">
                  <w:pPr>
                    <w:pStyle w:val="4"/>
                    <w:jc w:val="center"/>
                  </w:pPr>
                  <w:r>
                    <w:rPr>
                      <w:rFonts w:ascii="仿宋_GB2312" w:hAnsi="仿宋_GB2312" w:eastAsia="仿宋_GB2312" w:cs="仿宋_GB2312"/>
                      <w:sz w:val="18"/>
                    </w:rPr>
                    <w:t>项</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80F277">
                  <w:pPr>
                    <w:pStyle w:val="4"/>
                    <w:jc w:val="center"/>
                  </w:pPr>
                  <w:r>
                    <w:rPr>
                      <w:rFonts w:ascii="仿宋_GB2312" w:hAnsi="仿宋_GB2312" w:eastAsia="仿宋_GB2312" w:cs="仿宋_GB2312"/>
                      <w:sz w:val="18"/>
                    </w:rPr>
                    <w:t>1</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3541A0">
                  <w:pPr>
                    <w:pStyle w:val="4"/>
                    <w:jc w:val="center"/>
                  </w:pPr>
                </w:p>
              </w:tc>
            </w:tr>
            <w:tr w14:paraId="492709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611009">
                  <w:pPr>
                    <w:pStyle w:val="4"/>
                    <w:jc w:val="right"/>
                  </w:pPr>
                  <w:r>
                    <w:rPr>
                      <w:rFonts w:ascii="仿宋_GB2312" w:hAnsi="仿宋_GB2312" w:eastAsia="仿宋_GB2312" w:cs="仿宋_GB2312"/>
                      <w:sz w:val="18"/>
                    </w:rPr>
                    <w:t>15</w:t>
                  </w:r>
                </w:p>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22B0FD">
                  <w:pPr>
                    <w:pStyle w:val="4"/>
                    <w:jc w:val="center"/>
                  </w:pPr>
                  <w:r>
                    <w:rPr>
                      <w:rFonts w:ascii="仿宋_GB2312" w:hAnsi="仿宋_GB2312" w:eastAsia="仿宋_GB2312" w:cs="仿宋_GB2312"/>
                      <w:sz w:val="18"/>
                    </w:rPr>
                    <w:t>运维系统</w:t>
                  </w:r>
                </w:p>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F2C6BC">
                  <w:pPr>
                    <w:pStyle w:val="4"/>
                    <w:jc w:val="left"/>
                  </w:pPr>
                  <w:r>
                    <w:rPr>
                      <w:rFonts w:ascii="仿宋_GB2312" w:hAnsi="仿宋_GB2312" w:eastAsia="仿宋_GB2312" w:cs="仿宋_GB2312"/>
                      <w:sz w:val="18"/>
                    </w:rPr>
                    <w:t>技术要求</w:t>
                  </w:r>
                </w:p>
                <w:p w14:paraId="70CE3EAD">
                  <w:pPr>
                    <w:pStyle w:val="4"/>
                    <w:jc w:val="left"/>
                  </w:pPr>
                  <w:r>
                    <w:rPr>
                      <w:rFonts w:ascii="仿宋_GB2312" w:hAnsi="仿宋_GB2312" w:eastAsia="仿宋_GB2312" w:cs="仿宋_GB2312"/>
                      <w:sz w:val="18"/>
                    </w:rPr>
                    <w:t>1.▲Agent、SNMP、ODBC、IPMI、SSH 、TELNET、SEND、HTTP、JMX、脚本、计算型等监控方式，IPv4和IPv6地址的设备监控。</w:t>
                  </w:r>
                </w:p>
                <w:p w14:paraId="1B0FC2A7">
                  <w:pPr>
                    <w:pStyle w:val="4"/>
                    <w:jc w:val="left"/>
                  </w:pPr>
                  <w:r>
                    <w:rPr>
                      <w:rFonts w:ascii="仿宋_GB2312" w:hAnsi="仿宋_GB2312" w:eastAsia="仿宋_GB2312" w:cs="仿宋_GB2312"/>
                      <w:sz w:val="18"/>
                    </w:rPr>
                    <w:t>告警能力</w:t>
                  </w:r>
                </w:p>
                <w:p w14:paraId="3916D225">
                  <w:pPr>
                    <w:pStyle w:val="4"/>
                    <w:jc w:val="left"/>
                  </w:pPr>
                  <w:r>
                    <w:rPr>
                      <w:rFonts w:ascii="仿宋_GB2312" w:hAnsi="仿宋_GB2312" w:eastAsia="仿宋_GB2312" w:cs="仿宋_GB2312"/>
                      <w:sz w:val="18"/>
                    </w:rPr>
                    <w:t>2.告警关联阈值配置，可在告警详情快速配置监控项阈值，包括等级、持续次数、阈值大小、告警标题等信息。</w:t>
                  </w:r>
                </w:p>
                <w:p w14:paraId="3D1FA73E">
                  <w:pPr>
                    <w:pStyle w:val="4"/>
                    <w:jc w:val="left"/>
                  </w:pPr>
                  <w:r>
                    <w:rPr>
                      <w:rFonts w:ascii="仿宋_GB2312" w:hAnsi="仿宋_GB2312" w:eastAsia="仿宋_GB2312" w:cs="仿宋_GB2312"/>
                      <w:sz w:val="18"/>
                    </w:rPr>
                    <w:t>3.告警关联指标分析，告警产生时可查看相关联的指标信息，同时提供关联指标配置功能。</w:t>
                  </w:r>
                </w:p>
                <w:p w14:paraId="645D7BFF">
                  <w:pPr>
                    <w:pStyle w:val="4"/>
                    <w:jc w:val="left"/>
                  </w:pPr>
                  <w:r>
                    <w:rPr>
                      <w:rFonts w:ascii="仿宋_GB2312" w:hAnsi="仿宋_GB2312" w:eastAsia="仿宋_GB2312" w:cs="仿宋_GB2312"/>
                      <w:sz w:val="18"/>
                    </w:rPr>
                    <w:t>监控及AI要求</w:t>
                  </w:r>
                </w:p>
                <w:p w14:paraId="7B7E1093">
                  <w:pPr>
                    <w:pStyle w:val="4"/>
                    <w:jc w:val="left"/>
                  </w:pPr>
                  <w:r>
                    <w:rPr>
                      <w:rFonts w:ascii="仿宋_GB2312" w:hAnsi="仿宋_GB2312" w:eastAsia="仿宋_GB2312" w:cs="仿宋_GB2312"/>
                      <w:sz w:val="18"/>
                    </w:rPr>
                    <w:t>4.按模板或自定义方式配置监控项，监控项批量启动、删除、禁用等操作。</w:t>
                  </w:r>
                  <w:r>
                    <w:br w:type="textWrapping"/>
                  </w:r>
                  <w:r>
                    <w:rPr>
                      <w:rFonts w:ascii="仿宋_GB2312" w:hAnsi="仿宋_GB2312" w:eastAsia="仿宋_GB2312" w:cs="仿宋_GB2312"/>
                      <w:sz w:val="18"/>
                    </w:rPr>
                    <w:t xml:space="preserve"> 5.针对用户查询的指标，AI自动分析该指标的近期使用率、最新值、最大值、平均值等多维度统计数据，并输出结论性评估，判断该指标的健康状态。</w:t>
                  </w:r>
                  <w:r>
                    <w:br w:type="textWrapping"/>
                  </w:r>
                  <w:r>
                    <w:rPr>
                      <w:rFonts w:ascii="仿宋_GB2312" w:hAnsi="仿宋_GB2312" w:eastAsia="仿宋_GB2312" w:cs="仿宋_GB2312"/>
                      <w:sz w:val="18"/>
                    </w:rPr>
                    <w:t xml:space="preserve"> 6.自定义配置CoT场景，打通监控、告警等数据，可通过场景描述一键AI生成Prompt提示词以及灵活插入数据表达式，执行时可选择单条、多条以及全部数据。（提供产品截图）</w:t>
                  </w:r>
                </w:p>
                <w:p w14:paraId="408152C4">
                  <w:pPr>
                    <w:pStyle w:val="4"/>
                    <w:jc w:val="left"/>
                  </w:pPr>
                  <w:r>
                    <w:rPr>
                      <w:rFonts w:ascii="仿宋_GB2312" w:hAnsi="仿宋_GB2312" w:eastAsia="仿宋_GB2312" w:cs="仿宋_GB2312"/>
                      <w:sz w:val="18"/>
                    </w:rPr>
                    <w:t>链路监控</w:t>
                  </w:r>
                </w:p>
                <w:p w14:paraId="10D62C40">
                  <w:pPr>
                    <w:pStyle w:val="4"/>
                    <w:jc w:val="left"/>
                  </w:pPr>
                  <w:r>
                    <w:rPr>
                      <w:rFonts w:ascii="仿宋_GB2312" w:hAnsi="仿宋_GB2312" w:eastAsia="仿宋_GB2312" w:cs="仿宋_GB2312"/>
                      <w:sz w:val="18"/>
                    </w:rPr>
                    <w:t>7.▲提供专线链路监控功能，NAQ探测、ICMP探测、SLA服务等级、Proxy代理监控，监控指标包括：带宽利用率、速率、时延、抖动、丢包率等（提供产品截图）</w:t>
                  </w:r>
                </w:p>
                <w:p w14:paraId="7E23BDBD">
                  <w:pPr>
                    <w:pStyle w:val="4"/>
                    <w:jc w:val="left"/>
                  </w:pPr>
                  <w:r>
                    <w:rPr>
                      <w:rFonts w:ascii="仿宋_GB2312" w:hAnsi="仿宋_GB2312" w:eastAsia="仿宋_GB2312" w:cs="仿宋_GB2312"/>
                      <w:sz w:val="18"/>
                    </w:rPr>
                    <w:t>8.查看近30天带宽利用率超阈值次数和链路中断次数。</w:t>
                  </w:r>
                </w:p>
                <w:p w14:paraId="3DF690CC">
                  <w:pPr>
                    <w:pStyle w:val="4"/>
                    <w:jc w:val="left"/>
                  </w:pPr>
                  <w:r>
                    <w:rPr>
                      <w:rFonts w:ascii="仿宋_GB2312" w:hAnsi="仿宋_GB2312" w:eastAsia="仿宋_GB2312" w:cs="仿宋_GB2312"/>
                      <w:sz w:val="18"/>
                    </w:rPr>
                    <w:t>知识库</w:t>
                  </w:r>
                </w:p>
                <w:p w14:paraId="499C510E">
                  <w:pPr>
                    <w:pStyle w:val="4"/>
                    <w:jc w:val="left"/>
                  </w:pPr>
                  <w:r>
                    <w:rPr>
                      <w:rFonts w:ascii="仿宋_GB2312" w:hAnsi="仿宋_GB2312" w:eastAsia="仿宋_GB2312" w:cs="仿宋_GB2312"/>
                      <w:sz w:val="18"/>
                    </w:rPr>
                    <w:t>9.提供树形结构展示知识分类，自定义配置知识目录，可通过富文本、Markdown格式创建知识。</w:t>
                  </w:r>
                </w:p>
                <w:p w14:paraId="0D4AA73A">
                  <w:pPr>
                    <w:pStyle w:val="4"/>
                    <w:jc w:val="left"/>
                  </w:pPr>
                  <w:r>
                    <w:rPr>
                      <w:rFonts w:ascii="仿宋_GB2312" w:hAnsi="仿宋_GB2312" w:eastAsia="仿宋_GB2312" w:cs="仿宋_GB2312"/>
                      <w:sz w:val="18"/>
                    </w:rPr>
                    <w:t>10.提供知识权限功能，可按用户、角色配置知识的编辑、删除操作。</w:t>
                  </w:r>
                </w:p>
                <w:p w14:paraId="7E0D5344">
                  <w:pPr>
                    <w:pStyle w:val="4"/>
                    <w:jc w:val="left"/>
                  </w:pPr>
                  <w:r>
                    <w:rPr>
                      <w:rFonts w:ascii="仿宋_GB2312" w:hAnsi="仿宋_GB2312" w:eastAsia="仿宋_GB2312" w:cs="仿宋_GB2312"/>
                      <w:sz w:val="18"/>
                    </w:rPr>
                    <w:t>11.提供知识分词维护功能，基于分词库，精准告警与知识的关联匹配。</w:t>
                  </w:r>
                </w:p>
                <w:p w14:paraId="6176406C">
                  <w:pPr>
                    <w:pStyle w:val="4"/>
                    <w:jc w:val="left"/>
                  </w:pPr>
                  <w:r>
                    <w:rPr>
                      <w:rFonts w:ascii="仿宋_GB2312" w:hAnsi="仿宋_GB2312" w:eastAsia="仿宋_GB2312" w:cs="仿宋_GB2312"/>
                      <w:sz w:val="18"/>
                    </w:rPr>
                    <w:t>可视化能力</w:t>
                  </w:r>
                </w:p>
                <w:p w14:paraId="3E0928EE">
                  <w:pPr>
                    <w:pStyle w:val="4"/>
                    <w:jc w:val="left"/>
                  </w:pPr>
                  <w:r>
                    <w:rPr>
                      <w:rFonts w:ascii="仿宋_GB2312" w:hAnsi="仿宋_GB2312" w:eastAsia="仿宋_GB2312" w:cs="仿宋_GB2312"/>
                      <w:sz w:val="18"/>
                    </w:rPr>
                    <w:t>12.提供投屏视图功能，用户可自定义配置视图大屏，平台至少内置10种以上常见布局，同时自定义拖拽界面布局。</w:t>
                  </w:r>
                </w:p>
                <w:p w14:paraId="350E35C4">
                  <w:pPr>
                    <w:pStyle w:val="4"/>
                    <w:jc w:val="left"/>
                  </w:pPr>
                  <w:r>
                    <w:rPr>
                      <w:rFonts w:ascii="仿宋_GB2312" w:hAnsi="仿宋_GB2312" w:eastAsia="仿宋_GB2312" w:cs="仿宋_GB2312"/>
                      <w:sz w:val="18"/>
                    </w:rPr>
                    <w:t>13.自定义设置投屏轮播，提供自定义上传背景图片、大屏复制、粘贴、剪切等功能。</w:t>
                  </w:r>
                </w:p>
                <w:p w14:paraId="6109ED86">
                  <w:pPr>
                    <w:pStyle w:val="4"/>
                    <w:jc w:val="left"/>
                  </w:pPr>
                  <w:r>
                    <w:rPr>
                      <w:rFonts w:ascii="仿宋_GB2312" w:hAnsi="仿宋_GB2312" w:eastAsia="仿宋_GB2312" w:cs="仿宋_GB2312"/>
                      <w:sz w:val="18"/>
                    </w:rPr>
                    <w:t>网咯拓扑</w:t>
                  </w:r>
                </w:p>
                <w:p w14:paraId="1F6D8719">
                  <w:pPr>
                    <w:pStyle w:val="4"/>
                    <w:jc w:val="left"/>
                  </w:pPr>
                  <w:r>
                    <w:rPr>
                      <w:rFonts w:ascii="仿宋_GB2312" w:hAnsi="仿宋_GB2312" w:eastAsia="仿宋_GB2312" w:cs="仿宋_GB2312"/>
                      <w:sz w:val="18"/>
                    </w:rPr>
                    <w:t>14.自动发现网络拓扑，发现过程中可开启服务器\存储的设备发现，以及终端设备自动分层；同时Proxy方式发现。</w:t>
                  </w:r>
                </w:p>
                <w:p w14:paraId="74B878EC">
                  <w:pPr>
                    <w:pStyle w:val="4"/>
                    <w:jc w:val="left"/>
                  </w:pPr>
                  <w:r>
                    <w:rPr>
                      <w:rFonts w:ascii="仿宋_GB2312" w:hAnsi="仿宋_GB2312" w:eastAsia="仿宋_GB2312" w:cs="仿宋_GB2312"/>
                      <w:sz w:val="18"/>
                    </w:rPr>
                    <w:t>15.添加拓扑图例，同时图例可绑定其他拓扑及节点对象。</w:t>
                  </w:r>
                </w:p>
                <w:p w14:paraId="18F272F0">
                  <w:pPr>
                    <w:pStyle w:val="4"/>
                    <w:jc w:val="left"/>
                  </w:pPr>
                  <w:r>
                    <w:rPr>
                      <w:rFonts w:ascii="仿宋_GB2312" w:hAnsi="仿宋_GB2312" w:eastAsia="仿宋_GB2312" w:cs="仿宋_GB2312"/>
                      <w:sz w:val="18"/>
                    </w:rPr>
                    <w:t>16.拓扑节点右键操作，可修改别名、查看端口信息、IP信息、Ping、Traceroute、隐藏节点、移除节点、替换图标等操作。</w:t>
                  </w:r>
                </w:p>
                <w:p w14:paraId="18719BD8">
                  <w:pPr>
                    <w:pStyle w:val="4"/>
                    <w:jc w:val="left"/>
                  </w:pPr>
                  <w:r>
                    <w:rPr>
                      <w:rFonts w:ascii="仿宋_GB2312" w:hAnsi="仿宋_GB2312" w:eastAsia="仿宋_GB2312" w:cs="仿宋_GB2312"/>
                      <w:sz w:val="18"/>
                    </w:rPr>
                    <w:t>业务洞察</w:t>
                  </w:r>
                </w:p>
                <w:p w14:paraId="6293CB3B">
                  <w:pPr>
                    <w:pStyle w:val="4"/>
                    <w:jc w:val="left"/>
                  </w:pPr>
                  <w:r>
                    <w:rPr>
                      <w:rFonts w:ascii="仿宋_GB2312" w:hAnsi="仿宋_GB2312" w:eastAsia="仿宋_GB2312" w:cs="仿宋_GB2312"/>
                      <w:sz w:val="18"/>
                    </w:rPr>
                    <w:t>17.▲提供业务拓扑自动发现功能，通过输入IP、发现层级即可自动发现业务主机、端口、应用进程之间的关系，以及关联的虚拟化、连接的网络设备等信息。（提供产品截图）</w:t>
                  </w:r>
                </w:p>
                <w:p w14:paraId="2328A164">
                  <w:pPr>
                    <w:pStyle w:val="4"/>
                    <w:jc w:val="left"/>
                  </w:pPr>
                  <w:r>
                    <w:rPr>
                      <w:rFonts w:ascii="仿宋_GB2312" w:hAnsi="仿宋_GB2312" w:eastAsia="仿宋_GB2312" w:cs="仿宋_GB2312"/>
                      <w:sz w:val="18"/>
                    </w:rPr>
                    <w:t>18.提供业务应用进程监控能力，当业务进程停止时可触发告警；查看进程名称、进程描述、进程路径、关联端口等信息。</w:t>
                  </w:r>
                </w:p>
                <w:p w14:paraId="629E3EFA">
                  <w:pPr>
                    <w:pStyle w:val="4"/>
                    <w:jc w:val="left"/>
                  </w:pPr>
                  <w:r>
                    <w:rPr>
                      <w:rFonts w:ascii="仿宋_GB2312" w:hAnsi="仿宋_GB2312" w:eastAsia="仿宋_GB2312" w:cs="仿宋_GB2312"/>
                      <w:sz w:val="18"/>
                    </w:rPr>
                    <w:t>报表管理</w:t>
                  </w:r>
                </w:p>
                <w:p w14:paraId="4A2B68C5">
                  <w:pPr>
                    <w:pStyle w:val="4"/>
                    <w:jc w:val="left"/>
                  </w:pPr>
                  <w:r>
                    <w:rPr>
                      <w:rFonts w:ascii="仿宋_GB2312" w:hAnsi="仿宋_GB2312" w:eastAsia="仿宋_GB2312" w:cs="仿宋_GB2312"/>
                      <w:sz w:val="18"/>
                    </w:rPr>
                    <w:t>19.提供主机性能报表，自动鉴别僵尸机器、不跑业务主机，通过最大值、最小值、平均值等方式过滤低负载主机。（提供产品截图）</w:t>
                  </w:r>
                </w:p>
                <w:p w14:paraId="4D877CA1">
                  <w:pPr>
                    <w:pStyle w:val="4"/>
                    <w:jc w:val="left"/>
                  </w:pPr>
                  <w:r>
                    <w:rPr>
                      <w:rFonts w:ascii="仿宋_GB2312" w:hAnsi="仿宋_GB2312" w:eastAsia="仿宋_GB2312" w:cs="仿宋_GB2312"/>
                      <w:sz w:val="18"/>
                    </w:rPr>
                    <w:t>20.▲提供自定义报表功能，拖拉拽方式布局报表，报表组件包含：监控总览、指标TOPN图、仪表盘、折线图、环形图、柱状图、饼图、告警清单、告警分类统计、告警级别统计、对象告警TOPN、触发器告警topN等10多种。</w:t>
                  </w:r>
                </w:p>
                <w:p w14:paraId="4B8D059C">
                  <w:pPr>
                    <w:pStyle w:val="4"/>
                    <w:jc w:val="left"/>
                  </w:pPr>
                  <w:r>
                    <w:rPr>
                      <w:rFonts w:ascii="仿宋_GB2312" w:hAnsi="仿宋_GB2312" w:eastAsia="仿宋_GB2312" w:cs="仿宋_GB2312"/>
                      <w:sz w:val="18"/>
                    </w:rPr>
                    <w:t>操作审计</w:t>
                  </w:r>
                </w:p>
                <w:p w14:paraId="40EBAC04">
                  <w:pPr>
                    <w:pStyle w:val="4"/>
                    <w:jc w:val="left"/>
                  </w:pPr>
                  <w:r>
                    <w:rPr>
                      <w:rFonts w:ascii="仿宋_GB2312" w:hAnsi="仿宋_GB2312" w:eastAsia="仿宋_GB2312" w:cs="仿宋_GB2312"/>
                      <w:sz w:val="18"/>
                    </w:rPr>
                    <w:t>21.提供操作日志记录功能，可针对时间、操作人、IP地址、所属模块、涉及资源、动作、操作描述以及细节详情进行记录</w:t>
                  </w:r>
                </w:p>
                <w:p w14:paraId="0C53CD17">
                  <w:pPr>
                    <w:pStyle w:val="4"/>
                    <w:jc w:val="left"/>
                  </w:pPr>
                  <w:r>
                    <w:rPr>
                      <w:rFonts w:ascii="仿宋_GB2312" w:hAnsi="仿宋_GB2312" w:eastAsia="仿宋_GB2312" w:cs="仿宋_GB2312"/>
                      <w:sz w:val="18"/>
                    </w:rPr>
                    <w:t>22.按时间、操作人、IP地址、操作描述、操作人动作、所属模块进行历史操作信息的朔源</w:t>
                  </w:r>
                </w:p>
                <w:p w14:paraId="08219837">
                  <w:pPr>
                    <w:pStyle w:val="4"/>
                    <w:jc w:val="left"/>
                  </w:pPr>
                  <w:r>
                    <w:rPr>
                      <w:rFonts w:ascii="仿宋_GB2312" w:hAnsi="仿宋_GB2312" w:eastAsia="仿宋_GB2312" w:cs="仿宋_GB2312"/>
                      <w:sz w:val="18"/>
                    </w:rPr>
                    <w:t>管理设置</w:t>
                  </w:r>
                </w:p>
                <w:p w14:paraId="38DD60D3">
                  <w:pPr>
                    <w:pStyle w:val="4"/>
                    <w:jc w:val="left"/>
                  </w:pPr>
                  <w:r>
                    <w:rPr>
                      <w:rFonts w:ascii="仿宋_GB2312" w:hAnsi="仿宋_GB2312" w:eastAsia="仿宋_GB2312" w:cs="仿宋_GB2312"/>
                      <w:sz w:val="18"/>
                    </w:rPr>
                    <w:t>23.对远程登录、脚本操作设置安全操作周期，并限制用户或角色。</w:t>
                  </w:r>
                </w:p>
                <w:p w14:paraId="078BA369">
                  <w:pPr>
                    <w:pStyle w:val="4"/>
                    <w:jc w:val="left"/>
                  </w:pPr>
                  <w:r>
                    <w:rPr>
                      <w:rFonts w:ascii="仿宋_GB2312" w:hAnsi="仿宋_GB2312" w:eastAsia="仿宋_GB2312" w:cs="仿宋_GB2312"/>
                      <w:sz w:val="18"/>
                    </w:rPr>
                    <w:t>24.对端口信息进行初始化配置，IPv4、ST、TCP、UDP等120+协议。</w:t>
                  </w:r>
                </w:p>
                <w:p w14:paraId="17DB2605">
                  <w:pPr>
                    <w:pStyle w:val="4"/>
                    <w:jc w:val="left"/>
                  </w:pPr>
                  <w:r>
                    <w:rPr>
                      <w:rFonts w:ascii="仿宋_GB2312" w:hAnsi="仿宋_GB2312" w:eastAsia="仿宋_GB2312" w:cs="仿宋_GB2312"/>
                      <w:sz w:val="18"/>
                    </w:rPr>
                    <w:t>数据权限</w:t>
                  </w:r>
                </w:p>
                <w:p w14:paraId="19D14A2C">
                  <w:pPr>
                    <w:pStyle w:val="4"/>
                    <w:jc w:val="left"/>
                  </w:pPr>
                  <w:r>
                    <w:rPr>
                      <w:rFonts w:ascii="仿宋_GB2312" w:hAnsi="仿宋_GB2312" w:eastAsia="仿宋_GB2312" w:cs="仿宋_GB2312"/>
                      <w:sz w:val="18"/>
                    </w:rPr>
                    <w:t>25.按角色或用户两种方式进行分配监控对象以及链路对象</w:t>
                  </w:r>
                </w:p>
                <w:p w14:paraId="060DEBC0">
                  <w:pPr>
                    <w:pStyle w:val="4"/>
                    <w:jc w:val="left"/>
                  </w:pPr>
                  <w:r>
                    <w:rPr>
                      <w:rFonts w:ascii="仿宋_GB2312" w:hAnsi="仿宋_GB2312" w:eastAsia="仿宋_GB2312" w:cs="仿宋_GB2312"/>
                      <w:sz w:val="18"/>
                    </w:rPr>
                    <w:t>26.分配时可选择按类型、按分组、按标签以及按对象进行批量操作；其中按类型分配时，直接授权全部对象或按条件（分组、子类型）细分；按对象分配批量添加、移除对象。</w:t>
                  </w:r>
                </w:p>
                <w:p w14:paraId="3608FC4F">
                  <w:pPr>
                    <w:pStyle w:val="4"/>
                    <w:jc w:val="left"/>
                  </w:pPr>
                  <w:r>
                    <w:rPr>
                      <w:rFonts w:ascii="仿宋_GB2312" w:hAnsi="仿宋_GB2312" w:eastAsia="仿宋_GB2312" w:cs="仿宋_GB2312"/>
                      <w:sz w:val="18"/>
                    </w:rPr>
                    <w:t>产品配置</w:t>
                  </w:r>
                </w:p>
                <w:p w14:paraId="7F8A6C68">
                  <w:pPr>
                    <w:pStyle w:val="4"/>
                    <w:jc w:val="left"/>
                  </w:pPr>
                  <w:r>
                    <w:rPr>
                      <w:rFonts w:ascii="仿宋_GB2312" w:hAnsi="仿宋_GB2312" w:eastAsia="仿宋_GB2312" w:cs="仿宋_GB2312"/>
                      <w:sz w:val="18"/>
                    </w:rPr>
                    <w:t>27.配置资源授权≥600个节点，包含监控中心，业务洞察，网络管理，知识库、运维驾驶舱、报表管理功能。</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016C18">
                  <w:pPr>
                    <w:pStyle w:val="4"/>
                    <w:jc w:val="center"/>
                  </w:pPr>
                  <w:r>
                    <w:rPr>
                      <w:rFonts w:ascii="仿宋_GB2312" w:hAnsi="仿宋_GB2312" w:eastAsia="仿宋_GB2312" w:cs="仿宋_GB2312"/>
                      <w:sz w:val="18"/>
                    </w:rPr>
                    <w:t>套</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9E14E0">
                  <w:pPr>
                    <w:pStyle w:val="4"/>
                    <w:jc w:val="center"/>
                  </w:pPr>
                  <w:r>
                    <w:rPr>
                      <w:rFonts w:ascii="仿宋_GB2312" w:hAnsi="仿宋_GB2312" w:eastAsia="仿宋_GB2312" w:cs="仿宋_GB2312"/>
                      <w:sz w:val="18"/>
                    </w:rPr>
                    <w:t>1</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403486">
                  <w:pPr>
                    <w:pStyle w:val="4"/>
                    <w:jc w:val="center"/>
                  </w:pPr>
                </w:p>
              </w:tc>
            </w:tr>
            <w:tr w14:paraId="78B75C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636E3D">
                  <w:pPr>
                    <w:pStyle w:val="4"/>
                    <w:jc w:val="right"/>
                  </w:pPr>
                  <w:r>
                    <w:rPr>
                      <w:rFonts w:ascii="仿宋_GB2312" w:hAnsi="仿宋_GB2312" w:eastAsia="仿宋_GB2312" w:cs="仿宋_GB2312"/>
                      <w:sz w:val="18"/>
                    </w:rPr>
                    <w:t>16</w:t>
                  </w:r>
                </w:p>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431866">
                  <w:pPr>
                    <w:pStyle w:val="4"/>
                    <w:jc w:val="left"/>
                  </w:pPr>
                  <w:r>
                    <w:rPr>
                      <w:rFonts w:ascii="仿宋_GB2312" w:hAnsi="仿宋_GB2312" w:eastAsia="仿宋_GB2312" w:cs="仿宋_GB2312"/>
                      <w:sz w:val="18"/>
                    </w:rPr>
                    <w:t>备份系统</w:t>
                  </w:r>
                </w:p>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779B843">
                  <w:pPr>
                    <w:pStyle w:val="4"/>
                    <w:jc w:val="left"/>
                  </w:pPr>
                  <w:r>
                    <w:rPr>
                      <w:rFonts w:ascii="仿宋_GB2312" w:hAnsi="仿宋_GB2312" w:eastAsia="仿宋_GB2312" w:cs="仿宋_GB2312"/>
                      <w:sz w:val="18"/>
                    </w:rPr>
                    <w:t>1.▲品牌要求：自主创新国产品牌，软件具有自主研发能力，提供相关软件的著作权登记证书。提供网络安全专用产品安全检测证书、国家信息安全产品认证证书、国家保密测评中心涉密信息系统产品检测证书。</w:t>
                  </w:r>
                </w:p>
                <w:p w14:paraId="1C14E284">
                  <w:pPr>
                    <w:pStyle w:val="4"/>
                    <w:jc w:val="left"/>
                  </w:pPr>
                  <w:r>
                    <w:rPr>
                      <w:rFonts w:ascii="仿宋_GB2312" w:hAnsi="仿宋_GB2312" w:eastAsia="仿宋_GB2312" w:cs="仿宋_GB2312"/>
                      <w:sz w:val="18"/>
                    </w:rPr>
                    <w:t>2.软件功能配置：纯软部署，配置≥200TB永久定时备份许可；备份软件不限制备份客户端数量，软件包含各类物理机、虚拟机、云主机的各类应用与数据的备份与恢复，重复数据删除，远程复制等功能；数据备份至本地磁盘、SAN存储、ZFS存储、NAS存储、NAS-NDMP存储、S3对象存储、重删存储、磁带库等介质设备。</w:t>
                  </w:r>
                </w:p>
                <w:p w14:paraId="761DCC13">
                  <w:pPr>
                    <w:pStyle w:val="4"/>
                    <w:jc w:val="left"/>
                  </w:pPr>
                  <w:r>
                    <w:rPr>
                      <w:rFonts w:ascii="仿宋_GB2312" w:hAnsi="仿宋_GB2312" w:eastAsia="仿宋_GB2312" w:cs="仿宋_GB2312"/>
                      <w:sz w:val="18"/>
                    </w:rPr>
                    <w:t>3.系统架构：一对一、一对多以及多对一等多种异地灾备，最大限度满足多分支机构的异地数据灾备需求；并同步策略数据校验机制，本地恢复及异地恢复。</w:t>
                  </w:r>
                </w:p>
                <w:p w14:paraId="3220628D">
                  <w:pPr>
                    <w:pStyle w:val="4"/>
                    <w:jc w:val="left"/>
                  </w:pPr>
                  <w:r>
                    <w:rPr>
                      <w:rFonts w:ascii="仿宋_GB2312" w:hAnsi="仿宋_GB2312" w:eastAsia="仿宋_GB2312" w:cs="仿宋_GB2312"/>
                      <w:sz w:val="18"/>
                    </w:rPr>
                    <w:t>4.数据库备份：配置Oracle/MySQL/SQLServer/PostgreSQL及国产达梦、电科金仓、南大通、华为GaussDB等主流数据库的备份和恢复。</w:t>
                  </w:r>
                </w:p>
                <w:p w14:paraId="2BB593ED">
                  <w:pPr>
                    <w:pStyle w:val="4"/>
                    <w:jc w:val="left"/>
                  </w:pPr>
                  <w:r>
                    <w:rPr>
                      <w:rFonts w:ascii="仿宋_GB2312" w:hAnsi="仿宋_GB2312" w:eastAsia="仿宋_GB2312" w:cs="仿宋_GB2312"/>
                      <w:sz w:val="18"/>
                    </w:rPr>
                    <w:t>5.主机备份：配置主流操作系统的全服务器备份和恢复功能，提供文件级和磁盘块级两种整机备份技术。</w:t>
                  </w:r>
                </w:p>
                <w:p w14:paraId="7BE35BDF">
                  <w:pPr>
                    <w:pStyle w:val="4"/>
                    <w:jc w:val="left"/>
                  </w:pPr>
                  <w:r>
                    <w:rPr>
                      <w:rFonts w:ascii="仿宋_GB2312" w:hAnsi="仿宋_GB2312" w:eastAsia="仿宋_GB2312" w:cs="仿宋_GB2312"/>
                      <w:sz w:val="18"/>
                    </w:rPr>
                    <w:t>6.虚拟化和云平台数据备份：配置Hyper-V、威 睿、华为HCS、新华三CAS、OpenStack、深信服等虚拟化环境的虚拟机备份与恢复功能。</w:t>
                  </w:r>
                </w:p>
                <w:p w14:paraId="13DFBC9E">
                  <w:pPr>
                    <w:pStyle w:val="4"/>
                    <w:jc w:val="left"/>
                  </w:pPr>
                  <w:r>
                    <w:rPr>
                      <w:rFonts w:ascii="仿宋_GB2312" w:hAnsi="仿宋_GB2312" w:eastAsia="仿宋_GB2312" w:cs="仿宋_GB2312"/>
                      <w:sz w:val="18"/>
                    </w:rPr>
                    <w:t>7.文件备份：配置主流操作系统的文件备份功能，具有Windows、Linux、Unix 平台及统信、中标麒麟、银河麒麟、红旗和华为欧拉等国产操作系统的保护能力。</w:t>
                  </w:r>
                </w:p>
                <w:p w14:paraId="1E43A92F">
                  <w:pPr>
                    <w:pStyle w:val="4"/>
                    <w:jc w:val="left"/>
                  </w:pPr>
                  <w:r>
                    <w:rPr>
                      <w:rFonts w:ascii="仿宋_GB2312" w:hAnsi="仿宋_GB2312" w:eastAsia="仿宋_GB2312" w:cs="仿宋_GB2312"/>
                      <w:sz w:val="18"/>
                    </w:rPr>
                    <w:t>8.备份策略：完全备份、增量备份、差异备份、合成备份等备份方式。基于日期、时间的备份策略。</w:t>
                  </w:r>
                </w:p>
                <w:p w14:paraId="1DF5CF36">
                  <w:pPr>
                    <w:pStyle w:val="4"/>
                    <w:jc w:val="left"/>
                  </w:pPr>
                  <w:r>
                    <w:rPr>
                      <w:rFonts w:ascii="仿宋_GB2312" w:hAnsi="仿宋_GB2312" w:eastAsia="仿宋_GB2312" w:cs="仿宋_GB2312"/>
                      <w:sz w:val="18"/>
                    </w:rPr>
                    <w:t>9.▲备份异地复制:配置备份集跨域异地复制特性，可不同备份域之间的备份集复制，确保数据在多域环境下的高可用性和灾难恢复能力。备份集复制规则指定下一级备份集复制规则，备份集级联复制。【提供产品功能证明截图并加盖公章】</w:t>
                  </w:r>
                </w:p>
                <w:p w14:paraId="067A4FC9">
                  <w:pPr>
                    <w:pStyle w:val="4"/>
                    <w:jc w:val="left"/>
                  </w:pPr>
                  <w:r>
                    <w:rPr>
                      <w:rFonts w:ascii="仿宋_GB2312" w:hAnsi="仿宋_GB2312" w:eastAsia="仿宋_GB2312" w:cs="仿宋_GB2312"/>
                      <w:sz w:val="18"/>
                    </w:rPr>
                    <w:t>10.数据去重特性：满足对结构化和非结构化大量数据的备份需求，为提高备份存储的空间利用率，备份软件需配置重复数据删除功能。</w:t>
                  </w:r>
                </w:p>
                <w:p w14:paraId="16F2DD00">
                  <w:pPr>
                    <w:pStyle w:val="4"/>
                    <w:jc w:val="left"/>
                  </w:pPr>
                  <w:r>
                    <w:rPr>
                      <w:rFonts w:ascii="仿宋_GB2312" w:hAnsi="仿宋_GB2312" w:eastAsia="仿宋_GB2312" w:cs="仿宋_GB2312"/>
                      <w:sz w:val="18"/>
                    </w:rPr>
                    <w:t>11.资源管理：提供对所有生产机资源情况的监控功能，并能够在同一界面查看节点CPU、内存、网络、磁盘等相关状态。</w:t>
                  </w:r>
                </w:p>
                <w:p w14:paraId="4CCF2357">
                  <w:pPr>
                    <w:pStyle w:val="4"/>
                    <w:jc w:val="left"/>
                  </w:pPr>
                  <w:r>
                    <w:rPr>
                      <w:rFonts w:ascii="仿宋_GB2312" w:hAnsi="仿宋_GB2312" w:eastAsia="仿宋_GB2312" w:cs="仿宋_GB2312"/>
                      <w:sz w:val="18"/>
                    </w:rPr>
                    <w:t>12.安全要求：具备安全审计功能，管理人员对帐号的增删改操作均有记录;用户登录系统、注销登录日志均有记录; 事件、操作日志和调试日志完整可用于审计。</w:t>
                  </w:r>
                </w:p>
                <w:p w14:paraId="366B5779">
                  <w:pPr>
                    <w:pStyle w:val="4"/>
                    <w:jc w:val="left"/>
                  </w:pPr>
                  <w:r>
                    <w:rPr>
                      <w:rFonts w:ascii="仿宋_GB2312" w:hAnsi="仿宋_GB2312" w:eastAsia="仿宋_GB2312" w:cs="仿宋_GB2312"/>
                      <w:sz w:val="18"/>
                    </w:rPr>
                    <w:t>13.▲实施要求：建立本地异地一体化管理备份系统，双备份机制，统一管理。（需提供实施承诺函）</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280D09A">
                  <w:pPr>
                    <w:pStyle w:val="4"/>
                    <w:jc w:val="center"/>
                  </w:pPr>
                  <w:r>
                    <w:rPr>
                      <w:rFonts w:ascii="仿宋_GB2312" w:hAnsi="仿宋_GB2312" w:eastAsia="仿宋_GB2312" w:cs="仿宋_GB2312"/>
                      <w:sz w:val="18"/>
                    </w:rPr>
                    <w:t>套</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C86C42">
                  <w:pPr>
                    <w:pStyle w:val="4"/>
                    <w:jc w:val="center"/>
                  </w:pPr>
                  <w:r>
                    <w:rPr>
                      <w:rFonts w:ascii="仿宋_GB2312" w:hAnsi="仿宋_GB2312" w:eastAsia="仿宋_GB2312" w:cs="仿宋_GB2312"/>
                      <w:sz w:val="18"/>
                    </w:rPr>
                    <w:t>1</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EB4786">
                  <w:pPr>
                    <w:pStyle w:val="4"/>
                    <w:jc w:val="center"/>
                  </w:pPr>
                </w:p>
              </w:tc>
            </w:tr>
            <w:tr w14:paraId="465C36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D16970">
                  <w:pPr>
                    <w:pStyle w:val="4"/>
                    <w:jc w:val="right"/>
                  </w:pPr>
                  <w:r>
                    <w:rPr>
                      <w:rFonts w:ascii="仿宋_GB2312" w:hAnsi="仿宋_GB2312" w:eastAsia="仿宋_GB2312" w:cs="仿宋_GB2312"/>
                      <w:sz w:val="18"/>
                    </w:rPr>
                    <w:t>17</w:t>
                  </w:r>
                </w:p>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D609C0">
                  <w:pPr>
                    <w:pStyle w:val="4"/>
                    <w:jc w:val="left"/>
                  </w:pPr>
                  <w:r>
                    <w:rPr>
                      <w:rFonts w:ascii="仿宋_GB2312" w:hAnsi="仿宋_GB2312" w:eastAsia="仿宋_GB2312" w:cs="仿宋_GB2312"/>
                      <w:sz w:val="18"/>
                    </w:rPr>
                    <w:t>光纤落地及弱电间</w:t>
                  </w:r>
                </w:p>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5D9542">
                  <w:pPr>
                    <w:pStyle w:val="4"/>
                    <w:jc w:val="left"/>
                  </w:pPr>
                  <w:r>
                    <w:rPr>
                      <w:rFonts w:ascii="仿宋_GB2312" w:hAnsi="仿宋_GB2312" w:eastAsia="仿宋_GB2312" w:cs="仿宋_GB2312"/>
                      <w:sz w:val="18"/>
                    </w:rPr>
                    <w:t>1.学生公寓楼宇光纤落地，层间光纤更换，10栋公寓楼直连4号公寓楼。</w:t>
                  </w:r>
                  <w:r>
                    <w:br w:type="textWrapping"/>
                  </w:r>
                  <w:r>
                    <w:rPr>
                      <w:rFonts w:ascii="仿宋_GB2312" w:hAnsi="仿宋_GB2312" w:eastAsia="仿宋_GB2312" w:cs="仿宋_GB2312"/>
                      <w:sz w:val="18"/>
                    </w:rPr>
                    <w:t xml:space="preserve"> 2.土地开挖 &gt;50厘米深，约300米。</w:t>
                  </w:r>
                  <w:r>
                    <w:br w:type="textWrapping"/>
                  </w:r>
                  <w:r>
                    <w:rPr>
                      <w:rFonts w:ascii="仿宋_GB2312" w:hAnsi="仿宋_GB2312" w:eastAsia="仿宋_GB2312" w:cs="仿宋_GB2312"/>
                      <w:sz w:val="18"/>
                    </w:rPr>
                    <w:t xml:space="preserve"> 3.水泥路面下顶管10处约50米 。</w:t>
                  </w:r>
                  <w:r>
                    <w:br w:type="textWrapping"/>
                  </w:r>
                  <w:r>
                    <w:rPr>
                      <w:rFonts w:ascii="仿宋_GB2312" w:hAnsi="仿宋_GB2312" w:eastAsia="仿宋_GB2312" w:cs="仿宋_GB2312"/>
                      <w:sz w:val="18"/>
                    </w:rPr>
                    <w:t xml:space="preserve"> 4.手工井（含井盖）14个。</w:t>
                  </w:r>
                  <w:r>
                    <w:br w:type="textWrapping"/>
                  </w:r>
                  <w:r>
                    <w:rPr>
                      <w:rFonts w:ascii="仿宋_GB2312" w:hAnsi="仿宋_GB2312" w:eastAsia="仿宋_GB2312" w:cs="仿宋_GB2312"/>
                      <w:sz w:val="18"/>
                    </w:rPr>
                    <w:t xml:space="preserve"> 5.PE穿线管（内壁50）约450米，PE穿线管（内壁25）约100米。</w:t>
                  </w:r>
                  <w:r>
                    <w:br w:type="textWrapping"/>
                  </w:r>
                  <w:r>
                    <w:rPr>
                      <w:rFonts w:ascii="仿宋_GB2312" w:hAnsi="仿宋_GB2312" w:eastAsia="仿宋_GB2312" w:cs="仿宋_GB2312"/>
                      <w:sz w:val="18"/>
                    </w:rPr>
                    <w:t xml:space="preserve"> 6.KBG钢管（孔径25）11根。</w:t>
                  </w:r>
                  <w:r>
                    <w:br w:type="textWrapping"/>
                  </w:r>
                  <w:r>
                    <w:rPr>
                      <w:rFonts w:ascii="仿宋_GB2312" w:hAnsi="仿宋_GB2312" w:eastAsia="仿宋_GB2312" w:cs="仿宋_GB2312"/>
                      <w:sz w:val="18"/>
                    </w:rPr>
                    <w:t xml:space="preserve"> 7.24芯主光缆轻铠1800米。</w:t>
                  </w:r>
                  <w:r>
                    <w:br w:type="textWrapping"/>
                  </w:r>
                  <w:r>
                    <w:rPr>
                      <w:rFonts w:ascii="仿宋_GB2312" w:hAnsi="仿宋_GB2312" w:eastAsia="仿宋_GB2312" w:cs="仿宋_GB2312"/>
                      <w:sz w:val="18"/>
                    </w:rPr>
                    <w:t xml:space="preserve"> 8.24口终端盒（LC满配）9个。</w:t>
                  </w:r>
                  <w:r>
                    <w:br w:type="textWrapping"/>
                  </w:r>
                  <w:r>
                    <w:rPr>
                      <w:rFonts w:ascii="仿宋_GB2312" w:hAnsi="仿宋_GB2312" w:eastAsia="仿宋_GB2312" w:cs="仿宋_GB2312"/>
                      <w:sz w:val="18"/>
                    </w:rPr>
                    <w:t xml:space="preserve"> 9.256口ODF架（LC满配）1套。</w:t>
                  </w:r>
                  <w:r>
                    <w:br w:type="textWrapping"/>
                  </w:r>
                  <w:r>
                    <w:rPr>
                      <w:rFonts w:ascii="仿宋_GB2312" w:hAnsi="仿宋_GB2312" w:eastAsia="仿宋_GB2312" w:cs="仿宋_GB2312"/>
                      <w:sz w:val="18"/>
                    </w:rPr>
                    <w:t xml:space="preserve"> 10.熔纤432芯，旧缆新熔600芯。</w:t>
                  </w:r>
                  <w:r>
                    <w:br w:type="textWrapping"/>
                  </w:r>
                  <w:r>
                    <w:rPr>
                      <w:rFonts w:ascii="仿宋_GB2312" w:hAnsi="仿宋_GB2312" w:eastAsia="仿宋_GB2312" w:cs="仿宋_GB2312"/>
                      <w:sz w:val="18"/>
                    </w:rPr>
                    <w:t xml:space="preserve"> 11.弱电间损坏机柜更换、垃圾清理、环境提升100间。</w:t>
                  </w:r>
                </w:p>
                <w:p w14:paraId="167068E3">
                  <w:pPr>
                    <w:pStyle w:val="4"/>
                    <w:jc w:val="left"/>
                  </w:pPr>
                  <w:r>
                    <w:rPr>
                      <w:rFonts w:ascii="仿宋_GB2312" w:hAnsi="仿宋_GB2312" w:eastAsia="仿宋_GB2312" w:cs="仿宋_GB2312"/>
                      <w:sz w:val="18"/>
                    </w:rPr>
                    <w:t>12、高新、含光校区有线无线信息点部署数量共计250个。</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E79EEE">
                  <w:pPr>
                    <w:pStyle w:val="4"/>
                    <w:jc w:val="center"/>
                  </w:pPr>
                  <w:r>
                    <w:rPr>
                      <w:rFonts w:ascii="仿宋_GB2312" w:hAnsi="仿宋_GB2312" w:eastAsia="仿宋_GB2312" w:cs="仿宋_GB2312"/>
                      <w:sz w:val="18"/>
                    </w:rPr>
                    <w:t>项</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86A982">
                  <w:pPr>
                    <w:pStyle w:val="4"/>
                    <w:jc w:val="center"/>
                  </w:pPr>
                  <w:r>
                    <w:rPr>
                      <w:rFonts w:ascii="仿宋_GB2312" w:hAnsi="仿宋_GB2312" w:eastAsia="仿宋_GB2312" w:cs="仿宋_GB2312"/>
                      <w:sz w:val="18"/>
                    </w:rPr>
                    <w:t>1</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2FD01E">
                  <w:pPr>
                    <w:pStyle w:val="4"/>
                    <w:jc w:val="center"/>
                  </w:pPr>
                </w:p>
              </w:tc>
            </w:tr>
            <w:tr w14:paraId="6D50FB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D1EF5E">
                  <w:pPr>
                    <w:pStyle w:val="4"/>
                    <w:jc w:val="right"/>
                  </w:pPr>
                  <w:r>
                    <w:rPr>
                      <w:rFonts w:ascii="仿宋_GB2312" w:hAnsi="仿宋_GB2312" w:eastAsia="仿宋_GB2312" w:cs="仿宋_GB2312"/>
                      <w:sz w:val="18"/>
                    </w:rPr>
                    <w:t>18</w:t>
                  </w:r>
                </w:p>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216E25">
                  <w:pPr>
                    <w:pStyle w:val="4"/>
                    <w:jc w:val="center"/>
                  </w:pPr>
                  <w:r>
                    <w:rPr>
                      <w:rFonts w:ascii="仿宋_GB2312" w:hAnsi="仿宋_GB2312" w:eastAsia="仿宋_GB2312" w:cs="仿宋_GB2312"/>
                      <w:sz w:val="18"/>
                    </w:rPr>
                    <w:t>机房空调</w:t>
                  </w:r>
                </w:p>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2C0804D">
                  <w:pPr>
                    <w:pStyle w:val="4"/>
                    <w:jc w:val="left"/>
                  </w:pPr>
                  <w:r>
                    <w:rPr>
                      <w:rFonts w:ascii="仿宋_GB2312" w:hAnsi="仿宋_GB2312" w:eastAsia="仿宋_GB2312" w:cs="仿宋_GB2312"/>
                      <w:sz w:val="18"/>
                    </w:rPr>
                    <w:t>1.3P立式空调一台，符合国家一级能耗标准，制冷量（W）不低于7300</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1CAEB7">
                  <w:pPr>
                    <w:pStyle w:val="4"/>
                    <w:jc w:val="center"/>
                  </w:pPr>
                  <w:r>
                    <w:rPr>
                      <w:rFonts w:ascii="仿宋_GB2312" w:hAnsi="仿宋_GB2312" w:eastAsia="仿宋_GB2312" w:cs="仿宋_GB2312"/>
                      <w:sz w:val="18"/>
                    </w:rPr>
                    <w:t>台</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629CC61">
                  <w:pPr>
                    <w:pStyle w:val="4"/>
                    <w:jc w:val="center"/>
                  </w:pPr>
                  <w:r>
                    <w:rPr>
                      <w:rFonts w:ascii="仿宋_GB2312" w:hAnsi="仿宋_GB2312" w:eastAsia="仿宋_GB2312" w:cs="仿宋_GB2312"/>
                      <w:sz w:val="18"/>
                    </w:rPr>
                    <w:t>1</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3A5922">
                  <w:pPr>
                    <w:pStyle w:val="4"/>
                    <w:jc w:val="center"/>
                  </w:pPr>
                </w:p>
              </w:tc>
            </w:tr>
            <w:tr w14:paraId="38A85F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65E68D"/>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8A07BC"/>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155696">
                  <w:pPr>
                    <w:pStyle w:val="4"/>
                    <w:jc w:val="left"/>
                  </w:pPr>
                  <w:r>
                    <w:rPr>
                      <w:rFonts w:ascii="仿宋_GB2312" w:hAnsi="仿宋_GB2312" w:eastAsia="仿宋_GB2312" w:cs="仿宋_GB2312"/>
                      <w:sz w:val="18"/>
                    </w:rPr>
                    <w:t>2.1.5P挂式空调一台，符合国家一级能耗标准，制冷量（W）不低于3500</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B94A97">
                  <w:pPr>
                    <w:pStyle w:val="4"/>
                    <w:jc w:val="left"/>
                  </w:pPr>
                  <w:r>
                    <w:rPr>
                      <w:rFonts w:ascii="仿宋_GB2312" w:hAnsi="仿宋_GB2312" w:eastAsia="仿宋_GB2312" w:cs="仿宋_GB2312"/>
                      <w:sz w:val="18"/>
                    </w:rPr>
                    <w:t>台</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8EFC150">
                  <w:pPr>
                    <w:pStyle w:val="4"/>
                    <w:jc w:val="center"/>
                  </w:pPr>
                  <w:r>
                    <w:rPr>
                      <w:rFonts w:ascii="仿宋_GB2312" w:hAnsi="仿宋_GB2312" w:eastAsia="仿宋_GB2312" w:cs="仿宋_GB2312"/>
                      <w:sz w:val="18"/>
                    </w:rPr>
                    <w:t>1</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73F127">
                  <w:pPr>
                    <w:pStyle w:val="4"/>
                    <w:jc w:val="left"/>
                  </w:pPr>
                </w:p>
              </w:tc>
            </w:tr>
            <w:tr w14:paraId="41A50B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D94917">
                  <w:pPr>
                    <w:pStyle w:val="4"/>
                    <w:jc w:val="right"/>
                  </w:pPr>
                  <w:r>
                    <w:rPr>
                      <w:rFonts w:ascii="仿宋_GB2312" w:hAnsi="仿宋_GB2312" w:eastAsia="仿宋_GB2312" w:cs="仿宋_GB2312"/>
                      <w:sz w:val="18"/>
                    </w:rPr>
                    <w:t>19</w:t>
                  </w:r>
                </w:p>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4CDDB8">
                  <w:pPr>
                    <w:pStyle w:val="4"/>
                    <w:jc w:val="center"/>
                  </w:pPr>
                  <w:r>
                    <w:rPr>
                      <w:rFonts w:ascii="仿宋_GB2312" w:hAnsi="仿宋_GB2312" w:eastAsia="仿宋_GB2312" w:cs="仿宋_GB2312"/>
                      <w:sz w:val="18"/>
                    </w:rPr>
                    <w:t>网线</w:t>
                  </w:r>
                </w:p>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DF45BE">
                  <w:pPr>
                    <w:pStyle w:val="4"/>
                    <w:jc w:val="left"/>
                  </w:pPr>
                  <w:r>
                    <w:rPr>
                      <w:rFonts w:ascii="仿宋_GB2312" w:hAnsi="仿宋_GB2312" w:eastAsia="仿宋_GB2312" w:cs="仿宋_GB2312"/>
                      <w:sz w:val="18"/>
                    </w:rPr>
                    <w:t>1.六类网线约305米</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9CE42E">
                  <w:pPr>
                    <w:pStyle w:val="4"/>
                    <w:jc w:val="center"/>
                  </w:pPr>
                  <w:r>
                    <w:rPr>
                      <w:rFonts w:ascii="仿宋_GB2312" w:hAnsi="仿宋_GB2312" w:eastAsia="仿宋_GB2312" w:cs="仿宋_GB2312"/>
                      <w:sz w:val="18"/>
                    </w:rPr>
                    <w:t>箱</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26B3030">
                  <w:pPr>
                    <w:pStyle w:val="4"/>
                    <w:jc w:val="center"/>
                  </w:pPr>
                  <w:r>
                    <w:rPr>
                      <w:rFonts w:ascii="仿宋_GB2312" w:hAnsi="仿宋_GB2312" w:eastAsia="仿宋_GB2312" w:cs="仿宋_GB2312"/>
                      <w:sz w:val="18"/>
                    </w:rPr>
                    <w:t>40</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D6CFD3">
                  <w:pPr>
                    <w:pStyle w:val="4"/>
                    <w:jc w:val="center"/>
                  </w:pPr>
                </w:p>
              </w:tc>
            </w:tr>
            <w:tr w14:paraId="66FCCA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F2630D">
                  <w:pPr>
                    <w:pStyle w:val="4"/>
                    <w:jc w:val="right"/>
                  </w:pPr>
                  <w:r>
                    <w:rPr>
                      <w:rFonts w:ascii="仿宋_GB2312" w:hAnsi="仿宋_GB2312" w:eastAsia="仿宋_GB2312" w:cs="仿宋_GB2312"/>
                      <w:sz w:val="18"/>
                    </w:rPr>
                    <w:t>20</w:t>
                  </w:r>
                </w:p>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90E942">
                  <w:pPr>
                    <w:pStyle w:val="4"/>
                    <w:jc w:val="center"/>
                  </w:pPr>
                  <w:r>
                    <w:rPr>
                      <w:rFonts w:ascii="仿宋_GB2312" w:hAnsi="仿宋_GB2312" w:eastAsia="仿宋_GB2312" w:cs="仿宋_GB2312"/>
                      <w:sz w:val="18"/>
                    </w:rPr>
                    <w:t>施工服务</w:t>
                  </w:r>
                </w:p>
              </w:tc>
              <w:tc>
                <w:tcPr>
                  <w:tcW w:w="3754" w:type="dxa"/>
                  <w:gridSpan w:val="2"/>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FB7DEE">
                  <w:pPr>
                    <w:pStyle w:val="4"/>
                    <w:jc w:val="left"/>
                  </w:pPr>
                  <w:r>
                    <w:rPr>
                      <w:rFonts w:ascii="仿宋_GB2312" w:hAnsi="仿宋_GB2312" w:eastAsia="仿宋_GB2312" w:cs="仿宋_GB2312"/>
                      <w:sz w:val="18"/>
                    </w:rPr>
                    <w:t>1.设备及系统安装、实施、调试。</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016C2D5">
                  <w:pPr>
                    <w:pStyle w:val="4"/>
                    <w:jc w:val="center"/>
                  </w:pPr>
                  <w:r>
                    <w:rPr>
                      <w:rFonts w:ascii="仿宋_GB2312" w:hAnsi="仿宋_GB2312" w:eastAsia="仿宋_GB2312" w:cs="仿宋_GB2312"/>
                      <w:sz w:val="18"/>
                    </w:rPr>
                    <w:t>项</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4CEC847">
                  <w:pPr>
                    <w:pStyle w:val="4"/>
                    <w:jc w:val="center"/>
                  </w:pPr>
                  <w:r>
                    <w:rPr>
                      <w:rFonts w:ascii="仿宋_GB2312" w:hAnsi="仿宋_GB2312" w:eastAsia="仿宋_GB2312" w:cs="仿宋_GB2312"/>
                      <w:sz w:val="18"/>
                    </w:rPr>
                    <w:t>1</w:t>
                  </w:r>
                </w:p>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BCDE25">
                  <w:pPr>
                    <w:pStyle w:val="4"/>
                    <w:jc w:val="center"/>
                  </w:pPr>
                </w:p>
              </w:tc>
            </w:tr>
            <w:tr w14:paraId="69912B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7E5FC4">
                  <w:pPr>
                    <w:pStyle w:val="4"/>
                    <w:jc w:val="right"/>
                  </w:pPr>
                  <w:r>
                    <w:rPr>
                      <w:rFonts w:ascii="仿宋_GB2312" w:hAnsi="仿宋_GB2312" w:eastAsia="仿宋_GB2312" w:cs="仿宋_GB2312"/>
                      <w:sz w:val="18"/>
                    </w:rPr>
                    <w:t>21</w:t>
                  </w:r>
                </w:p>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95F98A">
                  <w:pPr>
                    <w:pStyle w:val="4"/>
                    <w:jc w:val="center"/>
                  </w:pPr>
                  <w:r>
                    <w:rPr>
                      <w:rFonts w:ascii="仿宋_GB2312" w:hAnsi="仿宋_GB2312" w:eastAsia="仿宋_GB2312" w:cs="仿宋_GB2312"/>
                      <w:sz w:val="18"/>
                    </w:rPr>
                    <w:t>AI算力资源及业务智能体</w:t>
                  </w:r>
                </w:p>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4F3E357">
                  <w:pPr>
                    <w:pStyle w:val="4"/>
                    <w:jc w:val="center"/>
                  </w:pPr>
                  <w:r>
                    <w:rPr>
                      <w:rFonts w:ascii="仿宋_GB2312" w:hAnsi="仿宋_GB2312" w:eastAsia="仿宋_GB2312" w:cs="仿宋_GB2312"/>
                      <w:sz w:val="18"/>
                    </w:rPr>
                    <w:t>新增MCP标准化调用服务</w:t>
                  </w:r>
                </w:p>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A3782B8">
                  <w:pPr>
                    <w:pStyle w:val="4"/>
                    <w:jc w:val="both"/>
                  </w:pPr>
                  <w:r>
                    <w:rPr>
                      <w:rFonts w:ascii="仿宋_GB2312" w:hAnsi="仿宋_GB2312" w:eastAsia="仿宋_GB2312" w:cs="仿宋_GB2312"/>
                      <w:sz w:val="18"/>
                    </w:rPr>
                    <w:t>本项目完成平台核心升级，新增MCP协议调用能力，用户自主对接外部MCP服务，由平台统一解析、转发调用请求并相关管控审计；</w:t>
                  </w:r>
                </w:p>
                <w:p w14:paraId="638B4A76">
                  <w:pPr>
                    <w:pStyle w:val="4"/>
                    <w:jc w:val="both"/>
                  </w:pPr>
                  <w:r>
                    <w:rPr>
                      <w:rFonts w:ascii="仿宋_GB2312" w:hAnsi="仿宋_GB2312" w:eastAsia="仿宋_GB2312" w:cs="仿宋_GB2312"/>
                      <w:sz w:val="18"/>
                    </w:rPr>
                    <w:t>1.工作台设置MCP服务模块，MCP服务相关参数配置；</w:t>
                  </w:r>
                </w:p>
                <w:p w14:paraId="5CA62EFE">
                  <w:pPr>
                    <w:pStyle w:val="4"/>
                    <w:jc w:val="both"/>
                  </w:pPr>
                  <w:r>
                    <w:rPr>
                      <w:rFonts w:ascii="仿宋_GB2312" w:hAnsi="仿宋_GB2312" w:eastAsia="仿宋_GB2312" w:cs="仿宋_GB2312"/>
                      <w:sz w:val="18"/>
                    </w:rPr>
                    <w:t>2.通过MCP标准协议打通大模型、插件、知识库、校内业务系统互联互通，解决原有平台工具、模型、数据相互割裂的问题；</w:t>
                  </w:r>
                </w:p>
                <w:p w14:paraId="29037E5D">
                  <w:pPr>
                    <w:pStyle w:val="4"/>
                    <w:jc w:val="both"/>
                  </w:pPr>
                  <w:r>
                    <w:rPr>
                      <w:rFonts w:ascii="仿宋_GB2312" w:hAnsi="仿宋_GB2312" w:eastAsia="仿宋_GB2312" w:cs="仿宋_GB2312"/>
                      <w:sz w:val="18"/>
                    </w:rPr>
                    <w:t>▲3.平台内智能体、自定义插件均可通过MCP完成统一调用，统一管控工具调用权限、访问流量、访问凭证；</w:t>
                  </w:r>
                </w:p>
                <w:p w14:paraId="3E9D01C5">
                  <w:pPr>
                    <w:pStyle w:val="4"/>
                    <w:jc w:val="both"/>
                  </w:pPr>
                  <w:r>
                    <w:rPr>
                      <w:rFonts w:ascii="仿宋_GB2312" w:hAnsi="仿宋_GB2312" w:eastAsia="仿宋_GB2312" w:cs="仿宋_GB2312"/>
                      <w:sz w:val="18"/>
                    </w:rPr>
                    <w:t>4.MCP配套安全管控机制，完整记录智能体经由MCP发起的工具调用、数据访问行为，满足校内数据安全审计要求。</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F28E6D">
                  <w:pPr>
                    <w:pStyle w:val="4"/>
                    <w:jc w:val="center"/>
                  </w:pPr>
                  <w:r>
                    <w:rPr>
                      <w:rFonts w:ascii="仿宋_GB2312" w:hAnsi="仿宋_GB2312" w:eastAsia="仿宋_GB2312" w:cs="仿宋_GB2312"/>
                      <w:sz w:val="18"/>
                    </w:rPr>
                    <w:t>项</w:t>
                  </w: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8573C6">
                  <w:pPr>
                    <w:pStyle w:val="4"/>
                    <w:jc w:val="center"/>
                  </w:pPr>
                  <w:r>
                    <w:rPr>
                      <w:rFonts w:ascii="仿宋_GB2312" w:hAnsi="仿宋_GB2312" w:eastAsia="仿宋_GB2312" w:cs="仿宋_GB2312"/>
                      <w:sz w:val="18"/>
                    </w:rPr>
                    <w:t>1</w:t>
                  </w:r>
                </w:p>
              </w:tc>
              <w:tc>
                <w:tcPr>
                  <w:tcW w:w="59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383D5B4">
                  <w:pPr>
                    <w:pStyle w:val="4"/>
                    <w:jc w:val="center"/>
                  </w:pPr>
                </w:p>
              </w:tc>
            </w:tr>
            <w:tr w14:paraId="2C4AE9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738B09"/>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E99172"/>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0E12E6">
                  <w:pPr>
                    <w:pStyle w:val="4"/>
                    <w:jc w:val="center"/>
                  </w:pPr>
                  <w:r>
                    <w:rPr>
                      <w:rFonts w:ascii="仿宋_GB2312" w:hAnsi="仿宋_GB2312" w:eastAsia="仿宋_GB2312" w:cs="仿宋_GB2312"/>
                      <w:sz w:val="18"/>
                    </w:rPr>
                    <w:t>后台运营管控能力升级</w:t>
                  </w:r>
                </w:p>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6ACAB6D">
                  <w:pPr>
                    <w:pStyle w:val="4"/>
                    <w:jc w:val="both"/>
                  </w:pPr>
                  <w:r>
                    <w:rPr>
                      <w:rFonts w:ascii="仿宋_GB2312" w:hAnsi="仿宋_GB2312" w:eastAsia="仿宋_GB2312" w:cs="仿宋_GB2312"/>
                      <w:sz w:val="18"/>
                    </w:rPr>
                    <w:t>1.新增可视化数据面板，统计平台用户、知识库、智能应用总量，流量、活跃、使用成本多维度图表分析，直观展示平台运营数据；</w:t>
                  </w:r>
                </w:p>
                <w:p w14:paraId="7BF961CA">
                  <w:pPr>
                    <w:pStyle w:val="4"/>
                    <w:jc w:val="both"/>
                  </w:pPr>
                  <w:r>
                    <w:rPr>
                      <w:rFonts w:ascii="仿宋_GB2312" w:hAnsi="仿宋_GB2312" w:eastAsia="仿宋_GB2312" w:cs="仿宋_GB2312"/>
                      <w:sz w:val="18"/>
                    </w:rPr>
                    <w:t>2.搭建分级消息通知体系，区分一般、重要、紧急三级推送，站内信、登录弹窗、邮件、短信多渠道触达；Markdown格式弹窗公告，登录强提醒；</w:t>
                  </w:r>
                </w:p>
                <w:p w14:paraId="37F048A4">
                  <w:pPr>
                    <w:pStyle w:val="4"/>
                    <w:jc w:val="both"/>
                  </w:pPr>
                  <w:r>
                    <w:rPr>
                      <w:rFonts w:ascii="仿宋_GB2312" w:hAnsi="仿宋_GB2312" w:eastAsia="仿宋_GB2312" w:cs="仿宋_GB2312"/>
                      <w:sz w:val="18"/>
                    </w:rPr>
                    <w:t>3.新增全量操作日志审计功能，完整记录操作时间、日志等级、操作内容、错误元数据，检索筛选、详情查看；</w:t>
                  </w:r>
                </w:p>
                <w:p w14:paraId="338F2AF8">
                  <w:pPr>
                    <w:pStyle w:val="4"/>
                    <w:jc w:val="both"/>
                  </w:pPr>
                  <w:r>
                    <w:rPr>
                      <w:rFonts w:ascii="仿宋_GB2312" w:hAnsi="仿宋_GB2312" w:eastAsia="仿宋_GB2312" w:cs="仿宋_GB2312"/>
                      <w:sz w:val="18"/>
                    </w:rPr>
                    <w:t>4.精细化后台资源与团队管理，包含团队套餐、积分额度配置、支付记录查询，统一管控应用、知识库资源；</w:t>
                  </w:r>
                </w:p>
                <w:p w14:paraId="583FD609">
                  <w:pPr>
                    <w:pStyle w:val="4"/>
                    <w:jc w:val="both"/>
                  </w:pPr>
                  <w:r>
                    <w:rPr>
                      <w:rFonts w:ascii="仿宋_GB2312" w:hAnsi="仿宋_GB2312" w:eastAsia="仿宋_GB2312" w:cs="仿宋_GB2312"/>
                      <w:sz w:val="18"/>
                    </w:rPr>
                    <w:t>5.全局系统配置中心，功能开关、第三方安全检测接入、中英文/时区设置、API密钥管理、第三方账号绑定配置。</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F99E76">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2B6C2DA"/>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B34C1A"/>
              </w:tc>
            </w:tr>
            <w:tr w14:paraId="23B7EB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A3B2A7"/>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894CEB"/>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7509A8">
                  <w:pPr>
                    <w:pStyle w:val="4"/>
                    <w:jc w:val="center"/>
                  </w:pPr>
                  <w:r>
                    <w:rPr>
                      <w:rFonts w:ascii="仿宋_GB2312" w:hAnsi="仿宋_GB2312" w:eastAsia="仿宋_GB2312" w:cs="仿宋_GB2312"/>
                      <w:sz w:val="18"/>
                    </w:rPr>
                    <w:t>模型调度与监控能力升级</w:t>
                  </w:r>
                </w:p>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5F70F54">
                  <w:pPr>
                    <w:pStyle w:val="4"/>
                    <w:jc w:val="both"/>
                  </w:pPr>
                  <w:r>
                    <w:rPr>
                      <w:rFonts w:ascii="仿宋_GB2312" w:hAnsi="仿宋_GB2312" w:eastAsia="仿宋_GB2312" w:cs="仿宋_GB2312"/>
                      <w:sz w:val="18"/>
                    </w:rPr>
                    <w:t>1.在原平台算力架构基础上升级模型管理体系，自定义新增第三方大模型接入渠道，兼容市面主流调用协议，可配置代理地址、API密钥、模型映射规则；</w:t>
                  </w:r>
                </w:p>
                <w:p w14:paraId="46E14D92">
                  <w:pPr>
                    <w:pStyle w:val="4"/>
                    <w:jc w:val="both"/>
                  </w:pPr>
                  <w:r>
                    <w:rPr>
                      <w:rFonts w:ascii="仿宋_GB2312" w:hAnsi="仿宋_GB2312" w:eastAsia="仿宋_GB2312" w:cs="仿宋_GB2312"/>
                      <w:sz w:val="18"/>
                    </w:rPr>
                    <w:t>2.新增模型调用实时监控模块，按时段、模型、渠道多维度统计请求量、失败次数、失败率，分时/累积双视图图表展示，实时监控模型运行健康状态，快速定位异常。</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D0C3D79">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F67889D"/>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6745E7"/>
              </w:tc>
            </w:tr>
            <w:tr w14:paraId="0D0510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AD9842"/>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E7D1F2"/>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28BA7F">
                  <w:pPr>
                    <w:pStyle w:val="4"/>
                    <w:jc w:val="center"/>
                  </w:pPr>
                  <w:r>
                    <w:rPr>
                      <w:rFonts w:ascii="仿宋_GB2312" w:hAnsi="仿宋_GB2312" w:eastAsia="仿宋_GB2312" w:cs="仿宋_GB2312"/>
                      <w:sz w:val="18"/>
                    </w:rPr>
                    <w:t>知识库多源解析能力升级</w:t>
                  </w:r>
                </w:p>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D7B7AC">
                  <w:pPr>
                    <w:pStyle w:val="4"/>
                    <w:jc w:val="both"/>
                  </w:pPr>
                  <w:r>
                    <w:rPr>
                      <w:rFonts w:ascii="仿宋_GB2312" w:hAnsi="仿宋_GB2312" w:eastAsia="仿宋_GB2312" w:cs="仿宋_GB2312"/>
                      <w:sz w:val="18"/>
                    </w:rPr>
                    <w:t>▲1.在原有平台知识库功能基础上拓展知识库构建渠道，新增网页爬虫批量建站、飞书/语雀第三方文档、自定义API知识库三种导入方式，通用库文件、网页链接、手动录入；</w:t>
                  </w:r>
                </w:p>
                <w:p w14:paraId="67988391">
                  <w:pPr>
                    <w:pStyle w:val="4"/>
                    <w:jc w:val="both"/>
                  </w:pPr>
                  <w:r>
                    <w:rPr>
                      <w:rFonts w:ascii="仿宋_GB2312" w:hAnsi="仿宋_GB2312" w:eastAsia="仿宋_GB2312" w:cs="仿宋_GB2312"/>
                      <w:sz w:val="18"/>
                    </w:rPr>
                    <w:t>2.集成离线多格式文件解析组件，PDF、Word、Excel全文档解析，专项优化OCR图文识别精度。</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1105CD">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39C2962"/>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B78794"/>
              </w:tc>
            </w:tr>
            <w:tr w14:paraId="6155F70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15F864"/>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225337"/>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92759F">
                  <w:pPr>
                    <w:pStyle w:val="4"/>
                    <w:jc w:val="center"/>
                  </w:pPr>
                  <w:r>
                    <w:rPr>
                      <w:rFonts w:ascii="仿宋_GB2312" w:hAnsi="仿宋_GB2312" w:eastAsia="仿宋_GB2312" w:cs="仿宋_GB2312"/>
                      <w:sz w:val="18"/>
                    </w:rPr>
                    <w:t>智能体应用发布与插件管理升级</w:t>
                  </w:r>
                </w:p>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E64FAD9">
                  <w:pPr>
                    <w:pStyle w:val="4"/>
                    <w:jc w:val="both"/>
                  </w:pPr>
                  <w:r>
                    <w:rPr>
                      <w:rFonts w:ascii="仿宋_GB2312" w:hAnsi="仿宋_GB2312" w:eastAsia="仿宋_GB2312" w:cs="仿宋_GB2312"/>
                      <w:sz w:val="18"/>
                    </w:rPr>
                    <w:t>1.优化后的平台界面架构基础上统一划分「AI广场、工作台、知识库、账号」一级菜单，工作台分为Agent、我的工具、系统工具、MCP服务四大分区；</w:t>
                  </w:r>
                </w:p>
                <w:p w14:paraId="38B50A29">
                  <w:pPr>
                    <w:pStyle w:val="4"/>
                    <w:jc w:val="both"/>
                  </w:pPr>
                  <w:r>
                    <w:rPr>
                      <w:rFonts w:ascii="仿宋_GB2312" w:hAnsi="仿宋_GB2312" w:eastAsia="仿宋_GB2312" w:cs="仿宋_GB2312"/>
                      <w:sz w:val="18"/>
                    </w:rPr>
                    <w:t>▲2.简易、高级智能体统一提供多渠道对外发布能力：免登录分享链接、API接口、飞书机器人、钉钉机器人、公众号接入；</w:t>
                  </w:r>
                </w:p>
                <w:p w14:paraId="324C7D6F">
                  <w:pPr>
                    <w:pStyle w:val="4"/>
                    <w:jc w:val="both"/>
                  </w:pPr>
                  <w:r>
                    <w:rPr>
                      <w:rFonts w:ascii="仿宋_GB2312" w:hAnsi="仿宋_GB2312" w:eastAsia="仿宋_GB2312" w:cs="仿宋_GB2312"/>
                      <w:sz w:val="18"/>
                    </w:rPr>
                    <w:t>3.插件全生命周期管理：查看插件列表、启用/禁用、版本查看、参数配置、在线更新；CURL、OpenAPI批量自定义插件工作流；</w:t>
                  </w:r>
                </w:p>
                <w:p w14:paraId="2BC8B08C">
                  <w:pPr>
                    <w:pStyle w:val="4"/>
                    <w:jc w:val="both"/>
                  </w:pPr>
                  <w:r>
                    <w:rPr>
                      <w:rFonts w:ascii="仿宋_GB2312" w:hAnsi="仿宋_GB2312" w:eastAsia="仿宋_GB2312" w:cs="仿宋_GB2312"/>
                      <w:sz w:val="18"/>
                    </w:rPr>
                    <w:t>4.内置标准化模板市场，按通用、校园行业分类，模板浏览、上传、下载、分类启用，降低零代码开发门槛。</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BB5A55">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7E54234"/>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31B561"/>
              </w:tc>
            </w:tr>
            <w:tr w14:paraId="56063F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9098B4"/>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6A5AD4"/>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B6C9E82">
                  <w:pPr>
                    <w:pStyle w:val="4"/>
                    <w:jc w:val="center"/>
                  </w:pPr>
                  <w:r>
                    <w:rPr>
                      <w:rFonts w:ascii="仿宋_GB2312" w:hAnsi="仿宋_GB2312" w:eastAsia="仿宋_GB2312" w:cs="仿宋_GB2312"/>
                      <w:sz w:val="18"/>
                    </w:rPr>
                    <w:t>账号与多租户配套精细化升级</w:t>
                  </w:r>
                </w:p>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53FC82">
                  <w:pPr>
                    <w:pStyle w:val="4"/>
                    <w:jc w:val="both"/>
                  </w:pPr>
                  <w:r>
                    <w:rPr>
                      <w:rFonts w:ascii="仿宋_GB2312" w:hAnsi="仿宋_GB2312" w:eastAsia="仿宋_GB2312" w:cs="仿宋_GB2312"/>
                      <w:sz w:val="18"/>
                    </w:rPr>
                    <w:t>1.在原有平台账号权限体系基础上迭代优化，个人账号全维度管理：头像、密码、权限修改、平台使用记录查询；</w:t>
                  </w:r>
                  <w:r>
                    <w:br w:type="textWrapping"/>
                  </w:r>
                  <w:r>
                    <w:rPr>
                      <w:rFonts w:ascii="仿宋_GB2312" w:hAnsi="仿宋_GB2312" w:eastAsia="仿宋_GB2312" w:cs="仿宋_GB2312"/>
                      <w:sz w:val="18"/>
                    </w:rPr>
                    <w:t xml:space="preserve"> 2.团队成员批量管理，基于组织架构增删成员、分配多级权限；</w:t>
                  </w:r>
                </w:p>
                <w:p w14:paraId="38FB2CFF">
                  <w:pPr>
                    <w:pStyle w:val="4"/>
                    <w:jc w:val="both"/>
                  </w:pPr>
                  <w:r>
                    <w:rPr>
                      <w:rFonts w:ascii="仿宋_GB2312" w:hAnsi="仿宋_GB2312" w:eastAsia="仿宋_GB2312" w:cs="仿宋_GB2312"/>
                      <w:sz w:val="18"/>
                    </w:rPr>
                    <w:t>3.API密钥统一管控、中英文切换、时区自定义适配不同使用场景；</w:t>
                  </w:r>
                </w:p>
                <w:p w14:paraId="43988DA8">
                  <w:pPr>
                    <w:pStyle w:val="4"/>
                    <w:jc w:val="both"/>
                  </w:pPr>
                  <w:r>
                    <w:rPr>
                      <w:rFonts w:ascii="仿宋_GB2312" w:hAnsi="仿宋_GB2312" w:eastAsia="仿宋_GB2312" w:cs="仿宋_GB2312"/>
                      <w:sz w:val="18"/>
                    </w:rPr>
                    <w:t>4. 多租户配套管控，各学院/部门租户资源、知识库、智能体相互隔离，按租户独立调度，后台统一管理、二级授权。</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8419A0">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1762BDF"/>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DA97FF"/>
              </w:tc>
            </w:tr>
            <w:tr w14:paraId="7422B2F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40D2F5"/>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B68FDC"/>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B37E6A">
                  <w:pPr>
                    <w:pStyle w:val="4"/>
                    <w:jc w:val="center"/>
                  </w:pPr>
                  <w:r>
                    <w:rPr>
                      <w:rFonts w:ascii="仿宋_GB2312" w:hAnsi="仿宋_GB2312" w:eastAsia="仿宋_GB2312" w:cs="仿宋_GB2312"/>
                      <w:sz w:val="18"/>
                    </w:rPr>
                    <w:t>业务协同要求</w:t>
                  </w:r>
                </w:p>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D34E1E">
                  <w:pPr>
                    <w:pStyle w:val="4"/>
                    <w:jc w:val="left"/>
                  </w:pPr>
                  <w:r>
                    <w:rPr>
                      <w:rFonts w:ascii="仿宋_GB2312" w:hAnsi="仿宋_GB2312" w:eastAsia="仿宋_GB2312" w:cs="仿宋_GB2312"/>
                      <w:sz w:val="18"/>
                    </w:rPr>
                    <w:t>▲1.AI中台作为校园智能化的核心支撑平台，能够为校级问答助手、智能问数、AI就业等应用场景提供统一技术底座和能力。本项目所有AI应用场景及智能体须基于学校现有AI中台进行建设和开发，同时与学校现有系统平台的深度融合。包括但不限于AI中台、统一身份认证平台、数据中台、学工系统、教务系统等。中标供应商须承担与本项目相关的所有对接费用（包括但不限于接口开发、系统集成、第三方协调及检测等），采购人不再另行支付。</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2EBED6">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49EA0E"/>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247794"/>
              </w:tc>
            </w:tr>
            <w:tr w14:paraId="750F4C6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60E36A"/>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AB0676"/>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EBCBAE4">
                  <w:pPr>
                    <w:pStyle w:val="4"/>
                    <w:jc w:val="center"/>
                  </w:pPr>
                  <w:r>
                    <w:rPr>
                      <w:rFonts w:ascii="仿宋_GB2312" w:hAnsi="仿宋_GB2312" w:eastAsia="仿宋_GB2312" w:cs="仿宋_GB2312"/>
                      <w:sz w:val="18"/>
                    </w:rPr>
                    <w:t>AI就业智能化场景</w:t>
                  </w:r>
                </w:p>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CFE344C">
                  <w:pPr>
                    <w:pStyle w:val="4"/>
                    <w:jc w:val="both"/>
                  </w:pPr>
                  <w:r>
                    <w:rPr>
                      <w:rFonts w:ascii="仿宋_GB2312" w:hAnsi="仿宋_GB2312" w:eastAsia="仿宋_GB2312" w:cs="仿宋_GB2312"/>
                      <w:sz w:val="18"/>
                    </w:rPr>
                    <w:t>1.求职政策解读智能体：</w:t>
                  </w:r>
                </w:p>
                <w:p w14:paraId="10472502">
                  <w:pPr>
                    <w:pStyle w:val="4"/>
                    <w:jc w:val="left"/>
                  </w:pPr>
                  <w:r>
                    <w:rPr>
                      <w:rFonts w:ascii="仿宋_GB2312" w:hAnsi="仿宋_GB2312" w:eastAsia="仿宋_GB2312" w:cs="仿宋_GB2312"/>
                      <w:sz w:val="18"/>
                    </w:rPr>
                    <w:t>①自动解析校招、事业单位、规培、考公、基层服务等就业政策；</w:t>
                  </w:r>
                  <w:r>
                    <w:br w:type="textWrapping"/>
                  </w:r>
                  <w:r>
                    <w:rPr>
                      <w:rFonts w:ascii="仿宋_GB2312" w:hAnsi="仿宋_GB2312" w:eastAsia="仿宋_GB2312" w:cs="仿宋_GB2312"/>
                      <w:sz w:val="18"/>
                    </w:rPr>
                    <w:t xml:space="preserve"> ②根据学生学历、专业匹配对应政策红利与报考条件；</w:t>
                  </w:r>
                  <w:r>
                    <w:br w:type="textWrapping"/>
                  </w:r>
                  <w:r>
                    <w:rPr>
                      <w:rFonts w:ascii="仿宋_GB2312" w:hAnsi="仿宋_GB2312" w:eastAsia="仿宋_GB2312" w:cs="仿宋_GB2312"/>
                      <w:sz w:val="18"/>
                    </w:rPr>
                    <w:t xml:space="preserve"> ③智能答疑补贴、落户、报考限制等问题；</w:t>
                  </w:r>
                  <w:r>
                    <w:br w:type="textWrapping"/>
                  </w:r>
                  <w:r>
                    <w:rPr>
                      <w:rFonts w:ascii="仿宋_GB2312" w:hAnsi="仿宋_GB2312" w:eastAsia="仿宋_GB2312" w:cs="仿宋_GB2312"/>
                      <w:sz w:val="18"/>
                    </w:rPr>
                    <w:t xml:space="preserve"> ④推送适配政策简报，减轻老师政策宣讲工作量。</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AE31868">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259C57"/>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72142D"/>
              </w:tc>
            </w:tr>
            <w:tr w14:paraId="5BC6E9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9666C6"/>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10D39F"/>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C3B471"/>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57BBF9D">
                  <w:pPr>
                    <w:pStyle w:val="4"/>
                    <w:jc w:val="both"/>
                  </w:pPr>
                  <w:r>
                    <w:rPr>
                      <w:rFonts w:ascii="仿宋_GB2312" w:hAnsi="仿宋_GB2312" w:eastAsia="仿宋_GB2312" w:cs="仿宋_GB2312"/>
                      <w:sz w:val="18"/>
                    </w:rPr>
                    <w:t>2.就业问数智能体：</w:t>
                  </w:r>
                </w:p>
                <w:p w14:paraId="7DBF3BDB">
                  <w:pPr>
                    <w:pStyle w:val="4"/>
                    <w:jc w:val="left"/>
                  </w:pPr>
                  <w:r>
                    <w:rPr>
                      <w:rFonts w:ascii="仿宋_GB2312" w:hAnsi="仿宋_GB2312" w:eastAsia="仿宋_GB2312" w:cs="仿宋_GB2312"/>
                      <w:sz w:val="18"/>
                    </w:rPr>
                    <w:t>汇总各专业、年级就业率、深造率、行业分布等就业数据；自定义筛选维度，一键生成月度、年度就业分析报表，直观展示求职落实情况，辅助教师开展就业研判工作。</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A829CF7">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846BFCF"/>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F7CA00"/>
              </w:tc>
            </w:tr>
            <w:tr w14:paraId="7671B4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CF14F6"/>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1ACBF2"/>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929994"/>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D2C3D0">
                  <w:pPr>
                    <w:pStyle w:val="4"/>
                    <w:jc w:val="both"/>
                  </w:pPr>
                  <w:r>
                    <w:rPr>
                      <w:rFonts w:ascii="仿宋_GB2312" w:hAnsi="仿宋_GB2312" w:eastAsia="仿宋_GB2312" w:cs="仿宋_GB2312"/>
                      <w:sz w:val="18"/>
                    </w:rPr>
                    <w:t>3.AI简历生成智能体：</w:t>
                  </w:r>
                </w:p>
                <w:p w14:paraId="59D2900E">
                  <w:pPr>
                    <w:pStyle w:val="4"/>
                    <w:jc w:val="left"/>
                  </w:pPr>
                  <w:r>
                    <w:rPr>
                      <w:rFonts w:ascii="仿宋_GB2312" w:hAnsi="仿宋_GB2312" w:eastAsia="仿宋_GB2312" w:cs="仿宋_GB2312"/>
                      <w:sz w:val="18"/>
                    </w:rPr>
                    <w:t>自动对接校内学生数据库，一键抓取学生基本信息、学业成绩等数据；无需学生手动填报，自动清洗、规整内容，适配医疗岗、升学考研、企业求职等多类简历模板，一键生成标准化个人简历文档。</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2C34B0">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6B8D65"/>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14AAD9"/>
              </w:tc>
            </w:tr>
            <w:tr w14:paraId="7DEB5E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B9290F"/>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718F84"/>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D835AA3">
                  <w:pPr>
                    <w:pStyle w:val="4"/>
                    <w:jc w:val="center"/>
                  </w:pPr>
                  <w:r>
                    <w:rPr>
                      <w:rFonts w:ascii="仿宋_GB2312" w:hAnsi="仿宋_GB2312" w:eastAsia="仿宋_GB2312" w:cs="仿宋_GB2312"/>
                      <w:sz w:val="18"/>
                    </w:rPr>
                    <w:t>AI学工智能化场景</w:t>
                  </w:r>
                </w:p>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6772CC3">
                  <w:pPr>
                    <w:pStyle w:val="4"/>
                    <w:jc w:val="both"/>
                  </w:pPr>
                  <w:r>
                    <w:rPr>
                      <w:rFonts w:ascii="仿宋_GB2312" w:hAnsi="仿宋_GB2312" w:eastAsia="仿宋_GB2312" w:cs="仿宋_GB2312"/>
                      <w:sz w:val="18"/>
                    </w:rPr>
                    <w:t>1.请假宿管综合分析智能体：</w:t>
                  </w:r>
                </w:p>
                <w:p w14:paraId="358B25CD">
                  <w:pPr>
                    <w:pStyle w:val="4"/>
                    <w:jc w:val="left"/>
                  </w:pPr>
                  <w:r>
                    <w:rPr>
                      <w:rFonts w:ascii="仿宋_GB2312" w:hAnsi="仿宋_GB2312" w:eastAsia="仿宋_GB2312" w:cs="仿宋_GB2312"/>
                      <w:sz w:val="18"/>
                    </w:rPr>
                    <w:t>①对接请假、查寝数据，归集晚归、无故缺寝、高频请假记录；</w:t>
                  </w:r>
                  <w:r>
                    <w:br w:type="textWrapping"/>
                  </w:r>
                  <w:r>
                    <w:rPr>
                      <w:rFonts w:ascii="仿宋_GB2312" w:hAnsi="仿宋_GB2312" w:eastAsia="仿宋_GB2312" w:cs="仿宋_GB2312"/>
                      <w:sz w:val="18"/>
                    </w:rPr>
                    <w:t xml:space="preserve"> ②自定义风险阈值识别重点学生；</w:t>
                  </w:r>
                  <w:r>
                    <w:br w:type="textWrapping"/>
                  </w:r>
                  <w:r>
                    <w:rPr>
                      <w:rFonts w:ascii="仿宋_GB2312" w:hAnsi="仿宋_GB2312" w:eastAsia="仿宋_GB2312" w:cs="仿宋_GB2312"/>
                      <w:sz w:val="18"/>
                    </w:rPr>
                    <w:t xml:space="preserve"> ③自动向辅导员推送异常预警；</w:t>
                  </w:r>
                  <w:r>
                    <w:br w:type="textWrapping"/>
                  </w:r>
                  <w:r>
                    <w:rPr>
                      <w:rFonts w:ascii="仿宋_GB2312" w:hAnsi="仿宋_GB2312" w:eastAsia="仿宋_GB2312" w:cs="仿宋_GB2312"/>
                      <w:sz w:val="18"/>
                    </w:rPr>
                    <w:t xml:space="preserve"> ④输出月度统计报告，支撑宿舍安全与学生身心健康管理。</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9F1BD9">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B1D3BD8"/>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F95F09"/>
              </w:tc>
            </w:tr>
            <w:tr w14:paraId="436EC1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D1C64D"/>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B4AB1A"/>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B0F1519"/>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67858D5">
                  <w:pPr>
                    <w:pStyle w:val="4"/>
                    <w:jc w:val="both"/>
                  </w:pPr>
                  <w:r>
                    <w:rPr>
                      <w:rFonts w:ascii="仿宋_GB2312" w:hAnsi="仿宋_GB2312" w:eastAsia="仿宋_GB2312" w:cs="仿宋_GB2312"/>
                      <w:sz w:val="18"/>
                    </w:rPr>
                    <w:t>2.课堂到课率预警智能体：</w:t>
                  </w:r>
                </w:p>
                <w:p w14:paraId="1A97A4DA">
                  <w:pPr>
                    <w:pStyle w:val="4"/>
                    <w:jc w:val="left"/>
                  </w:pPr>
                  <w:r>
                    <w:rPr>
                      <w:rFonts w:ascii="仿宋_GB2312" w:hAnsi="仿宋_GB2312" w:eastAsia="仿宋_GB2312" w:cs="仿宋_GB2312"/>
                      <w:sz w:val="18"/>
                    </w:rPr>
                    <w:t>①对接考勤系统，区分出勤、迟到、旷课等状态；②自定义缺勤规则划分三级预警；③向辅导员推送缺课提醒与学生出勤台账；④生成多维度到课率报表，为学风、学籍管理提供数据支撑。</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6223F49">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CD8C1A"/>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76D709"/>
              </w:tc>
            </w:tr>
            <w:tr w14:paraId="4A3258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3A0C85"/>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206F8E"/>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268BF21"/>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3FB8AB">
                  <w:pPr>
                    <w:pStyle w:val="4"/>
                    <w:jc w:val="both"/>
                  </w:pPr>
                  <w:r>
                    <w:rPr>
                      <w:rFonts w:ascii="仿宋_GB2312" w:hAnsi="仿宋_GB2312" w:eastAsia="仿宋_GB2312" w:cs="仿宋_GB2312"/>
                      <w:sz w:val="18"/>
                    </w:rPr>
                    <w:t>3.学工综合预警智能体：</w:t>
                  </w:r>
                </w:p>
                <w:p w14:paraId="1652FE2E">
                  <w:pPr>
                    <w:pStyle w:val="4"/>
                    <w:jc w:val="left"/>
                  </w:pPr>
                  <w:r>
                    <w:rPr>
                      <w:rFonts w:ascii="仿宋_GB2312" w:hAnsi="仿宋_GB2312" w:eastAsia="仿宋_GB2312" w:cs="仿宋_GB2312"/>
                      <w:sz w:val="18"/>
                    </w:rPr>
                    <w:t>①自动汇聚请假、查寝、课堂考勤全量数据，可视化展示全院、各班级出勤、住宿异常数据分布；</w:t>
                  </w:r>
                  <w:r>
                    <w:br w:type="textWrapping"/>
                  </w:r>
                  <w:r>
                    <w:rPr>
                      <w:rFonts w:ascii="仿宋_GB2312" w:hAnsi="仿宋_GB2312" w:eastAsia="仿宋_GB2312" w:cs="仿宋_GB2312"/>
                      <w:sz w:val="18"/>
                    </w:rPr>
                    <w:t xml:space="preserve"> ②内置AI数据问答功能，可自然语言查询高频请假、到课率情况；</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642B1D">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331EC13"/>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99FB81"/>
              </w:tc>
            </w:tr>
            <w:tr w14:paraId="6ED89F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90BDE0"/>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CD2D44"/>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680EAB"/>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7FFFBAD">
                  <w:pPr>
                    <w:pStyle w:val="4"/>
                    <w:jc w:val="both"/>
                  </w:pPr>
                  <w:r>
                    <w:rPr>
                      <w:rFonts w:ascii="仿宋_GB2312" w:hAnsi="仿宋_GB2312" w:eastAsia="仿宋_GB2312" w:cs="仿宋_GB2312"/>
                      <w:sz w:val="18"/>
                    </w:rPr>
                    <w:t>4.学业挂科风险预警智能体：</w:t>
                  </w:r>
                </w:p>
                <w:p w14:paraId="014E4130">
                  <w:pPr>
                    <w:pStyle w:val="4"/>
                    <w:jc w:val="left"/>
                  </w:pPr>
                  <w:r>
                    <w:rPr>
                      <w:rFonts w:ascii="仿宋_GB2312" w:hAnsi="仿宋_GB2312" w:eastAsia="仿宋_GB2312" w:cs="仿宋_GB2312"/>
                      <w:sz w:val="18"/>
                    </w:rPr>
                    <w:t>同步期中期末成绩、作业提交、课堂考勤；根据学分、不及格科目设置预警标准，推送学困生给任课教师与辅导员。</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06B2F2">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110DDF6"/>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F1B895B"/>
              </w:tc>
            </w:tr>
            <w:tr w14:paraId="376A2A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5DAFF2"/>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E8A2A4"/>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B16EA02"/>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71584FA">
                  <w:pPr>
                    <w:pStyle w:val="4"/>
                    <w:jc w:val="both"/>
                  </w:pPr>
                  <w:r>
                    <w:rPr>
                      <w:rFonts w:ascii="仿宋_GB2312" w:hAnsi="仿宋_GB2312" w:eastAsia="仿宋_GB2312" w:cs="仿宋_GB2312"/>
                      <w:sz w:val="18"/>
                    </w:rPr>
                    <w:t>5.考研升学规划智能体：</w:t>
                  </w:r>
                </w:p>
                <w:p w14:paraId="5EA0E0BE">
                  <w:pPr>
                    <w:pStyle w:val="4"/>
                    <w:jc w:val="left"/>
                  </w:pPr>
                  <w:r>
                    <w:rPr>
                      <w:rFonts w:ascii="仿宋_GB2312" w:hAnsi="仿宋_GB2312" w:eastAsia="仿宋_GB2312" w:cs="仿宋_GB2312"/>
                      <w:sz w:val="18"/>
                    </w:rPr>
                    <w:t>匹配医学类院校、专硕学硕报考信息；根据学生成绩制定复习计划，统计班级考研报名、复习进度，推送未启动备考学生清单。</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EF4D92">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CB84DBF"/>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D4A6CA"/>
              </w:tc>
            </w:tr>
            <w:tr w14:paraId="5B555C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A5D175"/>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4F671C"/>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18C9AB2">
                  <w:pPr>
                    <w:pStyle w:val="4"/>
                    <w:jc w:val="center"/>
                  </w:pPr>
                  <w:r>
                    <w:rPr>
                      <w:rFonts w:ascii="仿宋_GB2312" w:hAnsi="仿宋_GB2312" w:eastAsia="仿宋_GB2312" w:cs="仿宋_GB2312"/>
                      <w:sz w:val="18"/>
                    </w:rPr>
                    <w:t>AI后勤智能化场景</w:t>
                  </w:r>
                </w:p>
                <w:p w14:paraId="3F62842C">
                  <w:pPr>
                    <w:pStyle w:val="4"/>
                    <w:jc w:val="left"/>
                  </w:pPr>
                </w:p>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CF7D70">
                  <w:pPr>
                    <w:pStyle w:val="4"/>
                    <w:jc w:val="both"/>
                  </w:pPr>
                  <w:r>
                    <w:rPr>
                      <w:rFonts w:ascii="仿宋_GB2312" w:hAnsi="仿宋_GB2312" w:eastAsia="仿宋_GB2312" w:cs="仿宋_GB2312"/>
                      <w:sz w:val="18"/>
                    </w:rPr>
                    <w:t>1.医疗物资仓储管理智能体：</w:t>
                  </w:r>
                </w:p>
                <w:p w14:paraId="64D3D8A7">
                  <w:pPr>
                    <w:pStyle w:val="4"/>
                    <w:jc w:val="both"/>
                  </w:pPr>
                  <w:r>
                    <w:rPr>
                      <w:rFonts w:ascii="仿宋_GB2312" w:hAnsi="仿宋_GB2312" w:eastAsia="仿宋_GB2312" w:cs="仿宋_GB2312"/>
                      <w:sz w:val="18"/>
                    </w:rPr>
                    <w:t>针对医学院实训耗材、医用试剂入库出库全记录；</w:t>
                  </w:r>
                </w:p>
                <w:p w14:paraId="53597A0A">
                  <w:pPr>
                    <w:pStyle w:val="4"/>
                    <w:jc w:val="both"/>
                  </w:pPr>
                  <w:r>
                    <w:rPr>
                      <w:rFonts w:ascii="仿宋_GB2312" w:hAnsi="仿宋_GB2312" w:eastAsia="仿宋_GB2312" w:cs="仿宋_GB2312"/>
                      <w:sz w:val="18"/>
                    </w:rPr>
                    <w:t>设置库存预警，耗材临期自动提醒采购，生成月度耗材消耗台账。</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AE02C5">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3D1F6DD"/>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F0C828"/>
              </w:tc>
            </w:tr>
            <w:tr w14:paraId="33853B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C67166"/>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E0284E"/>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236CCA7"/>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9F45B9">
                  <w:pPr>
                    <w:pStyle w:val="4"/>
                    <w:jc w:val="both"/>
                  </w:pPr>
                  <w:r>
                    <w:rPr>
                      <w:rFonts w:ascii="仿宋_GB2312" w:hAnsi="仿宋_GB2312" w:eastAsia="仿宋_GB2312" w:cs="仿宋_GB2312"/>
                      <w:sz w:val="18"/>
                    </w:rPr>
                    <w:t>2.食堂就餐数据分析智能体：</w:t>
                  </w:r>
                </w:p>
                <w:p w14:paraId="6764CCE2">
                  <w:pPr>
                    <w:pStyle w:val="4"/>
                    <w:jc w:val="both"/>
                  </w:pPr>
                  <w:r>
                    <w:rPr>
                      <w:rFonts w:ascii="仿宋_GB2312" w:hAnsi="仿宋_GB2312" w:eastAsia="仿宋_GB2312" w:cs="仿宋_GB2312"/>
                      <w:sz w:val="18"/>
                    </w:rPr>
                    <w:t>采集各窗口就餐人次、菜品消耗、剩餐数据；</w:t>
                  </w:r>
                </w:p>
                <w:p w14:paraId="3EAB7498">
                  <w:pPr>
                    <w:pStyle w:val="4"/>
                    <w:jc w:val="both"/>
                  </w:pPr>
                  <w:r>
                    <w:rPr>
                      <w:rFonts w:ascii="仿宋_GB2312" w:hAnsi="仿宋_GB2312" w:eastAsia="仿宋_GB2312" w:cs="仿宋_GB2312"/>
                      <w:sz w:val="18"/>
                    </w:rPr>
                    <w:t>分析热门/滞销菜品，给出食材采购优化建议，统计食堂就餐高峰错峰方案。</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FB35E2">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826B52"/>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9C2F49"/>
              </w:tc>
            </w:tr>
            <w:tr w14:paraId="6A469B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0A9457"/>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E22A41"/>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556941"/>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E60637">
                  <w:pPr>
                    <w:pStyle w:val="4"/>
                    <w:jc w:val="both"/>
                  </w:pPr>
                  <w:r>
                    <w:rPr>
                      <w:rFonts w:ascii="仿宋_GB2312" w:hAnsi="仿宋_GB2312" w:eastAsia="仿宋_GB2312" w:cs="仿宋_GB2312"/>
                      <w:sz w:val="18"/>
                    </w:rPr>
                    <w:t>3.校内资产盘点分析智能体：</w:t>
                  </w:r>
                </w:p>
                <w:p w14:paraId="0CA18D8D">
                  <w:pPr>
                    <w:pStyle w:val="4"/>
                    <w:jc w:val="both"/>
                  </w:pPr>
                  <w:r>
                    <w:rPr>
                      <w:rFonts w:ascii="仿宋_GB2312" w:hAnsi="仿宋_GB2312" w:eastAsia="仿宋_GB2312" w:cs="仿宋_GB2312"/>
                      <w:sz w:val="18"/>
                    </w:rPr>
                    <w:t>录入教室、实验室、办公室固定资产信息；定期自动盘点，识别闲置、报废、丢失资产，推送资产处置与调拨建议。</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24E067D">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0C951FC"/>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7E6422"/>
              </w:tc>
            </w:tr>
            <w:tr w14:paraId="6A46BC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59D7D9"/>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4B179D"/>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DC7DB57">
                  <w:pPr>
                    <w:pStyle w:val="4"/>
                    <w:jc w:val="center"/>
                  </w:pPr>
                  <w:r>
                    <w:rPr>
                      <w:rFonts w:ascii="仿宋_GB2312" w:hAnsi="仿宋_GB2312" w:eastAsia="仿宋_GB2312" w:cs="仿宋_GB2312"/>
                      <w:sz w:val="18"/>
                    </w:rPr>
                    <w:t>AI科研智能化场景</w:t>
                  </w:r>
                </w:p>
                <w:p w14:paraId="3DB944DF">
                  <w:pPr>
                    <w:pStyle w:val="4"/>
                    <w:jc w:val="left"/>
                  </w:pPr>
                </w:p>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45D5BC1">
                  <w:pPr>
                    <w:pStyle w:val="4"/>
                    <w:jc w:val="both"/>
                  </w:pPr>
                  <w:r>
                    <w:rPr>
                      <w:rFonts w:ascii="仿宋_GB2312" w:hAnsi="仿宋_GB2312" w:eastAsia="仿宋_GB2312" w:cs="仿宋_GB2312"/>
                      <w:sz w:val="18"/>
                    </w:rPr>
                    <w:t>1.论文成果统计智能体：</w:t>
                  </w:r>
                </w:p>
                <w:p w14:paraId="43C46BC7">
                  <w:pPr>
                    <w:pStyle w:val="4"/>
                    <w:jc w:val="both"/>
                  </w:pPr>
                  <w:r>
                    <w:rPr>
                      <w:rFonts w:ascii="仿宋_GB2312" w:hAnsi="仿宋_GB2312" w:eastAsia="仿宋_GB2312" w:cs="仿宋_GB2312"/>
                      <w:sz w:val="18"/>
                    </w:rPr>
                    <w:t>自动抓取教职工、学生 SCI、核心期刊、专利成果；分学院、年度统计科研产出，生成科研成果汇总报表用于职称评审。</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738F0D5">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A65ED7D"/>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46C46F"/>
              </w:tc>
            </w:tr>
            <w:tr w14:paraId="0A70AAB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14E7F3"/>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1964C6"/>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18D8FE"/>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FB576A">
                  <w:pPr>
                    <w:pStyle w:val="4"/>
                    <w:jc w:val="both"/>
                  </w:pPr>
                  <w:r>
                    <w:rPr>
                      <w:rFonts w:ascii="仿宋_GB2312" w:hAnsi="仿宋_GB2312" w:eastAsia="仿宋_GB2312" w:cs="仿宋_GB2312"/>
                      <w:sz w:val="18"/>
                    </w:rPr>
                    <w:t>2.科研知识图谱智能体：</w:t>
                  </w:r>
                </w:p>
                <w:p w14:paraId="376B394F">
                  <w:pPr>
                    <w:pStyle w:val="4"/>
                    <w:jc w:val="both"/>
                  </w:pPr>
                  <w:r>
                    <w:rPr>
                      <w:rFonts w:ascii="仿宋_GB2312" w:hAnsi="仿宋_GB2312" w:eastAsia="仿宋_GB2312" w:cs="仿宋_GB2312"/>
                      <w:sz w:val="18"/>
                    </w:rPr>
                    <w:t>①整合校内医学文献、课题、专利、学者、实验数据构建可视化知识图谱；</w:t>
                  </w:r>
                  <w:r>
                    <w:br w:type="textWrapping"/>
                  </w:r>
                  <w:r>
                    <w:rPr>
                      <w:rFonts w:ascii="仿宋_GB2312" w:hAnsi="仿宋_GB2312" w:eastAsia="仿宋_GB2312" w:cs="仿宋_GB2312"/>
                      <w:sz w:val="18"/>
                    </w:rPr>
                    <w:t xml:space="preserve"> ②挖掘学科研究关联、合作网络与空白研究方向，自动生成学科发展分析图谱，为课题申报提供参考。</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3A62636">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7C13F05"/>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ED4B51"/>
              </w:tc>
            </w:tr>
            <w:tr w14:paraId="733255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25FD25"/>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EE78DB"/>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0F980A5"/>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1447B1">
                  <w:pPr>
                    <w:pStyle w:val="4"/>
                    <w:jc w:val="both"/>
                  </w:pPr>
                  <w:r>
                    <w:rPr>
                      <w:rFonts w:ascii="仿宋_GB2312" w:hAnsi="仿宋_GB2312" w:eastAsia="仿宋_GB2312" w:cs="仿宋_GB2312"/>
                      <w:sz w:val="18"/>
                    </w:rPr>
                    <w:t>3.中英文文献精读拆解智能体：</w:t>
                  </w:r>
                </w:p>
                <w:p w14:paraId="5E611346">
                  <w:pPr>
                    <w:pStyle w:val="4"/>
                    <w:jc w:val="both"/>
                  </w:pPr>
                  <w:r>
                    <w:rPr>
                      <w:rFonts w:ascii="仿宋_GB2312" w:hAnsi="仿宋_GB2312" w:eastAsia="仿宋_GB2312" w:cs="仿宋_GB2312"/>
                      <w:sz w:val="18"/>
                    </w:rPr>
                    <w:t>①批量导入医学中英文文献，自动提取研究目的、实验方法、核心结论、局限性；</w:t>
                  </w:r>
                  <w:r>
                    <w:br w:type="textWrapping"/>
                  </w:r>
                  <w:r>
                    <w:rPr>
                      <w:rFonts w:ascii="仿宋_GB2312" w:hAnsi="仿宋_GB2312" w:eastAsia="仿宋_GB2312" w:cs="仿宋_GB2312"/>
                      <w:sz w:val="18"/>
                    </w:rPr>
                    <w:t xml:space="preserve"> ②生成标准化精读笔记，按研究方向分类归档，便于快速查阅。</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114D22E">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766F30"/>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C4A258"/>
              </w:tc>
            </w:tr>
            <w:tr w14:paraId="694C8F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473657"/>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01A9BF"/>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B57B008"/>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EDA1FC">
                  <w:pPr>
                    <w:pStyle w:val="4"/>
                    <w:jc w:val="both"/>
                  </w:pPr>
                  <w:r>
                    <w:rPr>
                      <w:rFonts w:ascii="仿宋_GB2312" w:hAnsi="仿宋_GB2312" w:eastAsia="仿宋_GB2312" w:cs="仿宋_GB2312"/>
                      <w:sz w:val="18"/>
                    </w:rPr>
                    <w:t>4.实验方案标准化设计智能体：</w:t>
                  </w:r>
                </w:p>
                <w:p w14:paraId="0BD26469">
                  <w:pPr>
                    <w:pStyle w:val="4"/>
                    <w:jc w:val="both"/>
                  </w:pPr>
                  <w:r>
                    <w:rPr>
                      <w:rFonts w:ascii="仿宋_GB2312" w:hAnsi="仿宋_GB2312" w:eastAsia="仿宋_GB2312" w:cs="仿宋_GB2312"/>
                      <w:sz w:val="18"/>
                    </w:rPr>
                    <w:t>根据临床样本、细胞动物实验需求生成完整实验流程；标注试剂配比、对照设置、样本量标准，规避医学实验常见设计漏洞。</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2A9DD3">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95A054"/>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99EC40"/>
              </w:tc>
            </w:tr>
            <w:tr w14:paraId="1DF774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6D5E61"/>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F6FB5B"/>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1946615"/>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D0D914">
                  <w:pPr>
                    <w:pStyle w:val="4"/>
                    <w:jc w:val="both"/>
                  </w:pPr>
                  <w:r>
                    <w:rPr>
                      <w:rFonts w:ascii="仿宋_GB2312" w:hAnsi="仿宋_GB2312" w:eastAsia="仿宋_GB2312" w:cs="仿宋_GB2312"/>
                      <w:sz w:val="18"/>
                    </w:rPr>
                    <w:t>5.医学伦理申报辅助智能体：</w:t>
                  </w:r>
                </w:p>
                <w:p w14:paraId="427F4896">
                  <w:pPr>
                    <w:pStyle w:val="4"/>
                    <w:jc w:val="both"/>
                  </w:pPr>
                  <w:r>
                    <w:rPr>
                      <w:rFonts w:ascii="仿宋_GB2312" w:hAnsi="仿宋_GB2312" w:eastAsia="仿宋_GB2312" w:cs="仿宋_GB2312"/>
                      <w:sz w:val="18"/>
                    </w:rPr>
                    <w:t>自动生成临床研究伦理申请表、知情同意书模板；核对样本研究、人体试验申报必备材料，标注伦理审查常见驳回点</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8A84C95">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DC8266F"/>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876059"/>
              </w:tc>
            </w:tr>
            <w:tr w14:paraId="5CBB71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5D4633"/>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AC495C"/>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00D5F2"/>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8C3959A">
                  <w:pPr>
                    <w:pStyle w:val="4"/>
                    <w:jc w:val="both"/>
                  </w:pPr>
                  <w:r>
                    <w:rPr>
                      <w:rFonts w:ascii="仿宋_GB2312" w:hAnsi="仿宋_GB2312" w:eastAsia="仿宋_GB2312" w:cs="仿宋_GB2312"/>
                      <w:sz w:val="18"/>
                    </w:rPr>
                    <w:t>6.科研问数智能体：</w:t>
                  </w:r>
                </w:p>
                <w:p w14:paraId="4272D5C6">
                  <w:pPr>
                    <w:pStyle w:val="4"/>
                    <w:jc w:val="both"/>
                  </w:pPr>
                  <w:r>
                    <w:rPr>
                      <w:rFonts w:ascii="仿宋_GB2312" w:hAnsi="仿宋_GB2312" w:eastAsia="仿宋_GB2312" w:cs="仿宋_GB2312"/>
                      <w:sz w:val="18"/>
                    </w:rPr>
                    <w:t>①汇总校内各课题组论文、项目、专利、经费、样本等全维度科研数据；</w:t>
                  </w:r>
                </w:p>
                <w:p w14:paraId="61FB9363">
                  <w:pPr>
                    <w:pStyle w:val="4"/>
                    <w:jc w:val="both"/>
                  </w:pPr>
                  <w:r>
                    <w:rPr>
                      <w:rFonts w:ascii="仿宋_GB2312" w:hAnsi="仿宋_GB2312" w:eastAsia="仿宋_GB2312" w:cs="仿宋_GB2312"/>
                      <w:sz w:val="18"/>
                    </w:rPr>
                    <w:t>②自定义筛选维度，一键生成个人/课题组/学院多维度科研成果报表，可视化展示产出情况，辅助师生掌握自身科研进度。</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AD3FB5">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D1C682"/>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A91224"/>
              </w:tc>
            </w:tr>
            <w:tr w14:paraId="635D56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746F7E"/>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20A166"/>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3E0C40E"/>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27AD33">
                  <w:pPr>
                    <w:pStyle w:val="4"/>
                    <w:jc w:val="both"/>
                  </w:pPr>
                  <w:r>
                    <w:rPr>
                      <w:rFonts w:ascii="仿宋_GB2312" w:hAnsi="仿宋_GB2312" w:eastAsia="仿宋_GB2312" w:cs="仿宋_GB2312"/>
                      <w:sz w:val="18"/>
                    </w:rPr>
                    <w:t>7.教师科研工作专属赋能智能体：</w:t>
                  </w:r>
                </w:p>
                <w:p w14:paraId="66BFF9E5">
                  <w:pPr>
                    <w:pStyle w:val="4"/>
                    <w:jc w:val="both"/>
                  </w:pPr>
                  <w:r>
                    <w:rPr>
                      <w:rFonts w:ascii="仿宋_GB2312" w:hAnsi="仿宋_GB2312" w:eastAsia="仿宋_GB2312" w:cs="仿宋_GB2312"/>
                      <w:sz w:val="18"/>
                    </w:rPr>
                    <w:t>①根据指导老师实际科研工作需求，协助定制搭建专属智能体，覆盖科研统筹、项目管理、课题申报与结题全流程，梳理科研任务、规整研究材料、匹配同类研究案例，减轻科研管理与文书压力；</w:t>
                  </w:r>
                </w:p>
                <w:p w14:paraId="2B2B318A">
                  <w:pPr>
                    <w:pStyle w:val="4"/>
                    <w:jc w:val="both"/>
                  </w:pPr>
                  <w:r>
                    <w:rPr>
                      <w:rFonts w:ascii="仿宋_GB2312" w:hAnsi="仿宋_GB2312" w:eastAsia="仿宋_GB2312" w:cs="仿宋_GB2312"/>
                      <w:sz w:val="18"/>
                    </w:rPr>
                    <w:t>②结合老师科研带教与学生培养需求，协助搭建个性化科研指导智能体，适配不同研究方向，提供科研方案指导、科研问题答疑、论文校对优化等服务，提升科研带教效率；</w:t>
                  </w:r>
                </w:p>
                <w:p w14:paraId="160C0028">
                  <w:pPr>
                    <w:pStyle w:val="4"/>
                    <w:jc w:val="both"/>
                  </w:pPr>
                  <w:r>
                    <w:rPr>
                      <w:rFonts w:ascii="仿宋_GB2312" w:hAnsi="仿宋_GB2312" w:eastAsia="仿宋_GB2312" w:cs="仿宋_GB2312"/>
                      <w:sz w:val="18"/>
                    </w:rPr>
                    <w:t>③依据学校考核评审标准与教师科研发展需求，协助搭建定制化智能体，规整科研成果台账、适配各类考核评审工作，同步推送学科前沿、项目申报、学术会议等动态，助力科研创新。</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D3A2C5">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3D4040D"/>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3FA548"/>
              </w:tc>
            </w:tr>
            <w:tr w14:paraId="2F5D6C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53AA92"/>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574340"/>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2F6AA0">
                  <w:pPr>
                    <w:pStyle w:val="4"/>
                    <w:jc w:val="left"/>
                  </w:pPr>
                  <w:r>
                    <w:rPr>
                      <w:rFonts w:ascii="仿宋_GB2312" w:hAnsi="仿宋_GB2312" w:eastAsia="仿宋_GB2312" w:cs="仿宋_GB2312"/>
                      <w:sz w:val="18"/>
                    </w:rPr>
                    <w:t>AI通用智能办事场景</w:t>
                  </w:r>
                </w:p>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B5B402">
                  <w:pPr>
                    <w:pStyle w:val="4"/>
                    <w:jc w:val="both"/>
                  </w:pPr>
                  <w:r>
                    <w:rPr>
                      <w:rFonts w:ascii="仿宋_GB2312" w:hAnsi="仿宋_GB2312" w:eastAsia="仿宋_GB2312" w:cs="仿宋_GB2312"/>
                      <w:sz w:val="18"/>
                    </w:rPr>
                    <w:t>1.综合办事智能体：</w:t>
                  </w:r>
                </w:p>
                <w:p w14:paraId="7D46E57B">
                  <w:pPr>
                    <w:pStyle w:val="4"/>
                    <w:jc w:val="both"/>
                  </w:pPr>
                  <w:r>
                    <w:rPr>
                      <w:rFonts w:ascii="仿宋_GB2312" w:hAnsi="仿宋_GB2312" w:eastAsia="仿宋_GB2312" w:cs="仿宋_GB2312"/>
                      <w:sz w:val="18"/>
                    </w:rPr>
                    <w:t>①整合学籍证明补办、缓考申请、校外住宿报备、奖助申请、离校手续等全类型学生线上办事事项；</w:t>
                  </w:r>
                </w:p>
                <w:p w14:paraId="042F8A77">
                  <w:pPr>
                    <w:pStyle w:val="4"/>
                    <w:jc w:val="left"/>
                  </w:pPr>
                  <w:r>
                    <w:rPr>
                      <w:rFonts w:ascii="仿宋_GB2312" w:hAnsi="仿宋_GB2312" w:eastAsia="仿宋_GB2312" w:cs="仿宋_GB2312"/>
                      <w:sz w:val="18"/>
                    </w:rPr>
                    <w:t>②AI智能识别申请材料缺漏、填报错误，实时推送修改指引，减少退回返工。</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082ED5">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BCA79DC"/>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C4DD43"/>
              </w:tc>
            </w:tr>
            <w:tr w14:paraId="7AD227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15D8E1"/>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36B229"/>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5444A4A">
                  <w:pPr>
                    <w:pStyle w:val="4"/>
                    <w:jc w:val="left"/>
                  </w:pPr>
                  <w:r>
                    <w:rPr>
                      <w:rFonts w:ascii="仿宋_GB2312" w:hAnsi="仿宋_GB2312" w:eastAsia="仿宋_GB2312" w:cs="仿宋_GB2312"/>
                      <w:sz w:val="18"/>
                    </w:rPr>
                    <w:t>Token服务</w:t>
                  </w:r>
                </w:p>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795F2BC">
                  <w:pPr>
                    <w:pStyle w:val="4"/>
                    <w:jc w:val="left"/>
                  </w:pPr>
                  <w:r>
                    <w:rPr>
                      <w:rFonts w:ascii="仿宋_GB2312" w:hAnsi="仿宋_GB2312" w:eastAsia="仿宋_GB2312" w:cs="仿宋_GB2312"/>
                      <w:sz w:val="18"/>
                    </w:rPr>
                    <w:t>1.项目服务期3年内，每年免费提供30亿token数量供学校AI中台使用，超过部分按照实际使用量收费。</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09227E">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4159D0"/>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3170EC"/>
              </w:tc>
            </w:tr>
            <w:tr w14:paraId="3CF7FF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F288A5"/>
              </w:tc>
              <w:tc>
                <w:tcPr>
                  <w:tcW w:w="716"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DD6CAD"/>
              </w:tc>
              <w:tc>
                <w:tcPr>
                  <w:tcW w:w="1156"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30AAC3">
                  <w:pPr>
                    <w:pStyle w:val="4"/>
                    <w:jc w:val="left"/>
                  </w:pPr>
                  <w:r>
                    <w:rPr>
                      <w:rFonts w:ascii="仿宋_GB2312" w:hAnsi="仿宋_GB2312" w:eastAsia="仿宋_GB2312" w:cs="仿宋_GB2312"/>
                      <w:sz w:val="18"/>
                    </w:rPr>
                    <w:t>AI驻场服务</w:t>
                  </w:r>
                </w:p>
              </w:tc>
              <w:tc>
                <w:tcPr>
                  <w:tcW w:w="2598"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8EC262">
                  <w:pPr>
                    <w:pStyle w:val="4"/>
                    <w:jc w:val="left"/>
                  </w:pPr>
                  <w:r>
                    <w:rPr>
                      <w:rFonts w:ascii="仿宋_GB2312" w:hAnsi="仿宋_GB2312" w:eastAsia="仿宋_GB2312" w:cs="仿宋_GB2312"/>
                      <w:sz w:val="18"/>
                    </w:rPr>
                    <w:t>1.服务期内投标人须提供本项目不少于两名AI智能体开发技术人员驻场驻场服务。</w:t>
                  </w:r>
                </w:p>
              </w:tc>
              <w:tc>
                <w:tcPr>
                  <w:tcW w:w="667"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20802DF">
                  <w:pPr>
                    <w:pStyle w:val="4"/>
                    <w:jc w:val="center"/>
                  </w:pPr>
                </w:p>
              </w:tc>
              <w:tc>
                <w:tcPr>
                  <w:tcW w:w="591" w:type="dxa"/>
                  <w:tcBorders>
                    <w:top w:val="nil"/>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03F5E8A"/>
              </w:tc>
              <w:tc>
                <w:tcPr>
                  <w:tcW w:w="59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68F2C5"/>
              </w:tc>
            </w:tr>
          </w:tbl>
          <w:p w14:paraId="0BE45762"/>
        </w:tc>
      </w:tr>
    </w:tbl>
    <w:p w14:paraId="304BAD2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A427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0</Words>
  <Characters>0</Characters>
  <Lines>0</Lines>
  <Paragraphs>0</Paragraphs>
  <TotalTime>2</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2026-08-31T09:09:18Z</dcterms:created>
  <dc:creator>admin</dc:creator>
  <cp:lastModifiedBy>亿诚</cp:lastModifiedBy>
  <dcterms:modified xsi:type="dcterms:W3CDTF">2026-08-31T09:12:10Z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eyJoZGlkIjoiOWIzOTEzMDZhNTFmMmM2MmUwZGE2MmUwN2RkNTczZDYiLCJ1c2VySWQiOiIxNjk5OTM3MzU2In0=</vt:lpwstr>
  </property>
  <property fmtid="{D5CDD505-2E9C-101B-9397-08002B2CF9AE}" pid="4" name="ICV">
    <vt:lpwstr>4869DB9A1BF74112A7622F13F9D864E8_12</vt:lpwstr>
  </property>
</Properties>
</file>