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版本号：SXDC2026-ZB-00420260616001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西安市高陵区第四中学报告厅及党建室提升改造项目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SXDC2026-ZB-004</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西安市高陵区第四中学报告厅及党建室提升改造项目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西安市高陵区第四中学报告厅及党建室提升改造项目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第四中学报告厅及党建室提升改造项目，位于西安市高陵区第四中学内，主要工程内容为：报告厅原有装修部位拆除、地面、墙面、天棚、门窗及LED大屏、灯光音响系统、新风系统、录播系统等的新建，党建活动室原有装修部位拆除、地面、墙面、天棚、门窗及活动展板的新建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采购包1（西安市高陵区第四中学报告厅及党建室提升改造项目）：属于专门面向中小企业采购。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3、企业资质：投标人须具备建设行政主管部门颁发的建筑装修装饰工程专业承包二级及以上资质，且具备合格有效的安全生产许可证；</w:t>
      </w:r>
    </w:p>
    <w:p>
      <w:pPr>
        <w:pStyle w:val="null3"/>
      </w:pPr>
      <w:r>
        <w:rPr>
          <w:rFonts w:ascii="仿宋_GB2312" w:hAnsi="仿宋_GB2312" w:cs="仿宋_GB2312" w:eastAsia="仿宋_GB2312"/>
        </w:rPr>
        <w:t>4、项目经理要求：拟派项目经理具备建筑工程二级及以上注册建造师证、安全生产考核合格证（建安B证）、无在建工程承诺书（复印件加盖公章）；</w:t>
      </w:r>
    </w:p>
    <w:p>
      <w:pPr>
        <w:pStyle w:val="null3"/>
      </w:pPr>
      <w:r>
        <w:rPr>
          <w:rFonts w:ascii="仿宋_GB2312" w:hAnsi="仿宋_GB2312" w:cs="仿宋_GB2312" w:eastAsia="仿宋_GB2312"/>
        </w:rPr>
        <w:t>5、关联管理关系：单位负责人为同一人或者存在直接控股、管理关系的不同投标人，不得参加同一合同项下的政府采购活动；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6、非联合体承诺：本项目不接受联合体投标（提供承诺函）</w:t>
      </w:r>
    </w:p>
    <w:p>
      <w:pPr>
        <w:pStyle w:val="null3"/>
      </w:pPr>
      <w:r>
        <w:rPr>
          <w:rFonts w:ascii="仿宋_GB2312" w:hAnsi="仿宋_GB2312" w:cs="仿宋_GB2312" w:eastAsia="仿宋_GB2312"/>
        </w:rPr>
        <w:t>7、有效的主体资格证明文件：具有独立承担民事责任能力的法人、其他组织或自然人，并出具合法有效的营业执照或事业单位法人证书等国家规定的相关证明，自然人参与的提供其身份证明书；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10、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11、无重大违法记录：参加政府采购活动前3年内，在经营活动中没有重大违法记录（提供书面声明）；</w:t>
      </w:r>
    </w:p>
    <w:p>
      <w:pPr>
        <w:pStyle w:val="null3"/>
      </w:pPr>
      <w:r>
        <w:rPr>
          <w:rFonts w:ascii="仿宋_GB2312" w:hAnsi="仿宋_GB2312" w:cs="仿宋_GB2312" w:eastAsia="仿宋_GB2312"/>
        </w:rPr>
        <w:t>12、履行能力：提供具有履行本合同所必需的设备和专业技术能力的承诺（提供承诺书）。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13363999098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采购包1：1,658,548.94元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1,658,548.94</w:t>
      </w:r>
    </w:p>
    <w:p>
      <w:pPr>
        <w:pStyle w:val="null3"/>
      </w:pPr>
      <w:r>
        <w:rPr>
          <w:rFonts w:ascii="仿宋_GB2312" w:hAnsi="仿宋_GB2312" w:cs="仿宋_GB2312" w:eastAsia="仿宋_GB2312"/>
        </w:rPr>
        <w:t>采购包最高限价（元）: 1,658,548.94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西安市高陵区第四中学报告厅及党建室提升改造项目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1,658,548.94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标的名称：西安市高陵区第四中学报告厅及党建室提升改造项目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工程内容：</w:t>
            </w:r>
            <w:r>
              <w:rPr>
                <w:rFonts w:ascii="仿宋_GB2312" w:hAnsi="仿宋_GB2312" w:cs="仿宋_GB2312" w:eastAsia="仿宋_GB2312"/>
                <w:sz w:val="28"/>
              </w:rPr>
              <w:t>报告厅原有装修部位拆除、地面、墙面、天棚、门窗及LED大屏、灯光音响系统、新风系统、录播系统等的新建，党建活动室原有装修部位拆除、地面、墙面、天棚、门窗及活动展板的新建等。</w:t>
            </w:r>
          </w:p>
          <w:p>
            <w:pPr>
              <w:pStyle w:val="null3"/>
              <w:ind w:firstLine="560"/>
              <w:jc w:val="both"/>
            </w:pPr>
            <w:r>
              <w:rPr>
                <w:rFonts w:ascii="仿宋_GB2312" w:hAnsi="仿宋_GB2312" w:cs="仿宋_GB2312" w:eastAsia="仿宋_GB2312"/>
                <w:sz w:val="28"/>
              </w:rPr>
              <w:t>2、计划</w:t>
            </w:r>
            <w:r>
              <w:rPr>
                <w:rFonts w:ascii="仿宋_GB2312" w:hAnsi="仿宋_GB2312" w:cs="仿宋_GB2312" w:eastAsia="仿宋_GB2312"/>
                <w:sz w:val="28"/>
              </w:rPr>
              <w:t>工期</w:t>
            </w:r>
            <w:r>
              <w:rPr>
                <w:rFonts w:ascii="仿宋_GB2312" w:hAnsi="仿宋_GB2312" w:cs="仿宋_GB2312" w:eastAsia="仿宋_GB2312"/>
                <w:sz w:val="28"/>
              </w:rPr>
              <w:t>：</w:t>
            </w:r>
            <w:r>
              <w:rPr>
                <w:rFonts w:ascii="仿宋_GB2312" w:hAnsi="仿宋_GB2312" w:cs="仿宋_GB2312" w:eastAsia="仿宋_GB2312"/>
                <w:sz w:val="28"/>
              </w:rPr>
              <w:t>自合同签订之日起</w:t>
            </w:r>
            <w:r>
              <w:rPr>
                <w:rFonts w:ascii="仿宋_GB2312" w:hAnsi="仿宋_GB2312" w:cs="仿宋_GB2312" w:eastAsia="仿宋_GB2312"/>
                <w:sz w:val="28"/>
              </w:rPr>
              <w:t>120</w:t>
            </w:r>
            <w:r>
              <w:rPr>
                <w:rFonts w:ascii="仿宋_GB2312" w:hAnsi="仿宋_GB2312" w:cs="仿宋_GB2312" w:eastAsia="仿宋_GB2312"/>
                <w:sz w:val="28"/>
              </w:rPr>
              <w:t>个日历日内竣工。</w:t>
            </w:r>
          </w:p>
          <w:p>
            <w:pPr>
              <w:pStyle w:val="null3"/>
              <w:ind w:firstLine="560"/>
              <w:jc w:val="both"/>
            </w:pPr>
            <w:r>
              <w:rPr>
                <w:rFonts w:ascii="仿宋_GB2312" w:hAnsi="仿宋_GB2312" w:cs="仿宋_GB2312" w:eastAsia="仿宋_GB2312"/>
                <w:sz w:val="28"/>
              </w:rPr>
              <w:t>3、工程地点：</w:t>
            </w:r>
            <w:r>
              <w:rPr>
                <w:rFonts w:ascii="仿宋_GB2312" w:hAnsi="仿宋_GB2312" w:cs="仿宋_GB2312" w:eastAsia="仿宋_GB2312"/>
                <w:sz w:val="28"/>
              </w:rPr>
              <w:t>西安市高陵区</w:t>
            </w:r>
            <w:r>
              <w:rPr>
                <w:rFonts w:ascii="仿宋_GB2312" w:hAnsi="仿宋_GB2312" w:cs="仿宋_GB2312" w:eastAsia="仿宋_GB2312"/>
                <w:sz w:val="28"/>
              </w:rPr>
              <w:t>第四中学</w:t>
            </w:r>
            <w:r>
              <w:rPr>
                <w:rFonts w:ascii="仿宋_GB2312" w:hAnsi="仿宋_GB2312" w:cs="仿宋_GB2312" w:eastAsia="仿宋_GB2312"/>
                <w:sz w:val="28"/>
              </w:rPr>
              <w:t>内</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4、质量标准：达到国家及行业现行施工验收规范“合格”标准。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壹份，副本两份，电子标书两份（U盘）。若电子版响应文件与纸质版响应文件不一致的，以陕西省政府采购电子化交易平台上传的电子版响应文件为准。纸质版响应文件递交截止时间同开标截止时间，递交地点为陕西省西安市经济技术开发区凤城四路世融国际中心A厅8层805室。 2、企业名称:陕西迪诚项目管理有限公司纳税登记号:91610132MA712KBG7Y地址:陕西省西安市经济技术开发区凤城四路世融国际中心8层805室开户行:中国建设银行股份有限公司西安世融嘉城支行账号:61050175540000000417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投标人须具备建设行政主管部门颁发的建筑装修装饰工程专业承包二级及以上资质，且具备合格有效的安全生产许可证；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拟派项目经理具备建筑工程二级及以上注册建造师证、安全生产考核合格证（建安B证）、无在建工程承诺书（复印件加盖公章）；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评审得分相同的，按照最后报价由低到高的顺序推荐。评审得分且最后报价相同的，按照实施方案优劣顺序推荐。评审得分且最后报价且实施方案得分均相同的，成交候选供应商并列。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评审内容：①前期工作的开展准备；②制定的施工方案、方法与技术措施；③能运用先进技术、新能源材料、施工工艺先进，对施工具有高度指导性。 评审依据：每一项内容描述详细，切实可行符合项目实际内容得6分，①～③项合计得18分。内容①～③项任意一项缺项扣6分，扣完为止； 内容①～③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评审内容：①确保质量的技术组织措施；②确保安全生产的技术组织措施；③确保文明施工的技术组织措施；④确保环境保护（噪音、治污减霾和防尘污染）的技术组织措施。 评审依据：每一项内容描述详细，切实可行符合项目实际内容得6分，①～④项合计得24分。内容①～④项任意一项缺项扣6分，扣完为止；内容①～④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评审内容：①项目进度安排计划；②项目进度保证措施。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人员及施工设备配备</w:t>
            </w:r>
          </w:p>
        </w:tc>
        <w:tc>
          <w:tcPr>
            <w:tcW w:type="dxa" w:w="2492"/>
          </w:tcPr>
          <w:p>
            <w:pPr>
              <w:pStyle w:val="null3"/>
            </w:pPr>
            <w:r>
              <w:rPr>
                <w:rFonts w:ascii="仿宋_GB2312" w:hAnsi="仿宋_GB2312" w:cs="仿宋_GB2312" w:eastAsia="仿宋_GB2312"/>
              </w:rPr>
              <w:t>评审内容：①项目拟投入管理人员、劳动力配备安排；②项目机具、设备拟投入计划及措施（材料、机械等）。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实质性承诺</w:t>
            </w:r>
          </w:p>
        </w:tc>
        <w:tc>
          <w:tcPr>
            <w:tcW w:type="dxa" w:w="2492"/>
          </w:tcPr>
          <w:p>
            <w:pPr>
              <w:pStyle w:val="null3"/>
            </w:pPr>
            <w:r>
              <w:rPr>
                <w:rFonts w:ascii="仿宋_GB2312" w:hAnsi="仿宋_GB2312" w:cs="仿宋_GB2312" w:eastAsia="仿宋_GB2312"/>
              </w:rPr>
              <w:t>对项目经理及主要人员竣工前不得更换做出实质性承诺，不拖欠农民工工资承诺，确保工程进度不拖延工期承诺，计（0-4]分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工程质量承诺</w:t>
            </w:r>
          </w:p>
        </w:tc>
        <w:tc>
          <w:tcPr>
            <w:tcW w:type="dxa" w:w="2492"/>
          </w:tcPr>
          <w:p>
            <w:pPr>
              <w:pStyle w:val="null3"/>
            </w:pPr>
            <w:r>
              <w:rPr>
                <w:rFonts w:ascii="仿宋_GB2312" w:hAnsi="仿宋_GB2312" w:cs="仿宋_GB2312" w:eastAsia="仿宋_GB2312"/>
              </w:rPr>
              <w:t>完全承诺磋商文件和合同条款，并针对本项目实际需求提供实质性承诺或合理化建议，确有利于本次招标，根据其可行性和可信程度计（0-4]分。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提供2023年1月1日至今类似项目业绩证明材料（须提供合同协议，时间以合同签订时间为准），每份2分，满分10分。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满足磋商文件要求且最后综合报价最低的供应商的价格为磋商基准价，其价格分为满分。其他供应商的价格分统一按照下列公式计算： 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