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版本号：政采-渭南市-2026-00747、DLCG2026-03020260507001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渭南市主城区交通管理基础设施改善提升项目监理服务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政采-渭南市-2026-00747、DLCG2026-030</w:t>
      </w:r>
      <w:r>
        <w:br/>
      </w:r>
      <w:r>
        <w:br/>
      </w:r>
      <w:r>
        <w:br/>
      </w:r>
    </w:p>
    <w:p>
      <w:pPr>
        <w:pStyle w:val="null3"/>
        <w:jc w:val="center"/>
        <w:outlineLvl w:val="2"/>
      </w:pPr>
      <w:r>
        <w:rPr>
          <w:rFonts w:ascii="仿宋_GB2312" w:hAnsi="仿宋_GB2312" w:cs="仿宋_GB2312" w:eastAsia="仿宋_GB2312"/>
          <w:sz w:val="28"/>
          <w:b/>
        </w:rPr>
        <w:t>渭南市公安局交通警察支队</w:t>
      </w:r>
    </w:p>
    <w:p>
      <w:pPr>
        <w:pStyle w:val="null3"/>
        <w:jc w:val="center"/>
        <w:outlineLvl w:val="2"/>
      </w:pPr>
      <w:r>
        <w:rPr>
          <w:rFonts w:ascii="仿宋_GB2312" w:hAnsi="仿宋_GB2312" w:cs="仿宋_GB2312" w:eastAsia="仿宋_GB2312"/>
          <w:sz w:val="28"/>
          <w:b/>
        </w:rPr>
        <w:t>陕西鼎力中创项目管理有限公司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陕西鼎力中创项目管理有限公司</w:t>
      </w:r>
      <w:r>
        <w:rPr>
          <w:rFonts w:ascii="仿宋_GB2312" w:hAnsi="仿宋_GB2312" w:cs="仿宋_GB2312" w:eastAsia="仿宋_GB2312"/>
        </w:rPr>
        <w:t>（以下简称“代理机构”）受</w:t>
      </w:r>
      <w:r>
        <w:rPr>
          <w:rFonts w:ascii="仿宋_GB2312" w:hAnsi="仿宋_GB2312" w:cs="仿宋_GB2312" w:eastAsia="仿宋_GB2312"/>
        </w:rPr>
        <w:t>渭南市公安局交通警察支队</w:t>
      </w:r>
      <w:r>
        <w:rPr>
          <w:rFonts w:ascii="仿宋_GB2312" w:hAnsi="仿宋_GB2312" w:cs="仿宋_GB2312" w:eastAsia="仿宋_GB2312"/>
        </w:rPr>
        <w:t>委托，拟对</w:t>
      </w:r>
      <w:r>
        <w:rPr>
          <w:rFonts w:ascii="仿宋_GB2312" w:hAnsi="仿宋_GB2312" w:cs="仿宋_GB2312" w:eastAsia="仿宋_GB2312"/>
        </w:rPr>
        <w:t>渭南市主城区交通管理基础设施改善提升项目监理服务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政采-渭南市-2026-00747、DLCG2026-030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渭南市主城区交通管理基础设施改善提升项目监理服务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完成渭南市主城区交通管理基础设施改善提升项目监理服务全部内容。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或法定代表人身份证明：供应商应授权合法的人员参加磋商全过程，其中法定代表人（或负责人）直接参加磋商的，须出具法定代表人（或负责人）身份证明，并与营业执照上信息一致；法定代表人（或负责人）授权代表参加磋商的，须出具法定代表人（或负责人）授权书及授权代表身份证明；</w:t>
      </w:r>
    </w:p>
    <w:p>
      <w:pPr>
        <w:pStyle w:val="null3"/>
      </w:pPr>
      <w:r>
        <w:rPr>
          <w:rFonts w:ascii="仿宋_GB2312" w:hAnsi="仿宋_GB2312" w:cs="仿宋_GB2312" w:eastAsia="仿宋_GB2312"/>
        </w:rPr>
        <w:t>2、信用信息：供应商未列入“信用中国”网站(www.creditchina.gov.cn)失信被执行人、重大税收违法失信主体、政府采购严重违法失信行为记录名单和“中国政府采购网”(www.ccgp.gov.cn)政府采购严重违法失信行为信息记录；</w:t>
      </w:r>
    </w:p>
    <w:p>
      <w:pPr>
        <w:pStyle w:val="null3"/>
      </w:pPr>
      <w:r>
        <w:rPr>
          <w:rFonts w:ascii="仿宋_GB2312" w:hAnsi="仿宋_GB2312" w:cs="仿宋_GB2312" w:eastAsia="仿宋_GB2312"/>
        </w:rPr>
        <w:t>3、企业资质：供应商须具备合法有效的工程监理综合资质或市政公用工程监理乙级及以上资质或公路工程监理乙级及以上资质；</w:t>
      </w:r>
    </w:p>
    <w:p>
      <w:pPr>
        <w:pStyle w:val="null3"/>
      </w:pPr>
      <w:r>
        <w:rPr>
          <w:rFonts w:ascii="仿宋_GB2312" w:hAnsi="仿宋_GB2312" w:cs="仿宋_GB2312" w:eastAsia="仿宋_GB2312"/>
        </w:rPr>
        <w:t>4、总监理工程师执业资格：拟派总监理工程师须具备市政公用工程或公路工程专业国家注册监理工程师执业资格，在本单位注册且无在监工程，提供无在监承诺;</w:t>
      </w:r>
    </w:p>
    <w:p>
      <w:pPr>
        <w:pStyle w:val="null3"/>
      </w:pPr>
      <w:r>
        <w:rPr>
          <w:rFonts w:ascii="仿宋_GB2312" w:hAnsi="仿宋_GB2312" w:cs="仿宋_GB2312" w:eastAsia="仿宋_GB2312"/>
        </w:rPr>
        <w:t>5、供应商不得存在的情形：单位负责人为同一人或者存在直接控股、管理关系的不同供应商，不得参加同一合同项下的政府采购活动。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渭南市公安局交通警察支队</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渭南市临渭区朝阳路西段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尚文炜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0913-2360025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陕西鼎力中创项目管理有限公司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陕西省渭南市临渭区乐天大街碧桂园翡翠公馆北门商铺2层208号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邵宝舟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0913-2185335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采购包1：459,700.00元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开户名称：陕西鼎力中创项目管理有限公司</w:t>
            </w:r>
          </w:p>
          <w:p>
            <w:pPr>
              <w:pStyle w:val="null3"/>
            </w:pPr>
            <w:r>
              <w:rPr>
                <w:rFonts w:ascii="仿宋_GB2312" w:hAnsi="仿宋_GB2312" w:cs="仿宋_GB2312" w:eastAsia="仿宋_GB2312"/>
              </w:rPr>
              <w:t>开户银行：工行渭南仓程路支行</w:t>
            </w:r>
          </w:p>
          <w:p>
            <w:pPr>
              <w:pStyle w:val="null3"/>
            </w:pPr>
            <w:r>
              <w:rPr>
                <w:rFonts w:ascii="仿宋_GB2312" w:hAnsi="仿宋_GB2312" w:cs="仿宋_GB2312" w:eastAsia="仿宋_GB2312"/>
              </w:rPr>
              <w:t>银行账号：2605 0259 1910 0033 019</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代理服务费收费标准：参照国家计委颁发的《招标代理服务收费管理暂行办法》（计价格[2002]1980号）和国家发展和改革委员会办公厅颁发的《关于招标代理服务收费有关问题的通知》（发改办价格[2003] 857号）的有关规定标准，采购人向采购代理机构一次付清采购代理服务费陆仟伍佰圆整。</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渭南市公安局交通警察支队</w:t>
      </w:r>
      <w:r>
        <w:rPr>
          <w:rFonts w:ascii="仿宋_GB2312" w:hAnsi="仿宋_GB2312" w:cs="仿宋_GB2312" w:eastAsia="仿宋_GB2312"/>
        </w:rPr>
        <w:t>和</w:t>
      </w:r>
      <w:r>
        <w:rPr>
          <w:rFonts w:ascii="仿宋_GB2312" w:hAnsi="仿宋_GB2312" w:cs="仿宋_GB2312" w:eastAsia="仿宋_GB2312"/>
        </w:rPr>
        <w:t>陕西鼎力中创项目管理有限公司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渭南市公安局交通警察支队</w:t>
      </w:r>
      <w:r>
        <w:rPr>
          <w:rFonts w:ascii="仿宋_GB2312" w:hAnsi="仿宋_GB2312" w:cs="仿宋_GB2312" w:eastAsia="仿宋_GB2312"/>
        </w:rPr>
        <w:t>负责解释。除上述磋商文件内容，其他内容由</w:t>
      </w:r>
      <w:r>
        <w:rPr>
          <w:rFonts w:ascii="仿宋_GB2312" w:hAnsi="仿宋_GB2312" w:cs="仿宋_GB2312" w:eastAsia="仿宋_GB2312"/>
        </w:rPr>
        <w:t>陕西鼎力中创项目管理有限公司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渭南市公安局交通警察支队</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陕西鼎力中创项目管理有限公司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具体详见合同条款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陕西鼎力中创项目管理有限公司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陕西鼎力中创项目管理有限公司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陕西鼎力中创项目管理有限公司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联系人：李杰</w:t>
      </w:r>
    </w:p>
    <w:p>
      <w:pPr>
        <w:pStyle w:val="null3"/>
      </w:pPr>
      <w:r>
        <w:rPr>
          <w:rFonts w:ascii="仿宋_GB2312" w:hAnsi="仿宋_GB2312" w:cs="仿宋_GB2312" w:eastAsia="仿宋_GB2312"/>
        </w:rPr>
        <w:t>联系电话：0913-2185335</w:t>
      </w:r>
    </w:p>
    <w:p>
      <w:pPr>
        <w:pStyle w:val="null3"/>
      </w:pPr>
      <w:r>
        <w:rPr>
          <w:rFonts w:ascii="仿宋_GB2312" w:hAnsi="仿宋_GB2312" w:cs="仿宋_GB2312" w:eastAsia="仿宋_GB2312"/>
        </w:rPr>
        <w:t>地址：渭南市临渭区乐天大街碧桂园翡翠公馆北门11栋商铺2层208号</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完成渭南市主城区交通管理基础设施改善提升项目监理服务全部内容。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459,700.00</w:t>
      </w:r>
    </w:p>
    <w:p>
      <w:pPr>
        <w:pStyle w:val="null3"/>
      </w:pPr>
      <w:r>
        <w:rPr>
          <w:rFonts w:ascii="仿宋_GB2312" w:hAnsi="仿宋_GB2312" w:cs="仿宋_GB2312" w:eastAsia="仿宋_GB2312"/>
        </w:rPr>
        <w:t>采购包最高限价（元）: 459,700.00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渭南市主城区交通管理基础设施改善提升项目监理服务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459,700.00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标的名称：渭南市主城区交通管理基础设施改善提升项目监理服务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16"/>
              <w:jc w:val="both"/>
            </w:pPr>
            <w:r>
              <w:rPr>
                <w:rFonts w:ascii="仿宋_GB2312" w:hAnsi="仿宋_GB2312" w:cs="仿宋_GB2312" w:eastAsia="仿宋_GB2312"/>
                <w:sz w:val="18"/>
              </w:rPr>
              <w:t>一、需执行的国家相关标准、行业标准、地方标准或者其他标准、规范标准</w:t>
            </w:r>
          </w:p>
          <w:p>
            <w:pPr>
              <w:pStyle w:val="null3"/>
            </w:pPr>
            <w:r>
              <w:rPr>
                <w:rFonts w:ascii="仿宋_GB2312" w:hAnsi="仿宋_GB2312" w:cs="仿宋_GB2312" w:eastAsia="仿宋_GB2312"/>
                <w:sz w:val="18"/>
              </w:rPr>
              <w:t>《中华人民共和国建筑法》</w:t>
            </w:r>
          </w:p>
          <w:p>
            <w:pPr>
              <w:pStyle w:val="null3"/>
            </w:pPr>
            <w:r>
              <w:rPr>
                <w:rFonts w:ascii="仿宋_GB2312" w:hAnsi="仿宋_GB2312" w:cs="仿宋_GB2312" w:eastAsia="仿宋_GB2312"/>
                <w:sz w:val="18"/>
              </w:rPr>
              <w:t>《建设工程监理规范》（GB/T 50319-2013）</w:t>
            </w:r>
          </w:p>
          <w:p>
            <w:pPr>
              <w:pStyle w:val="null3"/>
            </w:pPr>
            <w:r>
              <w:rPr>
                <w:rFonts w:ascii="仿宋_GB2312" w:hAnsi="仿宋_GB2312" w:cs="仿宋_GB2312" w:eastAsia="仿宋_GB2312"/>
                <w:sz w:val="18"/>
              </w:rPr>
              <w:t>《公路工程施工监理规范》（JTG G10—2016）</w:t>
            </w:r>
          </w:p>
          <w:p>
            <w:pPr>
              <w:pStyle w:val="null3"/>
            </w:pPr>
            <w:r>
              <w:rPr>
                <w:rFonts w:ascii="仿宋_GB2312" w:hAnsi="仿宋_GB2312" w:cs="仿宋_GB2312" w:eastAsia="仿宋_GB2312"/>
                <w:sz w:val="18"/>
              </w:rPr>
              <w:t>《建设项目工程总承包管理规范》（GB/T 50358-2017）</w:t>
            </w:r>
          </w:p>
          <w:p>
            <w:pPr>
              <w:pStyle w:val="null3"/>
            </w:pPr>
            <w:r>
              <w:rPr>
                <w:rFonts w:ascii="仿宋_GB2312" w:hAnsi="仿宋_GB2312" w:cs="仿宋_GB2312" w:eastAsia="仿宋_GB2312"/>
                <w:sz w:val="18"/>
              </w:rPr>
              <w:t>未列明、未约定的其余标准和技术要求，均按照国家、行业现行最新有效标准、规范、规程及相关法律法规执行。</w:t>
            </w:r>
          </w:p>
          <w:p>
            <w:pPr>
              <w:pStyle w:val="null3"/>
              <w:ind w:firstLine="616"/>
              <w:jc w:val="both"/>
            </w:pPr>
            <w:r>
              <w:rPr>
                <w:rFonts w:ascii="仿宋_GB2312" w:hAnsi="仿宋_GB2312" w:cs="仿宋_GB2312" w:eastAsia="仿宋_GB2312"/>
                <w:sz w:val="18"/>
              </w:rPr>
              <w:t>二、落实“四控两管一协调”及安全生产监督职责，全流程覆盖EPC设计、采购、施工全链条，具体内容如下：</w:t>
            </w:r>
          </w:p>
          <w:p>
            <w:pPr>
              <w:pStyle w:val="null3"/>
              <w:ind w:firstLine="616"/>
              <w:jc w:val="both"/>
            </w:pPr>
            <w:r>
              <w:rPr>
                <w:rFonts w:ascii="仿宋_GB2312" w:hAnsi="仿宋_GB2312" w:cs="仿宋_GB2312" w:eastAsia="仿宋_GB2312"/>
                <w:sz w:val="18"/>
              </w:rPr>
              <w:t>1. 设计阶段监理</w:t>
            </w:r>
          </w:p>
          <w:p>
            <w:pPr>
              <w:pStyle w:val="null3"/>
              <w:ind w:firstLine="616"/>
              <w:jc w:val="both"/>
            </w:pPr>
            <w:r>
              <w:rPr>
                <w:rFonts w:ascii="仿宋_GB2312" w:hAnsi="仿宋_GB2312" w:cs="仿宋_GB2312" w:eastAsia="仿宋_GB2312"/>
                <w:sz w:val="18"/>
              </w:rPr>
              <w:t>审查EPC总承包单位的设计团队资质、设计进度计划、设计方案合规性，核查施工图设计是否符合项目批复、功能需求、强制性规范及造价控制要求，对设计文件的合理性、经济性、可实施性提出监理意见。</w:t>
            </w:r>
          </w:p>
          <w:p>
            <w:pPr>
              <w:pStyle w:val="null3"/>
              <w:ind w:firstLine="616"/>
              <w:jc w:val="both"/>
            </w:pPr>
            <w:r>
              <w:rPr>
                <w:rFonts w:ascii="仿宋_GB2312" w:hAnsi="仿宋_GB2312" w:cs="仿宋_GB2312" w:eastAsia="仿宋_GB2312"/>
                <w:sz w:val="18"/>
              </w:rPr>
              <w:t>参与设计交底、图纸会审、设计优化论证，监督设计变更流程合规性，严控不合理设计变更导致的投资超支，同步监督设计文件与施工、采购环节的衔接匹配，杜绝设计与现场脱节。</w:t>
            </w:r>
          </w:p>
          <w:p>
            <w:pPr>
              <w:pStyle w:val="null3"/>
              <w:ind w:firstLine="616"/>
              <w:jc w:val="both"/>
            </w:pPr>
            <w:r>
              <w:rPr>
                <w:rFonts w:ascii="仿宋_GB2312" w:hAnsi="仿宋_GB2312" w:cs="仿宋_GB2312" w:eastAsia="仿宋_GB2312"/>
                <w:sz w:val="18"/>
              </w:rPr>
              <w:t>审核设计文件报审流程，监督EPC单位完成施工图审查、专项论证等法定程序，留存完整设计监理资料。</w:t>
            </w:r>
          </w:p>
          <w:p>
            <w:pPr>
              <w:pStyle w:val="null3"/>
              <w:ind w:firstLine="616"/>
              <w:jc w:val="both"/>
            </w:pPr>
            <w:r>
              <w:rPr>
                <w:rFonts w:ascii="仿宋_GB2312" w:hAnsi="仿宋_GB2312" w:cs="仿宋_GB2312" w:eastAsia="仿宋_GB2312"/>
                <w:sz w:val="18"/>
              </w:rPr>
              <w:t>2. 设备与材料采购阶段监理</w:t>
            </w:r>
          </w:p>
          <w:p>
            <w:pPr>
              <w:pStyle w:val="null3"/>
              <w:ind w:firstLine="616"/>
              <w:jc w:val="both"/>
            </w:pPr>
            <w:r>
              <w:rPr>
                <w:rFonts w:ascii="仿宋_GB2312" w:hAnsi="仿宋_GB2312" w:cs="仿宋_GB2312" w:eastAsia="仿宋_GB2312"/>
                <w:sz w:val="18"/>
              </w:rPr>
              <w:t>审查EPC单位的设备、材料采购计划、招标采购方案，核查核心设备的技术参数、品牌档次、质量标准是否符合设计及招标文件要求。</w:t>
            </w:r>
          </w:p>
          <w:p>
            <w:pPr>
              <w:pStyle w:val="null3"/>
              <w:ind w:firstLine="616"/>
              <w:jc w:val="both"/>
            </w:pPr>
            <w:r>
              <w:rPr>
                <w:rFonts w:ascii="仿宋_GB2312" w:hAnsi="仿宋_GB2312" w:cs="仿宋_GB2312" w:eastAsia="仿宋_GB2312"/>
                <w:sz w:val="18"/>
              </w:rPr>
              <w:t>监督采购全过程合规性，核查供应商资质、产品合格证明、检测报告、供货周期，对进场设备、材料进行全数核验、见证取样送检，严禁不合格产品用于本项目。</w:t>
            </w:r>
          </w:p>
          <w:p>
            <w:pPr>
              <w:pStyle w:val="null3"/>
              <w:ind w:firstLine="616"/>
              <w:jc w:val="both"/>
            </w:pPr>
            <w:r>
              <w:rPr>
                <w:rFonts w:ascii="仿宋_GB2312" w:hAnsi="仿宋_GB2312" w:cs="仿宋_GB2312" w:eastAsia="仿宋_GB2312"/>
                <w:sz w:val="18"/>
              </w:rPr>
              <w:t>监督设备出厂检验、到货验收、安装调试全流程，审核采购合同履约情况，管控采购成本与项目总投资匹配。</w:t>
            </w:r>
          </w:p>
          <w:p>
            <w:pPr>
              <w:pStyle w:val="null3"/>
              <w:ind w:firstLine="616"/>
              <w:jc w:val="both"/>
            </w:pPr>
            <w:r>
              <w:rPr>
                <w:rFonts w:ascii="仿宋_GB2312" w:hAnsi="仿宋_GB2312" w:cs="仿宋_GB2312" w:eastAsia="仿宋_GB2312"/>
                <w:sz w:val="18"/>
              </w:rPr>
              <w:t>3. 施工阶段监理</w:t>
            </w:r>
          </w:p>
          <w:p>
            <w:pPr>
              <w:pStyle w:val="null3"/>
              <w:ind w:firstLine="616"/>
              <w:jc w:val="both"/>
            </w:pPr>
            <w:r>
              <w:rPr>
                <w:rFonts w:ascii="仿宋_GB2312" w:hAnsi="仿宋_GB2312" w:cs="仿宋_GB2312" w:eastAsia="仿宋_GB2312"/>
                <w:sz w:val="18"/>
              </w:rPr>
              <w:t>重点做好质量、进度、投资、安全四大控制，同步落实合同管理、信息管理及多方协调工作；对隐蔽工程、关键工序、机电系统联调联试实行全过程旁站监理，及时下达监理指令整改质量、安全隐患；审核工程进度款、工程变更及现场签证，规范整理全过程监理资料，监督EPC单位统筹设计、采购、施工协同推进，杜绝工序脱节、工期延误。</w:t>
            </w:r>
          </w:p>
          <w:p>
            <w:pPr>
              <w:pStyle w:val="null3"/>
              <w:ind w:firstLine="616"/>
              <w:jc w:val="both"/>
            </w:pPr>
            <w:r>
              <w:rPr>
                <w:rFonts w:ascii="仿宋_GB2312" w:hAnsi="仿宋_GB2312" w:cs="仿宋_GB2312" w:eastAsia="仿宋_GB2312"/>
                <w:sz w:val="18"/>
              </w:rPr>
              <w:t>4. 竣工验收阶段监理</w:t>
            </w:r>
          </w:p>
          <w:p>
            <w:pPr>
              <w:pStyle w:val="null3"/>
              <w:ind w:firstLine="616"/>
              <w:jc w:val="both"/>
            </w:pPr>
            <w:r>
              <w:rPr>
                <w:rFonts w:ascii="仿宋_GB2312" w:hAnsi="仿宋_GB2312" w:cs="仿宋_GB2312" w:eastAsia="仿宋_GB2312"/>
                <w:sz w:val="18"/>
              </w:rPr>
              <w:t>督促EPC总承包单位完成工程收尾、全系统联调测试，整理完整的EPC项目竣工资料（含设计、采购、施工、检测、调试全套资料），核查资料完整性、合规性。</w:t>
            </w:r>
          </w:p>
          <w:p>
            <w:pPr>
              <w:pStyle w:val="null3"/>
            </w:pPr>
            <w:r>
              <w:rPr>
                <w:rFonts w:ascii="仿宋_GB2312" w:hAnsi="仿宋_GB2312" w:cs="仿宋_GB2312" w:eastAsia="仿宋_GB2312"/>
                <w:sz w:val="18"/>
              </w:rPr>
              <w:t xml:space="preserve">     组织分项、分部工程预验收，参与单位工程竣工验收、专项验收及整体竣工验收，出具监理竣工验收报告，协助建设单位办理竣工备案手续。完成监理资料完整移交。</w:t>
            </w:r>
          </w:p>
          <w:p>
            <w:pPr>
              <w:pStyle w:val="null3"/>
              <w:ind w:firstLine="640"/>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根据项目需求配置相应人员。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根据项目需求配置相应设施设备。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1.合同签订：政府采购合同必须与采购文件、供应商响应文件实质性内容一致，不得订立背离合同实质性内容的补充协议，合同明确EPC全周期监理范围、双方权责、违约条款。 2.供应商应履行采购人保密义务。 3.符合国家相关法律、法规及行业规范及采购要求。 4.需执行的国家相关标准、行业标准、地方标准或者其他标准、规范标准 《中华人民共和国建筑法》 《建设工程监理规范》（GB/T 50319-2013） 《公路工程施工监理规范》（JTG G10—2016） 《建设项目工程总承包管理规范》（GB/T 50358-2017） 未列明、未约定的其余标准和技术要求，均按照国家、行业现行最新有效标准、规范、规程及相关法律法规执行。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合同签订之日起至项目全部验收通过并完成监理资料移交之日止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监理单位全面覆盖EPC设计、采购、施工全流程履职到位，符合采购文件要求和现行国家标准、行业标准。验收前提交监理工作形成的所有文档。全过程监理资料完整、规范、可追溯，监理人员按约定全职在岗，项目无重大质量事故、安全生产责任事故，投资控制在批复预算范围内，设计、采购、施工环节合规可控，整改全部到位，全面完成合同约定全部监理义务。验收不合格的，监理单位必须限期无偿整改，整改仍不合格的，采购人有权解除合同，追究违约责任。</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项目内容全部完成验收合格后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验收合格之日起两年后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定期对监理人员到岗、履职情况、监理资料、现场管控质量进行考核，未按合同履职的，责令限期整改、扣除相应监理费用；情节严重、无法保障项目管控要求的，采购人有权单方解除合同，追究相应违约责任。具体详见合同条款。</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1.成交供应商在成交结果公告发布后3个工作日内提供叁套纸质投标文件（经编标工具生成的文件直接打印并加盖公章），递交的纸质版文件内容确保与线上电子文件保持一致，不允许修改和补充。 2.出具磋商保证金交纳凭证或担保机构出具的保函（未按磋商文件要求提供响应无效）。 3.本项目所有服务内容均须符合国家及行业现行强制性法律法规、标准及认证要求，无论采购文件是否逐一列明，均为实质性要求，不满足即否决投标。4.本次采购预算包含监理服务全周期内的人员薪酬、办公费、设备费、检测费、差旅费、税费、管理费、保险费等所有费用，采购人除合同约定价款外，不支付任何其他费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1.1供应商应具备独立承担民事责任能力的法人、其他组织或自然人，提供合法有效的统一社会信用代码的营业执照副本或相关证明（自然人提供身份证复印件）； 1.2提供具有财务审计资质单位出具的2024年或2025年度的财务报告或响应文件提交截止时间前六个月内其基本账户银行出具的资信证明； 1.3供应商提供响应文件提交截止时间前一年内任意一个月的社会保障资金缴存证明或社保机构开具的社会保险参保缴费情况证明； 1.4供应商提供响应文件提交截止时间前一年内任意一个月的依法缴纳税收的相关证明，依法免税需提供相关证明材料； 1.5提供供应商参加政府采购活动前三年内在经营活动中没有重大违法记录的声明； 1.6提供具有履行合同所必需的设备和专业技术能力的声明。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法定代表人授权书或法定代表人身份证明</w:t>
            </w:r>
          </w:p>
        </w:tc>
        <w:tc>
          <w:tcPr>
            <w:tcW w:type="dxa" w:w="3322"/>
          </w:tcPr>
          <w:p>
            <w:pPr>
              <w:pStyle w:val="null3"/>
            </w:pPr>
            <w:r>
              <w:rPr>
                <w:rFonts w:ascii="仿宋_GB2312" w:hAnsi="仿宋_GB2312" w:cs="仿宋_GB2312" w:eastAsia="仿宋_GB2312"/>
              </w:rPr>
              <w:t>供应商应授权合法的人员参加磋商全过程，其中法定代表人（或负责人）直接参加磋商的，须出具法定代表人（或负责人）身份证明，并与营业执照上信息一致；法定代表人（或负责人）授权代表参加磋商的，须出具法定代表人（或负责人）授权书及授权代表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供应商未列入“信用中国”网站(www.creditchina.gov.cn)失信被执行人、重大税收违法失信主体、政府采购严重违法失信行为记录名单和“中国政府采购网”(www.ccgp.gov.cn)政府采购严重违法失信行为信息记录；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供应商须具备合法有效的工程监理综合资质或市政公用工程监理乙级及以上资质或公路工程监理乙级及以上资质；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总监理工程师执业资格</w:t>
            </w:r>
          </w:p>
        </w:tc>
        <w:tc>
          <w:tcPr>
            <w:tcW w:type="dxa" w:w="3322"/>
          </w:tcPr>
          <w:p>
            <w:pPr>
              <w:pStyle w:val="null3"/>
            </w:pPr>
            <w:r>
              <w:rPr>
                <w:rFonts w:ascii="仿宋_GB2312" w:hAnsi="仿宋_GB2312" w:cs="仿宋_GB2312" w:eastAsia="仿宋_GB2312"/>
              </w:rPr>
              <w:t>拟派总监理工程师须具备市政公用工程或公路工程专业国家注册监理工程师执业资格，在本单位注册且无在监工程，提供无在监承诺;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供应商不得存在的情形</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1.在评审中，出现下列情形之一的，评审委员会应当启动异常低价投标（响应）审查程序： （1）投标（响应）报价低于全部通过符合性审查供应商投标（响应）报价平均值50%的，即投标（响应）报价全部通过符合性审查供应商投标（响应）报价平均值×50%； （2）投标（响应）报价低于通过符合性审查的次低报价供应商投标（响应）报价50%的，即投标（响应）报价通过符合性审查的次低报价供应商投标（响应）报价×50%；（3）投标（响应）报价低于采购项目最高限价45%的，即投标（响应）报价采购项目最高限价×45%；（4）评审委员会基于专业判断，认为供应商报价过低，有可能影响产品质量或者不能诚信履约的其他情形。相关法律法规对供应商报价有规定的，从其规定。 2.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为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3.供应商提交的相关说明和证明材料，应当加盖供应商（法定名称）电子印章，在评标委员会要求的时间内通过项目电子化交易系统进行提交，否则提交的相关证明材料无效。供应商不能证明其磋商报价合理性的，评标委员会应当将其响应文件作为无效处理。</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磋商响应文件签字、盖章</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服务方案 标的清单 报价表 服务内容及服务邀请应答表.docx 商务应答表.docx 响应函 监狱企业的证明文件 报价明细表.docx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供应商磋商报价未出现选择性报价，未超出采购最高限价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响应有效期满足磋商文件的要求</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服务期满足或优于采购要求</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响应文件中对合同草案条款未附加采购人难以接受的条件</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质量标准达到国家现行行业验收规范“合格”标准</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磋商响应内容</w:t>
            </w:r>
          </w:p>
        </w:tc>
        <w:tc>
          <w:tcPr>
            <w:tcW w:type="dxa" w:w="3322"/>
          </w:tcPr>
          <w:p>
            <w:pPr>
              <w:pStyle w:val="null3"/>
            </w:pPr>
            <w:r>
              <w:rPr>
                <w:rFonts w:ascii="仿宋_GB2312" w:hAnsi="仿宋_GB2312" w:cs="仿宋_GB2312" w:eastAsia="仿宋_GB2312"/>
              </w:rPr>
              <w:t>供应商提供的服务(货物)无实质性遗漏</w:t>
            </w:r>
          </w:p>
        </w:tc>
        <w:tc>
          <w:tcPr>
            <w:tcW w:type="dxa" w:w="1661"/>
          </w:tcPr>
          <w:p>
            <w:pPr>
              <w:pStyle w:val="null3"/>
            </w:pPr>
            <w:r>
              <w:rPr>
                <w:rFonts w:ascii="仿宋_GB2312" w:hAnsi="仿宋_GB2312" w:cs="仿宋_GB2312" w:eastAsia="仿宋_GB2312"/>
              </w:rPr>
              <w:t>服务方案 服务内容及服务邀请应答表.docx 商务应答表.docx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对本项目的理解与重难点分析</w:t>
            </w:r>
          </w:p>
        </w:tc>
        <w:tc>
          <w:tcPr>
            <w:tcW w:type="dxa" w:w="2492"/>
          </w:tcPr>
          <w:p>
            <w:pPr>
              <w:pStyle w:val="null3"/>
            </w:pPr>
            <w:r>
              <w:rPr>
                <w:rFonts w:ascii="仿宋_GB2312" w:hAnsi="仿宋_GB2312" w:cs="仿宋_GB2312" w:eastAsia="仿宋_GB2312"/>
              </w:rPr>
              <w:t>一、评审内容：对本项目的理解与重难点分析，包括不限于：①对项目的理解和认识；②项目重难点分析；③合理化建议等。 二、评审标准：以上3项，以序号①、②、③为项数，内容无缺项且无缺陷的得9分，其中每有一项内容存在缺项扣3分，每项内容中每有一处存在缺陷的扣0.5分，该项分值扣完为止，未提供不得分。 三、赋分说明：“缺陷”是指套用其他项目方案内容；存在不适用项目实际情况的情形；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一、评审内容：制定针对本项目的实施方案，包括不限于：①监理范围、 监理内容；②监理依据、 监理工作目标；③监理工作程序、 方法和制度；④监理组织协调内容及措施；⑤监理机构设置和岗位职责等。 二、评审标准：以上5项，以序号①、②、③、④、⑤为项数，内容无缺项且无缺陷的得15分，其中每有一项内容存在缺项扣3分，每项内容中每有一处存在缺陷的扣0.5分，该项分值扣完为止，未提供不得分。 三、赋分说明：“缺陷”是指套用其他项目方案内容；存在不适用项目实际情况的情形；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安全管理措施</w:t>
            </w:r>
          </w:p>
        </w:tc>
        <w:tc>
          <w:tcPr>
            <w:tcW w:type="dxa" w:w="2492"/>
          </w:tcPr>
          <w:p>
            <w:pPr>
              <w:pStyle w:val="null3"/>
            </w:pPr>
            <w:r>
              <w:rPr>
                <w:rFonts w:ascii="仿宋_GB2312" w:hAnsi="仿宋_GB2312" w:cs="仿宋_GB2312" w:eastAsia="仿宋_GB2312"/>
              </w:rPr>
              <w:t>一、评审内容：建立健全的安全管理制度，包括不限于：①安全生产管理目标；②安全管理制度；③具体的安全技术措施等。 二、评审标准：以上3项，以序号①、②、③为项数，内容无缺项且无缺陷的得9分，其中每有一项内容存在缺项扣3分，每项内容中每有一处存在缺陷的扣0.5分，该项分值扣完为止，未提供不得分。 三、赋分说明：“缺陷”是指套用其他项目方案内容；存在不适用项目实际情况的情形；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造价控制措施</w:t>
            </w:r>
          </w:p>
        </w:tc>
        <w:tc>
          <w:tcPr>
            <w:tcW w:type="dxa" w:w="2492"/>
          </w:tcPr>
          <w:p>
            <w:pPr>
              <w:pStyle w:val="null3"/>
            </w:pPr>
            <w:r>
              <w:rPr>
                <w:rFonts w:ascii="仿宋_GB2312" w:hAnsi="仿宋_GB2312" w:cs="仿宋_GB2312" w:eastAsia="仿宋_GB2312"/>
              </w:rPr>
              <w:t>一、评审内容：制定针对本项目的造价控制措施，包括不限于：①造价控制目标和方法；②处理工程费用索赔事件的方案。 二、评审标准：以上2项，以序号①、②为项数，内容无缺项且无缺陷的得6分，其中每有一项内容存在缺项扣3分，每项内容中每有一处存在缺陷的扣0.5分，该项分值扣完为止，未提供不得分。 三、赋分说明：“缺陷”是指套用其他项目方案内容；存在不适用项目实际情况的情形；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质量控制措施</w:t>
            </w:r>
          </w:p>
        </w:tc>
        <w:tc>
          <w:tcPr>
            <w:tcW w:type="dxa" w:w="2492"/>
          </w:tcPr>
          <w:p>
            <w:pPr>
              <w:pStyle w:val="null3"/>
            </w:pPr>
            <w:r>
              <w:rPr>
                <w:rFonts w:ascii="仿宋_GB2312" w:hAnsi="仿宋_GB2312" w:cs="仿宋_GB2312" w:eastAsia="仿宋_GB2312"/>
              </w:rPr>
              <w:t>一、评审内容：制定针对本项目的质量控制流程和标准，包括不限于：①原材料检验；②施工过程质量监督；③隐蔽工程验收等。 二、评审标准：以上3项，以序号①、②、③为项数，内容无缺项且无缺陷的得9分，其中每有一项内容存在缺项扣3分，每项内容中每有一处存在缺陷的扣0.5分，该项分值扣完为止，未提供不得分。 三、赋分说明：“缺陷”是指套用其他项目方案内容；存在不适用项目实际情况的情形；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进度控制措施</w:t>
            </w:r>
          </w:p>
        </w:tc>
        <w:tc>
          <w:tcPr>
            <w:tcW w:type="dxa" w:w="2492"/>
          </w:tcPr>
          <w:p>
            <w:pPr>
              <w:pStyle w:val="null3"/>
            </w:pPr>
            <w:r>
              <w:rPr>
                <w:rFonts w:ascii="仿宋_GB2312" w:hAnsi="仿宋_GB2312" w:cs="仿宋_GB2312" w:eastAsia="仿宋_GB2312"/>
              </w:rPr>
              <w:t>一、评审内容：制定合理的进度计划，包括不限于：①进度控制目标；②工程进度控制计划等。 二、评审标准：以上2项，以序号①、②为项数，内容无缺项且无缺陷的得6分，其中每有一项内容存在缺项扣3分，每项内容中每有一处存在缺陷的扣0.5分，该项分值扣完为止，未提供不得分。 三、赋分说明：“缺陷”是指套用其他项目方案内容；存在不适用项目实际情况的情形；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一、评审内容：供应商提供具有针对突发特殊情况的应急保障措施。确保在发生紧急事件及其他问题时，能够及时、有效地解决问题，保证本项目顺利进行。 二、评审标准：内容无缺项且无缺陷的得5分，每项内容中每有一处存在缺陷的扣1分，该项分值扣完为止，未提供不得分。 三、赋分说明：缺陷”是指套用其他项目方案内容；存在不适用项目实际情况的情形；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资料档案管理制度</w:t>
            </w:r>
          </w:p>
        </w:tc>
        <w:tc>
          <w:tcPr>
            <w:tcW w:type="dxa" w:w="2492"/>
          </w:tcPr>
          <w:p>
            <w:pPr>
              <w:pStyle w:val="null3"/>
            </w:pPr>
            <w:r>
              <w:rPr>
                <w:rFonts w:ascii="仿宋_GB2312" w:hAnsi="仿宋_GB2312" w:cs="仿宋_GB2312" w:eastAsia="仿宋_GB2312"/>
              </w:rPr>
              <w:t>一、评审内容：提供资料档案管理制度及移交方案。 二、评审标准：内容无缺项且无缺陷的得5分，每项内容中每有一处存在缺陷的扣1分，该项分值扣完为止，未提供不得分。 三、赋分说明：缺陷”是指套用其他项目方案内容；存在不适用项目实际情况的情形；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1.拟派监理工程师（除总监理工程师外）具有全国注册监理工程师资格（公路或市政公用工程专业）每提供一个得1分，本项最多得3分。 注：①所有人员不得重复计分，注册证书均应在供应商本单位注册，提供相关证书复印件及在本单位的查询截图。 ②证明材料提供不全或未提供不得分。 2.拟派监理工程师（除总监理工程师外）具有中级及以上职称（公路或市政公用工程专业）每提供一个得1分，本项最多得3分。 注：①所有人员不得重复计分，提供职称证书复印件，未提供不得分。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供应商提供自2023年5月1日至今类似业绩的证明材料（合同或中标/成交通知书复印件加盖公章，以合同签订时间或中标/成交通知书发出为准）每提供一项得2分，最高得10分，未提供不得分。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价格分采用低价优先法计算，即满足采购文件要求且投标报价最低的投标报价为评标基准价，其价格分为满分。其他供应商的价格得分统一按照下列公式计算： 投标报价得分=（评标基准价/有效报价）×价格权值（20%）×100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报价明细表.docx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详见附件：《建设工程监理合同模版》.docx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