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版本号：DQA-2026035-CS20260603001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重点时段跨区域人员流动规模预测及时空研判技术服务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DQA-2026035-CS</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重点时段跨区域人员流动规模预测及时空研判技术服务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DQA-2026035-CS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重点时段跨区域人员流动规模预测及时空研判技术服务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重点时段跨区域人员流动规模预测及时空研判技术服务。具体详见磋商文件。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银行账号：52880188000160368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审计价格〔2002〕1980号）规定标准的90%收取费用，由成交供应商领取成交通知书前一次性向采购代理机构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本项目需供应商落实交通运输部关于重点时段运输服务保障工作的要求，对全省重点时段跨区域人员流动进行动态监测、预测研判。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737,500.00</w:t>
      </w:r>
    </w:p>
    <w:p>
      <w:pPr>
        <w:pStyle w:val="null3"/>
      </w:pPr>
      <w:r>
        <w:rPr>
          <w:rFonts w:ascii="仿宋_GB2312" w:hAnsi="仿宋_GB2312" w:cs="仿宋_GB2312" w:eastAsia="仿宋_GB2312"/>
        </w:rPr>
        <w:t>采购包最高限价（元）: 737,500.00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重点时段跨区域人员流动规模预测及时空研判技术服务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标的名称：重点时段跨区域人员流动规模预测及时空研判技术服务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一、项目</w:t>
            </w:r>
            <w:r>
              <w:rPr>
                <w:rFonts w:ascii="仿宋_GB2312" w:hAnsi="仿宋_GB2312" w:cs="仿宋_GB2312" w:eastAsia="仿宋_GB2312"/>
                <w:sz w:val="24"/>
                <w:b/>
                <w:color w:val="000000"/>
              </w:rPr>
              <w:t>概况</w:t>
            </w:r>
          </w:p>
          <w:p>
            <w:pPr>
              <w:pStyle w:val="null3"/>
              <w:ind w:firstLine="480"/>
              <w:jc w:val="both"/>
            </w:pPr>
            <w:r>
              <w:rPr>
                <w:rFonts w:ascii="仿宋_GB2312" w:hAnsi="仿宋_GB2312" w:cs="仿宋_GB2312" w:eastAsia="仿宋_GB2312"/>
                <w:sz w:val="24"/>
                <w:color w:val="000000"/>
              </w:rPr>
              <w:t>为贯彻落实交通运输部</w:t>
            </w:r>
            <w:r>
              <w:rPr>
                <w:rFonts w:ascii="仿宋_GB2312" w:hAnsi="仿宋_GB2312" w:cs="仿宋_GB2312" w:eastAsia="仿宋_GB2312"/>
                <w:sz w:val="24"/>
                <w:color w:val="000000"/>
              </w:rPr>
              <w:t>关于</w:t>
            </w:r>
            <w:r>
              <w:rPr>
                <w:rFonts w:ascii="仿宋_GB2312" w:hAnsi="仿宋_GB2312" w:cs="仿宋_GB2312" w:eastAsia="仿宋_GB2312"/>
                <w:sz w:val="24"/>
                <w:color w:val="000000"/>
              </w:rPr>
              <w:t>综合运输春运</w:t>
            </w:r>
            <w:r>
              <w:rPr>
                <w:rFonts w:ascii="仿宋_GB2312" w:hAnsi="仿宋_GB2312" w:cs="仿宋_GB2312" w:eastAsia="仿宋_GB2312"/>
                <w:sz w:val="24"/>
                <w:color w:val="000000"/>
              </w:rPr>
              <w:t>以及重点时段</w:t>
            </w:r>
            <w:r>
              <w:rPr>
                <w:rFonts w:ascii="仿宋_GB2312" w:hAnsi="仿宋_GB2312" w:cs="仿宋_GB2312" w:eastAsia="仿宋_GB2312"/>
                <w:sz w:val="24"/>
                <w:color w:val="000000"/>
              </w:rPr>
              <w:t>安全生产和服务保障</w:t>
            </w:r>
            <w:r>
              <w:rPr>
                <w:rFonts w:ascii="仿宋_GB2312" w:hAnsi="仿宋_GB2312" w:cs="仿宋_GB2312" w:eastAsia="仿宋_GB2312"/>
                <w:sz w:val="24"/>
                <w:color w:val="000000"/>
              </w:rPr>
              <w:t>的工作要求</w:t>
            </w:r>
            <w:r>
              <w:rPr>
                <w:rFonts w:ascii="仿宋_GB2312" w:hAnsi="仿宋_GB2312" w:cs="仿宋_GB2312" w:eastAsia="仿宋_GB2312"/>
                <w:sz w:val="24"/>
                <w:color w:val="000000"/>
              </w:rPr>
              <w:t>，各省交通运输主管部门需切实做好重点时段综合运输运行监测与客流态势研判工作。本项目拟围绕陕西省重点时段综合运输客流监测与预测研判需求，以信息化、智能化技术手段为支撑，建立覆盖数据采集处理自动化、客流动态监测、预测研判与决策支持的全链条服务机制，形成可量化、可评估、可落地的服务方案。</w:t>
            </w:r>
          </w:p>
          <w:p>
            <w:pPr>
              <w:pStyle w:val="null3"/>
              <w:ind w:firstLine="482"/>
              <w:jc w:val="left"/>
            </w:pPr>
            <w:r>
              <w:rPr>
                <w:rFonts w:ascii="仿宋_GB2312" w:hAnsi="仿宋_GB2312" w:cs="仿宋_GB2312" w:eastAsia="仿宋_GB2312"/>
                <w:sz w:val="24"/>
                <w:b/>
                <w:color w:val="000000"/>
              </w:rPr>
              <w:t>二、服务内容</w:t>
            </w:r>
          </w:p>
          <w:p>
            <w:pPr>
              <w:pStyle w:val="null3"/>
              <w:ind w:firstLine="480"/>
              <w:jc w:val="both"/>
            </w:pPr>
            <w:r>
              <w:rPr>
                <w:rFonts w:ascii="仿宋_GB2312" w:hAnsi="仿宋_GB2312" w:cs="仿宋_GB2312" w:eastAsia="仿宋_GB2312"/>
                <w:sz w:val="24"/>
                <w:color w:val="000000"/>
              </w:rPr>
              <w:t>本项目需利用技术手段，预测研判重点时段跨区域人员流动态势，动态监测、分析跨区域人员，形成可落地方案。</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采集与处理自动化</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）多源数据采集</w:t>
            </w:r>
            <w:r>
              <w:rPr>
                <w:rFonts w:ascii="仿宋_GB2312" w:hAnsi="仿宋_GB2312" w:cs="仿宋_GB2312" w:eastAsia="仿宋_GB2312"/>
                <w:sz w:val="24"/>
                <w:color w:val="000000"/>
              </w:rPr>
              <w:t>自动化</w:t>
            </w:r>
            <w:r>
              <w:rPr>
                <w:rFonts w:ascii="仿宋_GB2312" w:hAnsi="仿宋_GB2312" w:cs="仿宋_GB2312" w:eastAsia="仿宋_GB2312"/>
                <w:sz w:val="24"/>
                <w:color w:val="000000"/>
              </w:rPr>
              <w:t>与标准化</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客流</w:t>
            </w:r>
            <w:r>
              <w:rPr>
                <w:rFonts w:ascii="仿宋_GB2312" w:hAnsi="仿宋_GB2312" w:cs="仿宋_GB2312" w:eastAsia="仿宋_GB2312"/>
                <w:sz w:val="24"/>
                <w:color w:val="000000"/>
              </w:rPr>
              <w:t>数据处理</w:t>
            </w:r>
            <w:r>
              <w:rPr>
                <w:rFonts w:ascii="仿宋_GB2312" w:hAnsi="仿宋_GB2312" w:cs="仿宋_GB2312" w:eastAsia="仿宋_GB2312"/>
                <w:sz w:val="24"/>
                <w:color w:val="000000"/>
              </w:rPr>
              <w:t>自动化</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w:t>
            </w:r>
            <w:r>
              <w:rPr>
                <w:rFonts w:ascii="仿宋_GB2312" w:hAnsi="仿宋_GB2312" w:cs="仿宋_GB2312" w:eastAsia="仿宋_GB2312"/>
                <w:sz w:val="24"/>
                <w:color w:val="000000"/>
              </w:rPr>
              <w:t>分析报告</w:t>
            </w:r>
            <w:r>
              <w:rPr>
                <w:rFonts w:ascii="仿宋_GB2312" w:hAnsi="仿宋_GB2312" w:cs="仿宋_GB2312" w:eastAsia="仿宋_GB2312"/>
                <w:sz w:val="24"/>
                <w:color w:val="000000"/>
              </w:rPr>
              <w:t>自动生成</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综合运输客流动态监测服务</w:t>
            </w:r>
          </w:p>
          <w:p>
            <w:pPr>
              <w:pStyle w:val="null3"/>
              <w:ind w:left="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综合</w:t>
            </w:r>
            <w:r>
              <w:rPr>
                <w:rFonts w:ascii="仿宋_GB2312" w:hAnsi="仿宋_GB2312" w:cs="仿宋_GB2312" w:eastAsia="仿宋_GB2312"/>
                <w:sz w:val="24"/>
                <w:color w:val="000000"/>
              </w:rPr>
              <w:t>人员流动指标体系构建</w:t>
            </w:r>
          </w:p>
          <w:p>
            <w:pPr>
              <w:pStyle w:val="null3"/>
              <w:ind w:left="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多运输方式客流态势监测</w:t>
            </w:r>
          </w:p>
          <w:p>
            <w:pPr>
              <w:pStyle w:val="null3"/>
              <w:ind w:left="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重点时段跨区域人员流动态势监测报告</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客流预测</w:t>
            </w:r>
            <w:r>
              <w:rPr>
                <w:rFonts w:ascii="仿宋_GB2312" w:hAnsi="仿宋_GB2312" w:cs="仿宋_GB2312" w:eastAsia="仿宋_GB2312"/>
                <w:sz w:val="24"/>
                <w:color w:val="000000"/>
              </w:rPr>
              <w:t>研判</w:t>
            </w:r>
            <w:r>
              <w:rPr>
                <w:rFonts w:ascii="仿宋_GB2312" w:hAnsi="仿宋_GB2312" w:cs="仿宋_GB2312" w:eastAsia="仿宋_GB2312"/>
                <w:sz w:val="24"/>
                <w:color w:val="000000"/>
              </w:rPr>
              <w:t>与决策支持服务</w:t>
            </w:r>
          </w:p>
          <w:p>
            <w:pPr>
              <w:pStyle w:val="null3"/>
              <w:ind w:left="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重点时段跨区域人员流动预测</w:t>
            </w:r>
            <w:r>
              <w:rPr>
                <w:rFonts w:ascii="仿宋_GB2312" w:hAnsi="仿宋_GB2312" w:cs="仿宋_GB2312" w:eastAsia="仿宋_GB2312"/>
                <w:sz w:val="24"/>
                <w:color w:val="000000"/>
              </w:rPr>
              <w:t>与态势研判</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典型场景</w:t>
            </w:r>
            <w:r>
              <w:rPr>
                <w:rFonts w:ascii="仿宋_GB2312" w:hAnsi="仿宋_GB2312" w:cs="仿宋_GB2312" w:eastAsia="仿宋_GB2312"/>
                <w:sz w:val="24"/>
                <w:color w:val="000000"/>
              </w:rPr>
              <w:t>下</w:t>
            </w:r>
            <w:r>
              <w:rPr>
                <w:rFonts w:ascii="仿宋_GB2312" w:hAnsi="仿宋_GB2312" w:cs="仿宋_GB2312" w:eastAsia="仿宋_GB2312"/>
                <w:sz w:val="24"/>
                <w:color w:val="000000"/>
              </w:rPr>
              <w:t>决策支持知识库构建</w:t>
            </w:r>
          </w:p>
          <w:p>
            <w:pPr>
              <w:pStyle w:val="null3"/>
              <w:ind w:firstLine="482"/>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项目成果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）《重点时段跨区域人员流动态势专题分析报告》</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）《陕西省重点时段跨区域人员流动动态监测与预测研判年度总报告》</w:t>
            </w:r>
          </w:p>
          <w:p>
            <w:pPr>
              <w:pStyle w:val="null3"/>
              <w:ind w:firstLine="482"/>
              <w:jc w:val="left"/>
            </w:pPr>
            <w:r>
              <w:rPr>
                <w:rFonts w:ascii="仿宋_GB2312" w:hAnsi="仿宋_GB2312" w:cs="仿宋_GB2312" w:eastAsia="仿宋_GB2312"/>
                <w:sz w:val="24"/>
                <w:b/>
                <w:color w:val="000000"/>
              </w:rPr>
              <w:t>四、商务要求</w:t>
            </w:r>
          </w:p>
          <w:p>
            <w:pPr>
              <w:pStyle w:val="null3"/>
              <w:ind w:firstLine="480"/>
              <w:jc w:val="left"/>
            </w:pPr>
            <w:r>
              <w:rPr>
                <w:rFonts w:ascii="仿宋_GB2312" w:hAnsi="仿宋_GB2312" w:cs="仿宋_GB2312" w:eastAsia="仿宋_GB2312"/>
                <w:sz w:val="24"/>
                <w:color w:val="000000"/>
              </w:rPr>
              <w:t>服务周期：</w:t>
            </w:r>
            <w:r>
              <w:rPr>
                <w:rFonts w:ascii="仿宋_GB2312" w:hAnsi="仿宋_GB2312" w:cs="仿宋_GB2312" w:eastAsia="仿宋_GB2312"/>
                <w:sz w:val="24"/>
                <w:color w:val="000000"/>
              </w:rPr>
              <w:t>自</w:t>
            </w:r>
            <w:r>
              <w:rPr>
                <w:rFonts w:ascii="仿宋_GB2312" w:hAnsi="仿宋_GB2312" w:cs="仿宋_GB2312" w:eastAsia="仿宋_GB2312"/>
                <w:sz w:val="24"/>
                <w:color w:val="000000"/>
              </w:rPr>
              <w:t>合同签订之日起至</w:t>
            </w:r>
            <w:r>
              <w:rPr>
                <w:rFonts w:ascii="仿宋_GB2312" w:hAnsi="仿宋_GB2312" w:cs="仿宋_GB2312" w:eastAsia="仿宋_GB2312"/>
                <w:sz w:val="24"/>
                <w:color w:val="000000"/>
              </w:rPr>
              <w:t>2026年1</w:t>
            </w:r>
            <w:r>
              <w:rPr>
                <w:rFonts w:ascii="仿宋_GB2312" w:hAnsi="仿宋_GB2312" w:cs="仿宋_GB2312" w:eastAsia="仿宋_GB2312"/>
                <w:sz w:val="24"/>
                <w:color w:val="000000"/>
              </w:rPr>
              <w:t>2</w:t>
            </w:r>
            <w:r>
              <w:rPr>
                <w:rFonts w:ascii="仿宋_GB2312" w:hAnsi="仿宋_GB2312" w:cs="仿宋_GB2312" w:eastAsia="仿宋_GB2312"/>
                <w:sz w:val="24"/>
                <w:color w:val="000000"/>
              </w:rPr>
              <w:t>月</w:t>
            </w: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r>
              <w:rPr>
                <w:rFonts w:ascii="仿宋_GB2312" w:hAnsi="仿宋_GB2312" w:cs="仿宋_GB2312" w:eastAsia="仿宋_GB2312"/>
                <w:sz w:val="24"/>
                <w:color w:val="000000"/>
              </w:rPr>
              <w:t>日止</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付款方式：收到供应商提交的合同约定成果后，支付合同总金额的</w:t>
            </w: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验收要求：甲方组织相关专家对合同约定的报告和方案进行评审及验收，验收费用由供应商承担。</w:t>
            </w:r>
          </w:p>
          <w:p>
            <w:pPr>
              <w:pStyle w:val="null3"/>
              <w:ind w:firstLine="482"/>
              <w:jc w:val="left"/>
            </w:pPr>
            <w:r>
              <w:rPr>
                <w:rFonts w:ascii="仿宋_GB2312" w:hAnsi="仿宋_GB2312" w:cs="仿宋_GB2312" w:eastAsia="仿宋_GB2312"/>
                <w:sz w:val="24"/>
                <w:b/>
                <w:color w:val="000000"/>
              </w:rPr>
              <w:t>五、其他要求</w:t>
            </w:r>
          </w:p>
          <w:p>
            <w:pPr>
              <w:pStyle w:val="null3"/>
              <w:ind w:firstLine="482"/>
              <w:jc w:val="left"/>
            </w:pPr>
            <w:r>
              <w:rPr>
                <w:rFonts w:ascii="仿宋_GB2312" w:hAnsi="仿宋_GB2312" w:cs="仿宋_GB2312" w:eastAsia="仿宋_GB2312"/>
                <w:sz w:val="24"/>
                <w:color w:val="000000"/>
              </w:rPr>
              <w:t>配备足够的专业人员，有交通运输领域相关专业背景。在服务周期内能够及时响应甲方需求。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配备⾜够的专业⼈员，有交通运输领域相关专业背景。在服务周期内能够及时响应甲⽅需求。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提供具有履⾏本合同所必需的设施设备。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甲方组织相关专家对合同约定的报告和方案进行评审及验收，验收费用由供应商承担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进度款，收到供应商提交的合同约定成果后，达到付款条件起15个工作日内，支付合同总金额的100.0%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1.纸质⽂件要求 （1）供应商需要在线提交所有通过电⼦化交易平台实施的政府采购项⽬的响应⽂件，同时，线下提交纸质响应⽂件正本壹份、副本壹份。若电⼦响应⽂件与纸质响应⽂件不⼀致的，以电⼦响应⽂件为准。 （2）响应⽂件，正、副本分别各⾃装订成册密封。在封⼝处加盖供应商公章。 （3）线下响应⽂件递交截⽌时间与线上开评标时间⼀致。 （4）纸质响应⽂件可邮寄递交，应于递交响应⽂件截⽌时间前邮寄到西安市⾼新区丈⼋⼀路1号汇鑫中⼼D座2206室（陕西德勤招标有限公司）。 2、磋商保证⾦注意事项 （1）磋商保证⾦须从供应商⼾名⽀付，如从个⼈⼾名或⾮供应商⼾名⽀付，将被拒绝，视为⾃动放弃投标权利（该个⼈是供应商的情形除外）；以保函形式交纳磋商保证⾦的，供应商应在响应截⽌时间前将保函扫描成清晰的PDF⽂件，发送⾄邮箱deqinjxm@126.com（邮件命名：项⽬编号）；供应商应在响应⽂件中附保函扫描件。保函必须由具有开具投标保函资格的单位开具；若成交⼈违约，开具保函单位承担连带责任；（2）磋商保证⾦的提交⾦额、时间不满⾜磋商⽂件要求的，响应⽆效；（3）未按指定账⼾提交的，我公司将退回，供应商须在响应⽂件递交截⽌时间前按照指定账⼾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1.1评审中出现下列情形之一的，磋商小组应当启动异常低价投标（响应）审查程序： 1.1.1响应报价低于全部通过符合性审查供应商响应报价平均值50%的，即响应报价&lt;全部通过符合性审查供应商响应报价平均值×50%； 1.1.2响应报价低于通过符合性审查的次低报价供应商响应报价50%的，即响应报价&lt;通过符合性审查的次低报价供应商响应报价×50%； 1.1.3响应报价低于采购项目最高限价45%的，即响应报价&lt;采购项目最高限价×45%； 1.1.4磋商小组基于专业判断，认为供应商报价过低，有可能影响产品质量或者不能诚信履约的其他情形。 1.2相关法律法规对供应商报价有规定的，从其规定。 1.3磋商小组启动异常低价响应审查后，属于（1.1）中第（1.1.1）项至第（1.1.4）项情形的，应当要求相关供应商在评审现场合理的时间内对响应价格作出解释，提供项目具体成本测算等与报价合理性相关的书面说明及必要的证明材料，包括但不限于原材料成本、人工成本、制造费用等。其中，属于第（1.1.3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分项报价表 保证金汇款声明函 中小企业声明函 商务应答表 供应商应提交的相关资格证明材料 服务内容及服务要求应答表 控股管理关系 法定代表人授权书 响应文件封面 非联合体不分包磋商声明 近三年无重大违法、违纪书面声明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分项报价表 保证金汇款声明函 中小企业声明函 商务应答表 供应商应提交的相关资格证明材料 服务内容及服务要求应答表 控股管理关系 法定代表人授权书 非联合体不分包磋商声明 近三年无重大违法、违纪书面声明 响应文件封面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供应商提供针对本项目的项目理解与履约能力说明，包括：（1）项目背景与目标理解；（2）服务内容与成果要求掌握；（3）重点时段跨区域人员流动行业认知；（4）实施思路与保障措施。 评审标准：对重点时段跨区域人员流动预测研判及技术服务项目解读全面、掌握精准，充分理解动态监测、预测研判、数据分析、技术支撑等核心要求，贴合项目实际、履约保障充分。 完全满足评审标准得 10 分；每缺一项扣 2.5 分，响应内容每存在一处缺陷扣 1 分。 说明：缺陷是指内容不合理、虽有内容但不完善、内容表述前后不一致、套用其他项目方案或与项目需求不匹配、对业务理解偏差、成果交付思路不清晰及其他不利于项目实施的等任意一种情形。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工作背景目的及内容</w:t>
            </w:r>
          </w:p>
        </w:tc>
        <w:tc>
          <w:tcPr>
            <w:tcW w:type="dxa" w:w="2492"/>
          </w:tcPr>
          <w:p>
            <w:pPr>
              <w:pStyle w:val="null3"/>
            </w:pPr>
            <w:r>
              <w:rPr>
                <w:rFonts w:ascii="仿宋_GB2312" w:hAnsi="仿宋_GB2312" w:cs="仿宋_GB2312" w:eastAsia="仿宋_GB2312"/>
              </w:rPr>
              <w:t>供应商提供针对本项目的工作背景、目的及内容说明，包括：（1）项目背景与政策依据；（2）项目目标与核心目的；（3）服务内容与成果要求；（4）实施范围与工作边界。 评审标准：对重点时段跨区域人员流动预测研判及技术服务项目的工作背景、实施目的、服务内容描述清晰、准确、详实，完全贴合采购需求。 完全满足评审标准得 10 分；每缺一项扣 2.5 分，响应内容每存在一处缺陷扣 1 分。 说明：缺陷是指内容不合理、虽有内容但不完善、内容表述前后不一致、套用其他项目方案或与项目需求不匹配、背景目的描述偏差、工作内容界定不清及其他不利于项目实施的等任意一种情形。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技术路线和方法</w:t>
            </w:r>
          </w:p>
        </w:tc>
        <w:tc>
          <w:tcPr>
            <w:tcW w:type="dxa" w:w="2492"/>
          </w:tcPr>
          <w:p>
            <w:pPr>
              <w:pStyle w:val="null3"/>
            </w:pPr>
            <w:r>
              <w:rPr>
                <w:rFonts w:ascii="仿宋_GB2312" w:hAnsi="仿宋_GB2312" w:cs="仿宋_GB2312" w:eastAsia="仿宋_GB2312"/>
              </w:rPr>
              <w:t>供应商提供针对本项目的技术路线与实施方法，包括：（1）整体技术路线；（2）动态监测方法；（3）预测研判模型；（4）数据分析方式；（5）报告与技术支撑流程。 评审标准：项目实施技术路线清晰全面、逻辑严谨，动态监测与预测研判方法科学合理、贴合重点时段跨区域人员流动实际，技术指标与实施路径明确。 完全满足评审标准得 10 分；每缺一项扣 2 分，响应内容每存在一处缺陷扣 1 分。 说明：缺陷是指内容不合理、虽有内容但不完善、内容表述前后不一致、套用其他项目方案或与项目需求不匹配、技术路线模糊、研判方法不科学、缺乏可操作性及其他不利于项目实施的等任意一种情形。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关键技术问题</w:t>
            </w:r>
          </w:p>
        </w:tc>
        <w:tc>
          <w:tcPr>
            <w:tcW w:type="dxa" w:w="2492"/>
          </w:tcPr>
          <w:p>
            <w:pPr>
              <w:pStyle w:val="null3"/>
            </w:pPr>
            <w:r>
              <w:rPr>
                <w:rFonts w:ascii="仿宋_GB2312" w:hAnsi="仿宋_GB2312" w:cs="仿宋_GB2312" w:eastAsia="仿宋_GB2312"/>
              </w:rPr>
              <w:t>供应商提供针对本项目的关键技术问题与解决方案，包括：（1）关键技术问题识别；（2）动态监测难点分析；（3）预测研判模型构建；（4）问题解决措施；（5）质量保障机制。 评审标准：对重点时段跨区域人员流动预测研判及技术服务的关键技术问题描述精准、分析透彻，问题解决方法科学得当、可落地执行，完全符合采购需求。 完全满足评审标准得 10 分；每缺一项扣 2 分，响应内容每存在一处缺陷扣 1 分。 说明：缺陷是指内容不合理、虽有内容但不完善、内容表述前后不一致、套用其他项目方案或与项目需求不匹配、关键问题识别偏差、无有效解决措施及其他不利于项目实施的等任意一种情形。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供应商提供针对本项目的项目实施工作流程，包括：（1）前期准备阶段；（2）数据采集与监测阶段；（3）预测研判阶段；（4）数据分析阶段；（5）报告与技术支撑阶段；（6）成果提交与验收阶段。 评审标准：能够围绕项目工作内容全面梳理各阶段工作流程，流程清晰顺畅、分工明确、方法得当、可行性强，完全满足重点时段跨区域人员流动预测研判及技术服务工作要求。 完全满足评审标准得 12 分；每缺一项扣 2 分，响应内容每存在一处缺陷扣 1 分。 说明：缺陷是指内容不合理、虽有内容但不完善、内容表述前后不一致、套用其他项目方案或与项目需求不匹配、流程缺失、逻辑混乱、可操作性差及其他不利于项目实施的任意一种情形。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供应商提供针对本项目的项目进度与时效保障措施，包括：（1）整体进度计划；（2）阶段任务分解；（3）时间节点管控；（4）进度保障机制；（5）应急调整方案。 评审标准：紧密结合本项目服务周期及成果交付要求，进度安排合理可行，时效保障措施充分有效，完全满足采购人与项目实施要求。 完全满足评审标准得 5 分；每缺一项扣 1 分，响应内容每存在一处缺陷扣 0.5 分。 说明：缺陷是指内容不合理、虽有内容但不完善、内容表述前后不一致、套用其他项目方案或与项目需求不匹配、时间安排不合理、保障措施缺失、无法按期交付成果及其他不利于项目实施的任意一种情形。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供应商提供针对本项目的服务质量保障措施及配套资源说明，包括：（1）质量管控体系；（2）过程质量审核；（3）成果验收保障；（4）专业人员配置；（5）设备与工具保障。 评审标准：紧密结合本项目要求，服务质量保障措施科学合理、具体可落地，专业人员与设施设备配备充足到位，完全满足动态监测、预测研判、报告编制、技术支撑等服务质量要求。 完全满足评审标准得5分；每缺一项扣 1 分，响应内容每存在一处缺陷扣 0.5分。 说明：缺陷是指内容不合理、虽有内容但不完善、内容表述前后不一致、套用其他项目方案或与项目需求不匹配、质量措施空洞、人员设备不足及其他不利于项目实施的任意一种情形。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提供详细的售后服务措施，包括：（1）服务总体概述；（2）售后服务范围；（3）服务响应机制；（4）质保期内免费服务内容；（5）定期巡检与维护服务；（6）故障处理与维修流程；（7）软件及平台运维服务；（8）技术培训服务；（9）售后服务保障措施。 评审标准：紧密结合本项目要求，售后服务方案措施科学合理、具体可落地，专业人员与设施设备配备充足到位，完全满足售后服务质量保障要求。 完全满足评审标准得9分；每缺一项扣 1 分，响应内容每存在一处缺陷扣 0.5 分。 说明：缺陷是指内容不合理、虽有内容但不完善、内容表述前后不一致、套用其他项目方案或与项目需求不匹配、服务措施空洞、人员设备不足及其他不利于项目实施的任意一种情形。 2.承诺中标后在项目所在地设置售后服务机构（提供承诺函，格式自拟），完全响应得1分， 未承诺或承诺内容不全不得分。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1、拟派项目负责人具有交通运输、大数据分析、统计建模、交通工程、交通规划、交通信息化类相关专业硕士学历或中级及以上职称，得 2 分。 2、拟派项目负责人自 2024 年 1 月 1 日至今，作为项目负责人承担过人员流动监测、交通大数据分析、交通规划编制、交通流量调查、重点时段运输保障、预测研判、行业技术服务类项目的，得 2 分。 3、拟派团队成员（除项目负责人外）为从事交通运输、大数据、统计分析、算法建模、信息化技术、交通工程、交通规划相关工作的全职技术人员，每人得 1 分，最高得 4 分。 证明材料要求： 1、供应商应提供上述所有人员开标前一个月的社保证明材料，未提供或提供材料无效本项目不得分； 2、提供项目负责人职称证书、有效项目批准通知书、任务书、合同等业绩证明材料（需体现项目负责人姓名等信息）； 3、提供团队成员工作背景证明材料，项目负责人还需额外提供学历证书或职称证书； 4、以上证明材料均提供复印件或扫描件。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 2023 年 1 月 1 日（以合同签订日期为准）至今已完成类似项目业绩，每提供一个业绩得 2 分，最高得 10 分，以响应文件中所附合同复印件或扫描件为准。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分值，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详见附件：保证金汇款声明函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