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版本号：HSGJ2026-17520260821001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陕西省2026年度地质灾害避险搬迁技术支撑</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HSGJ2026-175</w:t>
      </w:r>
      <w:r>
        <w:br/>
      </w:r>
      <w:r>
        <w:br/>
      </w:r>
      <w:r>
        <w:br/>
      </w:r>
    </w:p>
    <w:p>
      <w:pPr>
        <w:pStyle w:val="null3"/>
        <w:jc w:val="center"/>
        <w:outlineLvl w:val="2"/>
      </w:pPr>
      <w:r>
        <w:rPr>
          <w:rFonts w:ascii="仿宋_GB2312" w:hAnsi="仿宋_GB2312" w:cs="仿宋_GB2312" w:eastAsia="仿宋_GB2312"/>
          <w:sz w:val="28"/>
          <w:b/>
        </w:rPr>
        <w:t>陕西省自然资源厅</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陕西省自然资源厅</w:t>
      </w:r>
      <w:r>
        <w:rPr>
          <w:rFonts w:ascii="仿宋_GB2312" w:hAnsi="仿宋_GB2312" w:cs="仿宋_GB2312" w:eastAsia="仿宋_GB2312"/>
        </w:rPr>
        <w:t>委托，拟对</w:t>
      </w:r>
      <w:r>
        <w:rPr>
          <w:rFonts w:ascii="仿宋_GB2312" w:hAnsi="仿宋_GB2312" w:cs="仿宋_GB2312" w:eastAsia="仿宋_GB2312"/>
        </w:rPr>
        <w:t>陕西省2026年度地质灾害避险搬迁技术支撑</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陕西省2026年度地质灾害避险搬迁技术支撑</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陕西省2026年度地质灾害避险搬迁技术支撑项目，具体内容详见第三章。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证明：供应商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3、税收缴纳证明：提供2025年7月1日至今已缴纳任意一个月的纳税证明或完税证明（任意税种），依法免税的单位应提供相关证明材料；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4、社会保障资金缴纳证明：提供2025年7月1日至今已缴纳任意一个月的社会保障资金缴存单据或社保机构开具的社会保险参保缴费情况证明，依法不需要缴纳社会保障资金的单位应提供相关证明材料；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授权委托书\身份证明：非法定代表人参加磋商的，须提供法定代表人授权委托书、授权代表身份证、授权代表提供在投标单位缴纳的社保记录（近3个月内任意一个月，提交响应文件截止时间当月不计入）；法定代表人参加磋商时,只需提供法定代表人身份证；</w:t>
      </w:r>
    </w:p>
    <w:p>
      <w:pPr>
        <w:pStyle w:val="null3"/>
      </w:pPr>
      <w:r>
        <w:rPr>
          <w:rFonts w:ascii="仿宋_GB2312" w:hAnsi="仿宋_GB2312" w:cs="仿宋_GB2312" w:eastAsia="仿宋_GB2312"/>
        </w:rPr>
        <w:t>8、资质要求：供应商具备地质灾害评估和治理工程勘查设计乙级及以上资质。</w:t>
      </w:r>
    </w:p>
    <w:p>
      <w:pPr>
        <w:pStyle w:val="null3"/>
      </w:pPr>
      <w:r>
        <w:rPr>
          <w:rFonts w:ascii="仿宋_GB2312" w:hAnsi="仿宋_GB2312" w:cs="仿宋_GB2312" w:eastAsia="仿宋_GB2312"/>
        </w:rPr>
        <w:t>9、信用查询：供应商不得为“信用中国(www.creditchina.gov.cn)”中列入失信被执行人和重大税收违法案件当事人名单的供应商，不得为“中国政府采购网(www.ccgp.gov.cn)”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10、关联关系：单位负责人为同一人或者存在直接控股、管理关系的不同供应商，不得参加同一合同项下的政府采购活动;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11、联合体情况：本项目不接受联合体投标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陕西省自然资源厅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劳动南路180号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029-88630819/029-84333073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曹美奇、付越豪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代理服务费收费标准：按照国家计委颁布的《招标代理服务收费管理暂行办法》（计价格〔2002〕1980号）及发改办价格〔2003〕857号文规定收取代理服务费。 银行户名：华晟国际项目管理有限公司 开户银行：建设银行西安劳动路支行 账 号：610501 740015 00000 427 转账事由：HSGJ2026-175项目代理服务费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陕西省自然资源厅</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陕西省自然资源厅</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陕西省自然资源厅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本项目所有产出的成果和数据知识产权归采购人所有，供应商仅可用于本项目实施，不得挪作他用，不得对外转让。</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1、验收组织方式：采购方自行组织验收。 2、验收标准和方法：供应商按照采购方要求提交各阶段工作成果，成果资料齐全、结论客观合理，满足采购人业务管理要求；省自然资源厅组织有关人员对项目成果进行质量抽查及相关核验，根据需要邀请相关专家。 3、验收时间：供应商提出验收申请之日起10个工作日内组织验收。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联系人：曹美奇、付越豪</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地址：陕西省西安市高新区高新路88号尚品国际B幢25层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下达地质灾害避险搬迁项目27个，计划搬迁安置1514户，为高质量推进全省地质灾害避险搬迁工作，从源头防范项目实施风险，需开展全过程技术支撑工作，重点对地灾搬迁技术性工作指标实施常规性、机动性核查监管，严格把控项目实施质量，确保年度搬迁任务高质高效完成。按照“管住源头、加快进度、严控质量”的要求，完成全省地灾搬迁项目申报评审、实地踏勘审核、必要性可行性论证、实施推进、验收审查、省级复核评价等全过程技术支撑工作；完成搬迁对象准确性、安置选址合理性与安全性、安置房建设质量和手续完备性、安置交房入住真实性与合规性、旧宅基地腾退复垦真实性与达标率等技术性工作指标省级核查监管；完成地灾搬迁突发事件应急调查和安置区风险隐患排查问题省级核查；开展地灾搬迁业务培训与技术指导；开展地灾搬迁专项研究与制度建设，编制全省地灾搬迁调查摸底成果报告、专题研究报告，配合完成“十五五”专项工作方案，研究制定相关技术规范或标准体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陕西省2026年度地质灾害避险搬迁技术支撑项目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标的名称：陕西省2026年度地质灾害避险搬迁技术支撑项目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一、项目总体概况</w:t>
            </w:r>
          </w:p>
          <w:p>
            <w:pPr>
              <w:pStyle w:val="null3"/>
              <w:ind w:firstLine="402"/>
            </w:pPr>
            <w:r>
              <w:rPr>
                <w:rFonts w:ascii="仿宋_GB2312" w:hAnsi="仿宋_GB2312" w:cs="仿宋_GB2312" w:eastAsia="仿宋_GB2312"/>
                <w:b/>
              </w:rPr>
              <w:t>（一）项目背景与采购目标</w:t>
            </w:r>
          </w:p>
          <w:p>
            <w:pPr>
              <w:pStyle w:val="null3"/>
              <w:ind w:firstLine="400"/>
            </w:pPr>
            <w:r>
              <w:rPr>
                <w:rFonts w:ascii="仿宋_GB2312" w:hAnsi="仿宋_GB2312" w:cs="仿宋_GB2312" w:eastAsia="仿宋_GB2312"/>
              </w:rPr>
              <w:t>2026年陕西省下达地质灾害避险搬迁项目27个，计划搬迁安置1514户，为高质量推进全省地质灾害避险搬迁工作，从源头防范项目实施风险，需开展全过程技术支撑工作，重点对地灾搬迁技术性工作指标实施常规性、机动性核查监管，严格把控项目实施质量，确保年度搬迁任务高质高效完成。</w:t>
            </w:r>
          </w:p>
          <w:p>
            <w:pPr>
              <w:pStyle w:val="null3"/>
              <w:ind w:firstLine="402"/>
            </w:pPr>
            <w:r>
              <w:rPr>
                <w:rFonts w:ascii="仿宋_GB2312" w:hAnsi="仿宋_GB2312" w:cs="仿宋_GB2312" w:eastAsia="仿宋_GB2312"/>
                <w:b/>
              </w:rPr>
              <w:t>（二）项目实施概况</w:t>
            </w:r>
          </w:p>
          <w:p>
            <w:pPr>
              <w:pStyle w:val="null3"/>
              <w:ind w:firstLine="400"/>
            </w:pPr>
            <w:r>
              <w:rPr>
                <w:rFonts w:ascii="仿宋_GB2312" w:hAnsi="仿宋_GB2312" w:cs="仿宋_GB2312" w:eastAsia="仿宋_GB2312"/>
              </w:rPr>
              <w:t>按照“管住源头、加快进度、严控质量”的要求，完成全省地灾搬迁项目申报评审、实地踏勘审核、必要性可行性论证、实施推进、验收审查、省级复核评价等全过程技术支撑工作；完成搬迁对象准确性、安置选址合理性与安全性、安置房建设质量和手续完备性、安置交房入住真实性与合规性、旧宅基地腾退复垦真实性与达标率等技术性工作指标省级核查监管；完成地灾搬迁突发事件应急调查和安置区风险隐患排查问题省级核查；开展地灾搬迁业务培训与技术指导；开展地灾搬迁专项研究与制度建设，编制全省地灾搬迁调查摸底成果报告、专题研究报告，配合完成“十五五”专项工作方案，研究制定相关技术规范或标准体系。</w:t>
            </w:r>
          </w:p>
          <w:p>
            <w:pPr>
              <w:pStyle w:val="null3"/>
              <w:ind w:firstLine="402"/>
            </w:pPr>
            <w:r>
              <w:rPr>
                <w:rFonts w:ascii="仿宋_GB2312" w:hAnsi="仿宋_GB2312" w:cs="仿宋_GB2312" w:eastAsia="仿宋_GB2312"/>
                <w:b/>
              </w:rPr>
              <w:t>二、技术服务要求</w:t>
            </w:r>
          </w:p>
          <w:p>
            <w:pPr>
              <w:pStyle w:val="null3"/>
              <w:ind w:firstLine="402"/>
            </w:pPr>
            <w:r>
              <w:rPr>
                <w:rFonts w:ascii="仿宋_GB2312" w:hAnsi="仿宋_GB2312" w:cs="仿宋_GB2312" w:eastAsia="仿宋_GB2312"/>
                <w:b/>
              </w:rPr>
              <w:t>（一）工作内容</w:t>
            </w:r>
          </w:p>
          <w:p>
            <w:pPr>
              <w:pStyle w:val="null3"/>
              <w:ind w:firstLine="402"/>
            </w:pPr>
            <w:r>
              <w:rPr>
                <w:rFonts w:ascii="仿宋_GB2312" w:hAnsi="仿宋_GB2312" w:cs="仿宋_GB2312" w:eastAsia="仿宋_GB2312"/>
                <w:b/>
              </w:rPr>
              <w:t>1.技术性工作指标省级核查。</w:t>
            </w:r>
            <w:r>
              <w:rPr>
                <w:rFonts w:ascii="仿宋_GB2312" w:hAnsi="仿宋_GB2312" w:cs="仿宋_GB2312" w:eastAsia="仿宋_GB2312"/>
              </w:rPr>
              <w:t>对年度项目的搬迁对象准确性、安置选址合理性与安全性、安置房建设质量和手续完备性、安置交房入住真实性与合规性、旧宅基地腾退复垦真实性与达标率等进行100%的内业核查（数据比对或系统核验）和不低于20%比例的实地核查，评价指标真实性、有效性、规范性，提交核查报告。</w:t>
            </w:r>
          </w:p>
          <w:p>
            <w:pPr>
              <w:pStyle w:val="null3"/>
              <w:ind w:firstLine="402"/>
            </w:pPr>
            <w:r>
              <w:rPr>
                <w:rFonts w:ascii="仿宋_GB2312" w:hAnsi="仿宋_GB2312" w:cs="仿宋_GB2312" w:eastAsia="仿宋_GB2312"/>
                <w:b/>
              </w:rPr>
              <w:t>2.项目全过程技术服务。一是</w:t>
            </w:r>
            <w:r>
              <w:rPr>
                <w:rFonts w:ascii="仿宋_GB2312" w:hAnsi="仿宋_GB2312" w:cs="仿宋_GB2312" w:eastAsia="仿宋_GB2312"/>
              </w:rPr>
              <w:t>对各地申报的2027年度项目进行100%的内业资料审核和不低于20%比例的实地踏勘核查，研判项目必要性和可行性，提出初步筛选评审建议，全程做好项目申报评审会议的技术支撑和服务保障。</w:t>
            </w:r>
            <w:r>
              <w:rPr>
                <w:rFonts w:ascii="仿宋_GB2312" w:hAnsi="仿宋_GB2312" w:cs="仿宋_GB2312" w:eastAsia="仿宋_GB2312"/>
                <w:b/>
              </w:rPr>
              <w:t>二是</w:t>
            </w:r>
            <w:r>
              <w:rPr>
                <w:rFonts w:ascii="仿宋_GB2312" w:hAnsi="仿宋_GB2312" w:cs="仿宋_GB2312" w:eastAsia="仿宋_GB2312"/>
              </w:rPr>
              <w:t>对2026年度实施项目进行调度、统计、分析，形成分析报告；对项目实施阶段任务推进和资料数据进行100%的质量检查，形成检查报告；建立项目问题台账，通过资料审查、系统核验和实地核查跟踪整改进展，总结整改成效。</w:t>
            </w:r>
            <w:r>
              <w:rPr>
                <w:rFonts w:ascii="仿宋_GB2312" w:hAnsi="仿宋_GB2312" w:cs="仿宋_GB2312" w:eastAsia="仿宋_GB2312"/>
                <w:b/>
              </w:rPr>
              <w:t>三是</w:t>
            </w:r>
            <w:r>
              <w:rPr>
                <w:rFonts w:ascii="仿宋_GB2312" w:hAnsi="仿宋_GB2312" w:cs="仿宋_GB2312" w:eastAsia="仿宋_GB2312"/>
              </w:rPr>
              <w:t>对申请省级奖补资金的2026年度项目进行100%的内业技术审查，对重点技术指标进行不低于20%的实地抽查复核，提出初步复核意见，全程做好省级复核评价会议的技术支撑和服务保障。</w:t>
            </w:r>
          </w:p>
          <w:p>
            <w:pPr>
              <w:pStyle w:val="null3"/>
              <w:ind w:firstLine="402"/>
            </w:pPr>
            <w:r>
              <w:rPr>
                <w:rFonts w:ascii="仿宋_GB2312" w:hAnsi="仿宋_GB2312" w:cs="仿宋_GB2312" w:eastAsia="仿宋_GB2312"/>
                <w:b/>
              </w:rPr>
              <w:t>3.风险排查与应急技术保障。</w:t>
            </w:r>
            <w:r>
              <w:rPr>
                <w:rFonts w:ascii="仿宋_GB2312" w:hAnsi="仿宋_GB2312" w:cs="仿宋_GB2312" w:eastAsia="仿宋_GB2312"/>
              </w:rPr>
              <w:t>根据需要对地灾搬迁突发事件进行应急调查、排查和技术指导，对全省搬迁安置区风险隐患排查问题进行100%的省级核查。</w:t>
            </w:r>
          </w:p>
          <w:p>
            <w:pPr>
              <w:pStyle w:val="null3"/>
              <w:ind w:firstLine="402"/>
            </w:pPr>
            <w:r>
              <w:rPr>
                <w:rFonts w:ascii="仿宋_GB2312" w:hAnsi="仿宋_GB2312" w:cs="仿宋_GB2312" w:eastAsia="仿宋_GB2312"/>
                <w:b/>
              </w:rPr>
              <w:t>4.业务培训与技术指导。</w:t>
            </w:r>
            <w:r>
              <w:rPr>
                <w:rFonts w:ascii="仿宋_GB2312" w:hAnsi="仿宋_GB2312" w:cs="仿宋_GB2312" w:eastAsia="仿宋_GB2312"/>
              </w:rPr>
              <w:t>对全省地灾搬迁业务进行针对性、点对点专项培训，对项目实施技术难题进行常态化技术指导。</w:t>
            </w:r>
          </w:p>
          <w:p>
            <w:pPr>
              <w:pStyle w:val="null3"/>
              <w:ind w:firstLine="402"/>
            </w:pPr>
            <w:r>
              <w:rPr>
                <w:rFonts w:ascii="仿宋_GB2312" w:hAnsi="仿宋_GB2312" w:cs="仿宋_GB2312" w:eastAsia="仿宋_GB2312"/>
                <w:b/>
              </w:rPr>
              <w:t>5.开展综合研究。</w:t>
            </w:r>
            <w:r>
              <w:rPr>
                <w:rFonts w:ascii="仿宋_GB2312" w:hAnsi="仿宋_GB2312" w:cs="仿宋_GB2312" w:eastAsia="仿宋_GB2312"/>
              </w:rPr>
              <w:t>分析研究地灾搬迁调查摸底成果，开展全域数据校核、统计分析、分类研判，编制全省调查摸底成果报告。科学研判“十五五”工作目标、实施路径、保障措施，配合完成“十五五”专项工作方案。规范项目全链条管理，研究制定相关技术规范或标准体系。开展避险搬迁专题研究，为全省地灾搬迁工作提质增效提供技术参考和决策依据。</w:t>
            </w:r>
          </w:p>
          <w:p>
            <w:pPr>
              <w:pStyle w:val="null3"/>
              <w:ind w:firstLine="402"/>
            </w:pPr>
            <w:r>
              <w:rPr>
                <w:rFonts w:ascii="仿宋_GB2312" w:hAnsi="仿宋_GB2312" w:cs="仿宋_GB2312" w:eastAsia="仿宋_GB2312"/>
                <w:b/>
              </w:rPr>
              <w:t>（二）技术要求</w:t>
            </w:r>
          </w:p>
          <w:p>
            <w:pPr>
              <w:pStyle w:val="null3"/>
              <w:ind w:firstLine="400"/>
            </w:pPr>
            <w:r>
              <w:rPr>
                <w:rFonts w:ascii="仿宋_GB2312" w:hAnsi="仿宋_GB2312" w:cs="仿宋_GB2312" w:eastAsia="仿宋_GB2312"/>
              </w:rPr>
              <w:t>1.供应商具备地质灾害评估和治理工程勘查设计乙级及以上资质。</w:t>
            </w:r>
          </w:p>
          <w:p>
            <w:pPr>
              <w:pStyle w:val="null3"/>
              <w:ind w:firstLine="400"/>
            </w:pPr>
            <w:r>
              <w:rPr>
                <w:rFonts w:ascii="仿宋_GB2312" w:hAnsi="仿宋_GB2312" w:cs="仿宋_GB2312" w:eastAsia="仿宋_GB2312"/>
              </w:rPr>
              <w:t>2.严格遵循陕西省地质灾害防治、避险搬迁、国土空间管控、耕地保护、生态修复、住房建设等相关政策要求和标准规范。</w:t>
            </w:r>
          </w:p>
          <w:p>
            <w:pPr>
              <w:pStyle w:val="null3"/>
              <w:ind w:firstLine="400"/>
            </w:pPr>
            <w:r>
              <w:rPr>
                <w:rFonts w:ascii="仿宋_GB2312" w:hAnsi="仿宋_GB2312" w:cs="仿宋_GB2312" w:eastAsia="仿宋_GB2312"/>
              </w:rPr>
              <w:t>3.依托陕西省避灾搬迁信息化管理系统、地质灾害防治信息平台、调查监测云、永久基本农田、国土空间基础信息平台等信息化工具，采取卫星遥感、无人机航拍、实地勘测等技术手段，通过系统核验、数据比对、现场核查等方式，提供技术支撑保障。</w:t>
            </w:r>
          </w:p>
          <w:p>
            <w:pPr>
              <w:pStyle w:val="null3"/>
              <w:ind w:firstLine="400"/>
            </w:pPr>
            <w:r>
              <w:rPr>
                <w:rFonts w:ascii="仿宋_GB2312" w:hAnsi="仿宋_GB2312" w:cs="仿宋_GB2312" w:eastAsia="仿宋_GB2312"/>
              </w:rPr>
              <w:t>4.供应商配备专业技术项目团队，项目组成员不少于8人，明确职责分工。</w:t>
            </w:r>
          </w:p>
          <w:p>
            <w:pPr>
              <w:pStyle w:val="null3"/>
              <w:ind w:firstLine="402"/>
            </w:pPr>
            <w:r>
              <w:rPr>
                <w:rFonts w:ascii="仿宋_GB2312" w:hAnsi="仿宋_GB2312" w:cs="仿宋_GB2312" w:eastAsia="仿宋_GB2312"/>
                <w:b/>
              </w:rPr>
              <w:t>（三）成果要求</w:t>
            </w:r>
          </w:p>
          <w:p>
            <w:pPr>
              <w:pStyle w:val="null3"/>
              <w:ind w:firstLine="400"/>
            </w:pPr>
            <w:r>
              <w:rPr>
                <w:rFonts w:ascii="仿宋_GB2312" w:hAnsi="仿宋_GB2312" w:cs="仿宋_GB2312" w:eastAsia="仿宋_GB2312"/>
              </w:rPr>
              <w:t>1.提交技术性工作指标省级核查报告不少于3份。</w:t>
            </w:r>
          </w:p>
          <w:p>
            <w:pPr>
              <w:pStyle w:val="null3"/>
              <w:ind w:firstLine="400"/>
            </w:pPr>
            <w:r>
              <w:rPr>
                <w:rFonts w:ascii="仿宋_GB2312" w:hAnsi="仿宋_GB2312" w:cs="仿宋_GB2312" w:eastAsia="仿宋_GB2312"/>
              </w:rPr>
              <w:t>2.支撑完成年度项目申报评审1次、省级复核评价1次，提交评审建议1份、复核意见1份及项目质量检查报告等。</w:t>
            </w:r>
          </w:p>
          <w:p>
            <w:pPr>
              <w:pStyle w:val="null3"/>
              <w:ind w:firstLine="400"/>
            </w:pPr>
            <w:r>
              <w:rPr>
                <w:rFonts w:ascii="仿宋_GB2312" w:hAnsi="仿宋_GB2312" w:cs="仿宋_GB2312" w:eastAsia="仿宋_GB2312"/>
              </w:rPr>
              <w:t>3.形成应急调查报告，提交风险隐患省级排查报告。</w:t>
            </w:r>
          </w:p>
          <w:p>
            <w:pPr>
              <w:pStyle w:val="null3"/>
              <w:ind w:firstLine="400"/>
            </w:pPr>
            <w:r>
              <w:rPr>
                <w:rFonts w:ascii="仿宋_GB2312" w:hAnsi="仿宋_GB2312" w:cs="仿宋_GB2312" w:eastAsia="仿宋_GB2312"/>
              </w:rPr>
              <w:t>4.完成业务培训、技术指导不少于3次。</w:t>
            </w:r>
          </w:p>
          <w:p>
            <w:pPr>
              <w:pStyle w:val="null3"/>
              <w:ind w:firstLine="400"/>
            </w:pPr>
            <w:r>
              <w:rPr>
                <w:rFonts w:ascii="仿宋_GB2312" w:hAnsi="仿宋_GB2312" w:cs="仿宋_GB2312" w:eastAsia="仿宋_GB2312"/>
              </w:rPr>
              <w:t>5.提交调查摸底成果报告、专题研究报告1份，配合完成“十五五”专项工作方案，形成技术规范或标准体系1份。</w:t>
            </w:r>
          </w:p>
          <w:p>
            <w:pPr>
              <w:pStyle w:val="null3"/>
              <w:ind w:firstLine="400"/>
            </w:pPr>
            <w:r>
              <w:rPr>
                <w:rFonts w:ascii="仿宋_GB2312" w:hAnsi="仿宋_GB2312" w:cs="仿宋_GB2312" w:eastAsia="仿宋_GB2312"/>
              </w:rPr>
              <w:t>6.提交2026年度技术支撑工作总结1份。</w:t>
            </w:r>
          </w:p>
          <w:p>
            <w:pPr>
              <w:pStyle w:val="null3"/>
              <w:ind w:firstLine="402"/>
            </w:pPr>
            <w:r>
              <w:rPr>
                <w:rFonts w:ascii="仿宋_GB2312" w:hAnsi="仿宋_GB2312" w:cs="仿宋_GB2312" w:eastAsia="仿宋_GB2312"/>
                <w:b/>
              </w:rPr>
              <w:t>三、商务要求</w:t>
            </w:r>
          </w:p>
          <w:p>
            <w:pPr>
              <w:pStyle w:val="null3"/>
              <w:ind w:firstLine="402"/>
            </w:pPr>
            <w:r>
              <w:rPr>
                <w:rFonts w:ascii="仿宋_GB2312" w:hAnsi="仿宋_GB2312" w:cs="仿宋_GB2312" w:eastAsia="仿宋_GB2312"/>
                <w:b/>
              </w:rPr>
              <w:t>1.质量保证与售后服务：</w:t>
            </w:r>
            <w:r>
              <w:rPr>
                <w:rFonts w:ascii="仿宋_GB2312" w:hAnsi="仿宋_GB2312" w:cs="仿宋_GB2312" w:eastAsia="仿宋_GB2312"/>
              </w:rPr>
              <w:t>供应商按要求制定合理、可行的项目实施方案，配备专业项目团队，明确质量保障措施。自项目验收合格之日起6个月，提供项目成果和数据的技术答疑服务。</w:t>
            </w:r>
          </w:p>
          <w:p>
            <w:pPr>
              <w:pStyle w:val="null3"/>
              <w:ind w:firstLine="640"/>
              <w:jc w:val="both"/>
            </w:pPr>
            <w:r>
              <w:rPr>
                <w:rFonts w:ascii="仿宋_GB2312" w:hAnsi="仿宋_GB2312" w:cs="仿宋_GB2312" w:eastAsia="仿宋_GB2312"/>
                <w:b/>
              </w:rPr>
              <w:t>2.知识产权归属和处理方式：</w:t>
            </w:r>
            <w:r>
              <w:rPr>
                <w:rFonts w:ascii="仿宋_GB2312" w:hAnsi="仿宋_GB2312" w:cs="仿宋_GB2312" w:eastAsia="仿宋_GB2312"/>
              </w:rPr>
              <w:t>本项目所有产出的成果和数据知识产权归采购人所有，供应商仅可用于本项目实施，不得挪作他用，不得对外转让。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陕西省全境（采购人指定地点）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1、验收组织方式：采购方自行组织验收。 2、验收标准和方法：供应商按照采购方要求提交各阶段工作成果，成果资料齐全、结论客观合理，满足采购人业务管理要求；省自然资源厅组织有关人员对项目成果进行质量抽查及相关核验，根据需要邀请相关专家。 3、验收时间：供应商提出验收申请之日起10个工作日内组织验收。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进度款，项目成果通过省自然资源厅验收后，达到付款条件起10个工作日内，支付合同总金额的20.0%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1.在合同履行期间，因甲方原因要求终止或解除合同的，甲方应向乙方支付已完成的实际工作量费用，经双方据实结算后予以支付。 2.在合同履行期间，因乙方原因导致合同目的无法实现的，甲方有权终止或解除合同，乙方应在终止或解约后10日内退还已收项目费用，并按合同总金额的10%支付违约金；因乙方原因导致项目部分工作无法完成，给甲方造成损失或对甲方工作产生影响，乙方应按合同总金额的10%支付违约金。 3.如乙方未按合同约定时间完成工作任务或提交成果的，每逾期1日乙方向甲方支付合同总金额的1‰违约金；如逾期超过30日，甲方有权解除合同，乙方应在解约后的10日内退还已收项目费用，并按合同总金额的10%支付违约金。 4.如乙方服务内容、成果质量不符合合同约定，或未通过甲方验收，应按照甲方要求于20日内完成整改；乙方拒绝整改或整改后仍不合格的，甲方有权解除合同，乙方应在解约后的10日内退还已收项目费用，并按合同总金额的20%支付违约金。 5.如乙方违反保密义务，甲方有权要求其停止违约、消除影响，乙方需赔偿甲方全部损失，并按合同总金额的20%支付违约金，情节严重时甲方可解除合同并追究法律责任。 6.因履行本合同产生的纠纷或争议，甲乙双方协商解决，协商不成时向甲方所在地人民法院提起诉讼。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根据《陕西省财政厅关于规范政府采购项目评审主观分赋分有关事项的通知》陕财办采函[2026]10号第二条强化评审专家赋分说明及核实义务，内容如下：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1.主观分总分值在15分以下的，评审专家主观分评分偏离全体评委对应主观分平均分20%以上(含本数); 2.主观分总分值在15分(含)至30分的，评审专家主观分评分偏离全体评委对应主观分平均分15%以上(含本数); 3.主观分总分值在30分(含)以上的，评审专家主观分评分偏离全体评委对应主观分平均分10%以上(含本数)。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非法定代表人参加磋商的，须提供法定代表人授权委托书、授权代表身份证、授权代表提供在投标单位缴纳的社保记录（近3个月内任意一个月，提交响应文件截止时间当月不计入）；法定代表人参加磋商时,只需提供法定代表人身份证；</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供应商具备地质灾害评估和治理工程勘查设计乙级及以上资质。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中小企业声明函 法定代表人证明书及法定代表人授权书 服务需求响应表 响应文件封面 磋商响应方案说明 类似项目业绩 资格证明文件 商务偏离表 残疾人福利性单位声明函 磋商响应单位承诺书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中小企业声明函 法定代表人证明书及法定代表人授权书 服务需求响应表 响应文件封面 磋商响应方案说明 类似项目业绩 资格证明文件 商务偏离表 残疾人福利性单位声明函 磋商响应单位承诺书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其他无效情形 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中小企业声明函 法定代表人证明书及法定代表人授权书 服务需求响应表 响应文件封面 磋商响应方案说明 类似项目业绩 资格证明文件 商务偏离表 残疾人福利性单位声明函 磋商响应单位承诺书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报价未超过磋商文件中规定的（采购预算）最高限价的；</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政策背景理解</w:t>
            </w:r>
          </w:p>
        </w:tc>
        <w:tc>
          <w:tcPr>
            <w:tcW w:type="dxa" w:w="2492"/>
          </w:tcPr>
          <w:p>
            <w:pPr>
              <w:pStyle w:val="null3"/>
            </w:pPr>
            <w:r>
              <w:rPr>
                <w:rFonts w:ascii="仿宋_GB2312" w:hAnsi="仿宋_GB2312" w:cs="仿宋_GB2312" w:eastAsia="仿宋_GB2312"/>
              </w:rPr>
              <w:t>针对陕西省地质灾害避险搬迁政策背景的理解，包括但不限于：①总体要求、②工作机制、③主要任务、④政策支持、⑤保障措施等，内容描述要认识全面、表述清晰。 评审标准：政策背景理解各项内容理解准确、分析深入、重点把握到位、认识全面、表述清晰符合本项目采购需求得5分，每缺一项内容扣1分，内容有缺陷扣0.5分，评审内容有缺陷的根据情况扣分，扣完为止。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重点和难点分析及解决方案</w:t>
            </w:r>
          </w:p>
        </w:tc>
        <w:tc>
          <w:tcPr>
            <w:tcW w:type="dxa" w:w="2492"/>
          </w:tcPr>
          <w:p>
            <w:pPr>
              <w:pStyle w:val="null3"/>
            </w:pPr>
            <w:r>
              <w:rPr>
                <w:rFonts w:ascii="仿宋_GB2312" w:hAnsi="仿宋_GB2312" w:cs="仿宋_GB2312" w:eastAsia="仿宋_GB2312"/>
              </w:rPr>
              <w:t>针对本项目工作任务进行重点和难点分析，并提出合理化解决方案，内容至少包含：①重点分析；②难点分析；③风险点分析；④解决方案；⑤合理化建议等，分析内容要全面、合理，解决方案要有针对性、可实施性。 评审标准：重点和难点分析及解决方案各部分内容分析全面详细、阐述条理清晰详尽、解决方案有针对性、可实施性符合本项目采购需求得5分，每缺一项内容扣1分，内容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针对本项目制定具体实施方案，内容包括但不限于：①目标任务、②工作依据、③工作方法、④技术路线等，方案要内容完整、思路清晰、切实可行。 评审标准：实施方案各项内容全面详细、阐述条理清晰详尽、切实可行符合本项目采购需求，能有效满足本项目实施条件的得12分，每缺一项内容扣3分，内容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针对本项目进行详细工作部署，内容包括但不限于：①工作计划、②进度安排，工作安排要科学、合理、可行。 评审标准：工作进度安排各项内容全面详细、阐述条理清晰详尽、合理、可行符合本项目采购需求得6分，每缺一项内容扣3分，内容有缺陷扣0.5分，评审内容有缺陷的根据情况扣分，扣完为止。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针对本项目服务质量和时效的保证措施及承诺，包括但不限于：①组织协调、②人员保障、③质量管控、④技术保障，保证措施要全面、有效。 评审标准：质量保证措施各部分内容全面详细、阐述条理清晰详尽、符合本项目采购需求得4分，每缺一项内容扣1分，内容有缺陷扣0.5分，评审内容有缺陷的根据情况扣分，扣完为止。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针对本项目外业作业安全、涉密信息使用提供有效的安全保密机制及保障措施，机制要健全，措施要有效。 评审标准：①安全保密机制内容全面详细、阐述条理清晰详尽、机制健全符合本项目采购需求得2分；②安全保障措施内容全面详细、阐述条理清晰详尽、措施有效符合本项目采购需求得2分。每缺一项内容扣2分，内容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对项目实施过程中外业风险、工期滞后及技术难题等各类风险制定应急处置预案，预案要全面、措施要合理。 评审标准：①应急预案内容全面详细、阐述条理清晰详尽、符合本项目采购需求得1分；②处置措施内容全面详细、阐述条理清晰详尽、处置措施合理符合本项目采购需求得1分。每缺一项内容扣1分，内容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针对本项目的预期成果，客观描述成果产出内容、数量和质量标准，成果要满足项目工作要求。 评审标准：①预期成果内容全面详细、阐述条理清晰详尽、数量达标符合本项目采购需求得1分；②成果质量标准全面详细、阐述条理清晰详尽、满足项目工作要求得1分。每缺一项内容扣1分，内容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项目负责人具备自然资源领域高级及以上职称得3分，中级职称得2分；项目负责人提供2023年1月1日至今完成类似项目业绩，每提供1项得2分，满分6分；未提供的不计分。 （以提供本单位社保缴纳证明、职称证书复印件及项目证明材料为准）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供应商具备完成本项目技术服务所需的专业设备，包括但不限于：无人机、GPS终端、图形工作站、外业调查采集终端等（提供设备购置合同或发票复印件及照片）。 具备1类设备得1分，满分3分，未提供得0分。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项目组人员配备（不含项目负责人）</w:t>
            </w:r>
          </w:p>
        </w:tc>
        <w:tc>
          <w:tcPr>
            <w:tcW w:type="dxa" w:w="2492"/>
          </w:tcPr>
          <w:p>
            <w:pPr>
              <w:pStyle w:val="null3"/>
            </w:pPr>
            <w:r>
              <w:rPr>
                <w:rFonts w:ascii="仿宋_GB2312" w:hAnsi="仿宋_GB2312" w:cs="仿宋_GB2312" w:eastAsia="仿宋_GB2312"/>
              </w:rPr>
              <w:t>供应商应提供不少于8人的专业技术团队，项目组人员具备自然资源领域专业技术职称（以提供学历证书、职称证书复印件及社保等从业证明为准）。 项目专业技术团队少于8人，本项不得分；项目技术团队不少于8人的，每名高级及以上职称的人员得3分，每名中级职称的人员得2分，每名初级职称的人员得1分，未提供的不计分，满分20分。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质量管理与内控体系</w:t>
            </w:r>
          </w:p>
        </w:tc>
        <w:tc>
          <w:tcPr>
            <w:tcW w:type="dxa" w:w="2492"/>
          </w:tcPr>
          <w:p>
            <w:pPr>
              <w:pStyle w:val="null3"/>
            </w:pPr>
            <w:r>
              <w:rPr>
                <w:rFonts w:ascii="仿宋_GB2312" w:hAnsi="仿宋_GB2312" w:cs="仿宋_GB2312" w:eastAsia="仿宋_GB2312"/>
              </w:rPr>
              <w:t>供应商具备有效的质量管理体系认证、环境管理体系认证、职业健康安全管理体系认证、相关保密资质证书或管理制度（提供相关证书或制度复印件）。每提供1项得1.5分，满分3分；未提供证书或不在有效期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供应商提供2023年1月1日至今承担过的地质灾害调查、评估、技术支撑服务等类似项目业绩（以提供合同或任务书或报告关键页为证明材料）。 每提供1项得3分，满分15分；未提供或证明材料不足不计分。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详见附件：服务需求响应表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详见附件：磋商响应方案说明</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详见附件：磋商响应单位承诺书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详见附件：陕西省2026年度地质灾害避险搬迁-合同.docx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