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BEA05">
      <w:pPr>
        <w:pStyle w:val="4"/>
        <w:jc w:val="center"/>
        <w:rPr>
          <w:rFonts w:hint="default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</w:rPr>
        <w:t>技术参数</w:t>
      </w:r>
      <w:r>
        <w:rPr>
          <w:b/>
          <w:bCs/>
          <w:sz w:val="28"/>
          <w:szCs w:val="28"/>
          <w:lang w:eastAsia="zh-CN"/>
        </w:rPr>
        <w:t>证明材料</w:t>
      </w:r>
    </w:p>
    <w:p w14:paraId="6C9DECE7">
      <w:pPr>
        <w:widowControl/>
        <w:spacing w:line="360" w:lineRule="auto"/>
        <w:ind w:firstLine="420"/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供应商可根据所投产品自行编写，格式不限。</w:t>
      </w:r>
    </w:p>
    <w:p w14:paraId="78A5E7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97C4D"/>
    <w:rsid w:val="2429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2026-05-22T02:57:00Z</dcterms:created>
  <dc:creator>十五</dc:creator>
  <cp:lastModifiedBy>十五</cp:lastModifiedBy>
  <dcterms:modified xsi:type="dcterms:W3CDTF">2026-05-22T02:57:36Z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3837E85293C14E97B4B23660A67D9329_11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