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版本号：KCZC-2026-03320260803002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2026年洋县谢村镇抗灌溉井设施建设项目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KCZC-2026-033</w:t>
      </w:r>
      <w:r>
        <w:br/>
      </w:r>
      <w:r>
        <w:br/>
      </w:r>
      <w:r>
        <w:br/>
      </w:r>
    </w:p>
    <w:p>
      <w:pPr>
        <w:pStyle w:val="null3"/>
        <w:jc w:val="center"/>
        <w:outlineLvl w:val="2"/>
      </w:pPr>
      <w:r>
        <w:rPr>
          <w:rFonts w:ascii="仿宋_GB2312" w:hAnsi="仿宋_GB2312" w:cs="仿宋_GB2312" w:eastAsia="仿宋_GB2312"/>
          <w:sz w:val="28"/>
          <w:b/>
        </w:rPr>
        <w:t>洋县谢村镇人民政府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洋县谢村镇人民政府</w:t>
      </w:r>
      <w:r>
        <w:rPr>
          <w:rFonts w:ascii="仿宋_GB2312" w:hAnsi="仿宋_GB2312" w:cs="仿宋_GB2312" w:eastAsia="仿宋_GB2312"/>
        </w:rPr>
        <w:t>委托，拟对</w:t>
      </w:r>
      <w:r>
        <w:rPr>
          <w:rFonts w:ascii="仿宋_GB2312" w:hAnsi="仿宋_GB2312" w:cs="仿宋_GB2312" w:eastAsia="仿宋_GB2312"/>
        </w:rPr>
        <w:t>2026年洋县谢村镇抗灌溉井设施建设项目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2026年洋县谢村镇抗灌溉井设施建设项目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新建Ф500，深40-76米抗旱机井19口。（详见工程量清单）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采购包1（2026年洋县谢村镇抗灌溉井设施建设项目）：属于专门面向中小企业采购。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3、企业资质要求：供应商须具备水利水电工程施工总承包三级及以上资质和合格有效的安全生产许可证；供应商需在项目电子化交易系统中按要求上传相应证明文件并进行电子签章；</w:t>
      </w:r>
    </w:p>
    <w:p>
      <w:pPr>
        <w:pStyle w:val="null3"/>
      </w:pPr>
      <w:r>
        <w:rPr>
          <w:rFonts w:ascii="仿宋_GB2312" w:hAnsi="仿宋_GB2312" w:cs="仿宋_GB2312" w:eastAsia="仿宋_GB2312"/>
        </w:rPr>
        <w:t>4、项目经理资格要求：拟派项目经理须具有水利水电专业二级及以上注册建造师证书及安全生产考核合格证书（B证），且无在建工程；供应商需在项目电子化交易系统中按要求上传相应证明文件并进行电子签章；</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洋县谢村镇人民政府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陕西省汉中市洋县谢村镇谢村街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15691620508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代理服务费收费标准：依据《关于进一步放开建设项目专业服务价格的通知》（发改价格〔2015〕299 号）及《政府采购代理机构管理暂行办法》（财库〔2018〕2 号），收费标准由采购人与代理机构在委托代理协议中协商确定。招标代理服务费以中标价为基数计算，按差额定率累进法计算收取。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洋县谢村镇人民政府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洋县谢村镇人民政府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洋县谢村镇人民政府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供应商使用自有或第三方专利、工法、图纸、软件等知识产权的，须在响应文件中如实披露，并提供合法有效的权属、授权证明，相关一切使用费全部包含在响应总报价内，采购人不另行付费。 2. 采购人提供的勘察、设计、图纸等资料知识产权归采购人所有，供应商仅可用于本项目，未经许可不得挪作他用。 3. 供应商为本项目实施产生的深化图纸、施工方案、竣工资料等全部成果知识产权归采购人所有，采购人可无偿永久使用。 4. 供应商承诺所采用技术、成果无知识产权侵权纠纷，如引发第三方索赔、诉讼、停工损失等，全部责任及经济赔偿均由供应商承担。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统一遵循以下标准：项目施工、材料设备符合采购文件、合同及现行国家行业规范；工程实体无质量缺陷，全部建设内容完工，技术参数实测达标；主材设备与合同约定一致，质量证明文件齐全；隐蔽工程、施工过程资料完整；竣工档案规范归档；项目整体使用功能达标，质保服务落实到位。任一指标不达标均视为验收不合格，供应商无偿整改复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地址：洋县南环路太阳谷康郡东大门康诚集团一楼代理部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1,520,000.00</w:t>
      </w:r>
    </w:p>
    <w:p>
      <w:pPr>
        <w:pStyle w:val="null3"/>
      </w:pPr>
      <w:r>
        <w:rPr>
          <w:rFonts w:ascii="仿宋_GB2312" w:hAnsi="仿宋_GB2312" w:cs="仿宋_GB2312" w:eastAsia="仿宋_GB2312"/>
        </w:rPr>
        <w:t>采购包最高限价（元）: 1,407,303.83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2026年洋县谢村镇抗灌溉井设施建设项目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标的名称：2026年洋县谢村镇抗灌溉井设施建设项目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2、工期：90日历天</w:t>
            </w:r>
          </w:p>
          <w:p>
            <w:pPr>
              <w:pStyle w:val="null3"/>
            </w:pPr>
            <w:r>
              <w:rPr>
                <w:rFonts w:ascii="仿宋_GB2312" w:hAnsi="仿宋_GB2312" w:cs="仿宋_GB2312" w:eastAsia="仿宋_GB2312"/>
              </w:rPr>
              <w:t>3、合同履约地点：洋县谢村镇</w:t>
            </w:r>
          </w:p>
          <w:p>
            <w:pPr>
              <w:pStyle w:val="null3"/>
            </w:pPr>
            <w:r>
              <w:rPr>
                <w:rFonts w:ascii="仿宋_GB2312" w:hAnsi="仿宋_GB2312" w:cs="仿宋_GB2312" w:eastAsia="仿宋_GB2312"/>
              </w:rPr>
              <w:t>4、质量要求：达到验收合格标准</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供应商严格执行国家、行业现行规范、图纸及采购人管理要求施工，配齐专业技术人员驻场负责现场技术管理、对接及整改工作。 积极配合采购人、监理及主管部门各类检查、验收，各类施工方案、工艺调整须经采购人书面审批后方可执行。 同步编制全套规范工程竣工资料，完工后完整移交采购人归档；负责全过程试验检测工作，相关费用含于总报价。 落实文明施工、成品保护、安全技术保障措施，损坏周边设施由供应商无偿修复赔偿。 质保期内提供免费上门技术维修、调试服务，终身提供优惠技术咨询服务。</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供应商须具备水利水电工程施工总承包三级及以上资质和合格有效的安全生产许可证；供应商需在项目电子化交易系统中按要求上传相应证明文件并进行电子签章；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拟派项目经理须具有水利水电专业二级及以上注册建造师证书及安全生产考核合格证书（B证），且无在建工程；供应商需在项目电子化交易系统中按要求上传相应证明文件并进行电子签章；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应当符合磋商文件载明的有效期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施工进度计划及工期保障措施.docx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响应文件签署或盖章</w:t>
            </w:r>
          </w:p>
        </w:tc>
        <w:tc>
          <w:tcPr>
            <w:tcW w:type="dxa" w:w="3322"/>
          </w:tcPr>
          <w:p>
            <w:pPr>
              <w:pStyle w:val="null3"/>
            </w:pPr>
            <w:r>
              <w:rPr>
                <w:rFonts w:ascii="仿宋_GB2312" w:hAnsi="仿宋_GB2312" w:cs="仿宋_GB2312" w:eastAsia="仿宋_GB2312"/>
              </w:rPr>
              <w:t>响应文件在磋商文件要求的指定位置进行签字盖章。</w:t>
            </w:r>
          </w:p>
        </w:tc>
        <w:tc>
          <w:tcPr>
            <w:tcW w:type="dxa" w:w="1661"/>
          </w:tcPr>
          <w:p>
            <w:pPr>
              <w:pStyle w:val="null3"/>
            </w:pPr>
            <w:r>
              <w:rPr>
                <w:rFonts w:ascii="仿宋_GB2312" w:hAnsi="仿宋_GB2312" w:cs="仿宋_GB2312" w:eastAsia="仿宋_GB2312"/>
              </w:rPr>
              <w:t>施工总体方案.docx 已标价工程量清单 中小企业声明函 施工资源配备计划.docx 施工总平面布置图.docx 技术服务合同条款及其他商务要求应答表 施工进度计划及工期保障措施.docx 供应商认为有必要提供的其他资料.docx 投标保证金或投标担保.docx 安全生产及文明施工保障方案.docx 响应文件封面 售后服务及质保期保障方案.docx 项目管理机构组成表 残疾人福利性单位声明函 报价函 供应商应提交的相关资格证明材料.pdf 标的清单 供应商类似项目业绩一览表 质量保证体系及保障措施.docx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按磋商文件要求报价，未超过项目最高限价。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投标保证金或投标担保.docx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施工总体方案.docx 已标价工程量清单 中小企业声明函 施工资源配备计划.docx 施工总平面布置图.docx 技术服务合同条款及其他商务要求应答表 施工进度计划及工期保障措施.docx 供应商认为有必要提供的其他资料.docx 投标保证金或投标担保.docx 安全生产及文明施工保障方案.docx 响应文件封面 售后服务及质保期保障方案.docx 项目管理机构组成表 残疾人福利性单位声明函 报价函 供应商应提交的相关资格证明材料.pdf 标的清单 供应商类似项目业绩一览表 质量保证体系及保障措施.docx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不存在法律法规及磋商文件规定的其他无效响应情形。</w:t>
            </w:r>
          </w:p>
        </w:tc>
        <w:tc>
          <w:tcPr>
            <w:tcW w:type="dxa" w:w="1661"/>
          </w:tcPr>
          <w:p>
            <w:pPr>
              <w:pStyle w:val="null3"/>
            </w:pPr>
            <w:r>
              <w:rPr>
                <w:rFonts w:ascii="仿宋_GB2312" w:hAnsi="仿宋_GB2312" w:cs="仿宋_GB2312" w:eastAsia="仿宋_GB2312"/>
              </w:rPr>
              <w:t>施工总体方案.docx 已标价工程量清单 中小企业声明函 施工资源配备计划.docx 施工总平面布置图.docx 技术服务合同条款及其他商务要求应答表 施工进度计划及工期保障措施.docx 供应商认为有必要提供的其他资料.docx 投标保证金或投标担保.docx 安全生产及文明施工保障方案.docx 响应文件封面 售后服务及质保期保障方案.docx 项目管理机构组成表 残疾人福利性单位声明函 报价函 供应商应提交的相关资格证明材料.pdf 标的清单 供应商类似项目业绩一览表 质量保证体系及保障措施.docx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评审内容包含但不限于以下6项：①项目总体概况表述；②施工准备（技术准备、材料准备、机械准备、机具准备、劳动力准备等）；③施工总体思路；④施工次序；⑤施工方法（工艺）；⑥工程重难点及解决措施。 评分规则： 1、缺项扣分：上述6项内容每缺失1项扣2分，扣完12分为止； 2、缺陷扣分：内容存在不合理、不完善、前后表述不一致、套用通用模板与本项目需求不匹配、方案针对性不足等缺陷，每发现1处扣1分，可与缺项扣分叠加，扣完本项满分12分为止； 3、未提供本施工总体方案的，本项得0分。 缺陷定义：内容不合理、虽有内容但不完善、内容表述前后不一致、套用其他项目方案、与本项目水利水电施工需求不匹配及其他不利于本项目实施的情形。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施工总体方案.docx</w:t>
            </w:r>
          </w:p>
        </w:tc>
      </w:tr>
      <w:tr>
        <w:tc>
          <w:tcPr>
            <w:tcW w:type="dxa" w:w="831"/>
            <w:vMerge/>
          </w:tcPr>
          <w:p/>
        </w:tc>
        <w:tc>
          <w:tcPr>
            <w:tcW w:type="dxa" w:w="1661"/>
          </w:tcPr>
          <w:p>
            <w:pPr>
              <w:pStyle w:val="null3"/>
            </w:pPr>
            <w:r>
              <w:rPr>
                <w:rFonts w:ascii="仿宋_GB2312" w:hAnsi="仿宋_GB2312" w:cs="仿宋_GB2312" w:eastAsia="仿宋_GB2312"/>
              </w:rPr>
              <w:t>质量保证体系及保障措施</w:t>
            </w:r>
          </w:p>
        </w:tc>
        <w:tc>
          <w:tcPr>
            <w:tcW w:type="dxa" w:w="2492"/>
          </w:tcPr>
          <w:p>
            <w:pPr>
              <w:pStyle w:val="null3"/>
            </w:pPr>
            <w:r>
              <w:rPr>
                <w:rFonts w:ascii="仿宋_GB2312" w:hAnsi="仿宋_GB2312" w:cs="仿宋_GB2312" w:eastAsia="仿宋_GB2312"/>
              </w:rPr>
              <w:t>评审内容包含但不限于以下4项：①质量管理组织机构及岗位职责；②全过程质量管理制度与管控流程；③原材料、工序质量检验管控措施；④工程质量通病防治及问题整改措施。 评分规则： 1、缺项扣分：上述4项内容每缺失1项扣2分，扣完8分为止； 2、缺陷扣分：内容存在不合理、虽有内容但不完善、表述前后不一致、套用通用模板、与本水利项目施工需求不匹配等缺陷，每发现1处扣1分，可与缺项扣分叠加，扣完本项满分8分为止； 3、未提供本质量保证体系及保障措施方案的，本项得0分。 缺陷定义：内容不合理、虽有内容但不完善、内容表述前后不一致、套用其他项目方案、与本项目水利水电施工需求不匹配及其他不利于本项目质量管控的情形。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质量保证体系及保障措施.docx</w:t>
            </w:r>
          </w:p>
        </w:tc>
      </w:tr>
      <w:tr>
        <w:tc>
          <w:tcPr>
            <w:tcW w:type="dxa" w:w="831"/>
            <w:vMerge/>
          </w:tcPr>
          <w:p/>
        </w:tc>
        <w:tc>
          <w:tcPr>
            <w:tcW w:type="dxa" w:w="1661"/>
          </w:tcPr>
          <w:p>
            <w:pPr>
              <w:pStyle w:val="null3"/>
            </w:pPr>
            <w:r>
              <w:rPr>
                <w:rFonts w:ascii="仿宋_GB2312" w:hAnsi="仿宋_GB2312" w:cs="仿宋_GB2312" w:eastAsia="仿宋_GB2312"/>
              </w:rPr>
              <w:t>安全生产及文明施工保障方案</w:t>
            </w:r>
          </w:p>
        </w:tc>
        <w:tc>
          <w:tcPr>
            <w:tcW w:type="dxa" w:w="2492"/>
          </w:tcPr>
          <w:p>
            <w:pPr>
              <w:pStyle w:val="null3"/>
            </w:pPr>
            <w:r>
              <w:rPr>
                <w:rFonts w:ascii="仿宋_GB2312" w:hAnsi="仿宋_GB2312" w:cs="仿宋_GB2312" w:eastAsia="仿宋_GB2312"/>
              </w:rPr>
              <w:t>评审内容包含但不限于以下4项：①安全管理组织机构及岗位责任制度；②施工现场重大危险源辨识及专项防控措施；③施工安全应急处置预案；④文明施工、水土保持及现场环保管控措施。 评分规则： 1、缺项扣分：上述4项内容每缺失1项扣2分，扣完8分为止； 2、缺陷扣分：内容存在不合理、虽有内容但不完善、表述前后不一致、套用通用模板、与本水利项目施工需求不匹配等缺陷，每发现1处扣1分，可与缺项扣分叠加，扣完本项满分8分为止； 3、未提供本安全生产及文明施工保障方案的，本项得0分。 缺陷定义：内容不合理、虽有内容但不完善、内容表述前后不一致、套用其他项目方案、与本项目水利水电施工需求不匹配及其他不利于本项目安全文明施工的情形。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安全生产及文明施工保障方案.docx</w:t>
            </w:r>
          </w:p>
        </w:tc>
      </w:tr>
      <w:tr>
        <w:tc>
          <w:tcPr>
            <w:tcW w:type="dxa" w:w="831"/>
            <w:vMerge/>
          </w:tcPr>
          <w:p/>
        </w:tc>
        <w:tc>
          <w:tcPr>
            <w:tcW w:type="dxa" w:w="1661"/>
          </w:tcPr>
          <w:p>
            <w:pPr>
              <w:pStyle w:val="null3"/>
            </w:pPr>
            <w:r>
              <w:rPr>
                <w:rFonts w:ascii="仿宋_GB2312" w:hAnsi="仿宋_GB2312" w:cs="仿宋_GB2312" w:eastAsia="仿宋_GB2312"/>
              </w:rPr>
              <w:t>施工进度计划及工期保障措施</w:t>
            </w:r>
          </w:p>
        </w:tc>
        <w:tc>
          <w:tcPr>
            <w:tcW w:type="dxa" w:w="2492"/>
          </w:tcPr>
          <w:p>
            <w:pPr>
              <w:pStyle w:val="null3"/>
            </w:pPr>
            <w:r>
              <w:rPr>
                <w:rFonts w:ascii="仿宋_GB2312" w:hAnsi="仿宋_GB2312" w:cs="仿宋_GB2312" w:eastAsia="仿宋_GB2312"/>
              </w:rPr>
              <w:t>评审内容包含但不限于以下3项：①整体施工总进度计划及分项工程进度排布；②关键工序工期管控措施；③工期滞后纠偏及赶工保障措施。 评分规则： 1、缺项扣分：上述3项内容每缺失1项扣2分，扣完6分为止； 2、缺陷扣分：内容存在不合理、虽有内容但不完善、表述前后不一致、进度排布与项目实际不符、套用通用模板等缺陷，每发现1处扣1分，可与缺项扣分叠加，扣完本项满分6分为止； 3、未提供施工进度计划及工期保障措施的，本项得0分。 缺陷定义：内容不合理、虽有内容但不完善、内容表述前后不一致、套用其他项目方案、进度计划与本项目实际工况不匹配及其他不利于本项目工期履约的情形。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施工进度计划及工期保障措施.docx</w:t>
            </w:r>
          </w:p>
        </w:tc>
      </w:tr>
      <w:tr>
        <w:tc>
          <w:tcPr>
            <w:tcW w:type="dxa" w:w="831"/>
            <w:vMerge/>
          </w:tcPr>
          <w:p/>
        </w:tc>
        <w:tc>
          <w:tcPr>
            <w:tcW w:type="dxa" w:w="1661"/>
          </w:tcPr>
          <w:p>
            <w:pPr>
              <w:pStyle w:val="null3"/>
            </w:pPr>
            <w:r>
              <w:rPr>
                <w:rFonts w:ascii="仿宋_GB2312" w:hAnsi="仿宋_GB2312" w:cs="仿宋_GB2312" w:eastAsia="仿宋_GB2312"/>
              </w:rPr>
              <w:t>售后服务及质保期保障方案</w:t>
            </w:r>
          </w:p>
        </w:tc>
        <w:tc>
          <w:tcPr>
            <w:tcW w:type="dxa" w:w="2492"/>
          </w:tcPr>
          <w:p>
            <w:pPr>
              <w:pStyle w:val="null3"/>
            </w:pPr>
            <w:r>
              <w:rPr>
                <w:rFonts w:ascii="仿宋_GB2312" w:hAnsi="仿宋_GB2312" w:cs="仿宋_GB2312" w:eastAsia="仿宋_GB2312"/>
              </w:rPr>
              <w:t>评审内容包含但不限于以下3项：①质保期运维服务组织及人员配置；②缺陷维修、故障响应处置机制；③质保期定期巡检、养护及回访保障措施。 评分规则： 1、缺项扣分：上述3项内容每缺失1项扣2分，扣完6分为止； 2、缺陷扣分：内容存在不合理、虽有内容但不完善、表述前后不一致、服务措施空洞、套用通用模板等缺陷，每发现1处扣1分，可与缺项扣分叠加，扣完本项满分6分为止； 3、未提供售后服务及质保期保障方案的，本项得0分。 缺陷定义：内容不合理、虽有内容但不完善、内容表述前后不一致、套用其他项目方案、质保服务与本项目水利工程运维需求不匹配及其他不利于项目后期运维保障的情形。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售后服务及质保期保障方案.docx</w:t>
            </w:r>
          </w:p>
        </w:tc>
      </w:tr>
      <w:tr>
        <w:tc>
          <w:tcPr>
            <w:tcW w:type="dxa" w:w="831"/>
            <w:vMerge/>
          </w:tcP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供应商近3年内承担过类似项目业绩（2023年8月1日至今的已完工程），每个有效业绩得2.5分，累计最高得5分，超出数量不计分。 备注：业绩需提供中标通知书或施工合同，虚假业绩、挂靠业绩、非本单位业绩不予计分。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项目管理人员配置</w:t>
            </w:r>
          </w:p>
        </w:tc>
        <w:tc>
          <w:tcPr>
            <w:tcW w:type="dxa" w:w="2492"/>
          </w:tcPr>
          <w:p>
            <w:pPr>
              <w:pStyle w:val="null3"/>
            </w:pPr>
            <w:r>
              <w:rPr>
                <w:rFonts w:ascii="仿宋_GB2312" w:hAnsi="仿宋_GB2312" w:cs="仿宋_GB2312" w:eastAsia="仿宋_GB2312"/>
              </w:rPr>
              <w:t>①施工技术负责人：具备水利水电相关专业中级职称得1.5分；具备水利水电相关专业高级职称得3分；无职称、职称证书过期不得分。 ②专职安全员：具备水利水电工程安全生产考核合格C证，得3分；无证、证书过期不得分。 ③现场四大关键岗位人员：施工员、质量员、资料员、材料员，每个岗位配备齐全且持有对应有效岗位证书，单岗位得2分，四个岗位合计满分8分；每缺少1个必备岗位人员，在本项总分内扣除2分，扣完为止。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项目经理提供近三年（自2023年8月1日至今）类似项目业绩，响应文件中应附有其业绩证明材料，业绩以协议书（合同）或（中标）成交通知书加盖公章的复印件为依据，提供1个得满分2分 。企业类似业绩与拟派项目经理类似业绩可共用同一项目业绩。</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施工资源配备计划</w:t>
            </w:r>
          </w:p>
        </w:tc>
        <w:tc>
          <w:tcPr>
            <w:tcW w:type="dxa" w:w="2492"/>
          </w:tcPr>
          <w:p>
            <w:pPr>
              <w:pStyle w:val="null3"/>
            </w:pPr>
            <w:r>
              <w:rPr>
                <w:rFonts w:ascii="仿宋_GB2312" w:hAnsi="仿宋_GB2312" w:cs="仿宋_GB2312" w:eastAsia="仿宋_GB2312"/>
              </w:rPr>
              <w:t>①劳动力资源配置（满分2分）：提供贴合本项目的劳动力投入、工种配置及进场计划，内容完整贴合项目需求得2分；内容与项目不匹配或未提供得0分。 ②材料资源配置（满分1.5分）：提供完整的材料采购、进场、质控及储备计划，方案完善可行得1.5分；简单罗列、措施不完善或未提供得0分。 ③机械设备配置（满分1.5分）：配齐项目所需施工设备、满足施工需求得1.5分；未提供相关设备配置得0分。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施工资源配备计划.docx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提供施工总平面布置图，图中需明确标注施工区、材料堆场区、加工区、办公生活区等要素，得4分；每缺少一个要素扣一分，未提供的，不得分。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施工总平面布置图.docx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详见附件：投标保证金或投标担保.docx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详见附件：施工总体方案.docx</w:t>
      </w:r>
    </w:p>
    <w:p>
      <w:pPr>
        <w:pStyle w:val="null3"/>
        <w:ind w:firstLine="960"/>
      </w:pPr>
      <w:r>
        <w:rPr>
          <w:rFonts w:ascii="仿宋_GB2312" w:hAnsi="仿宋_GB2312" w:cs="仿宋_GB2312" w:eastAsia="仿宋_GB2312"/>
        </w:rPr>
        <w:t>详见附件：质量保证体系及保障措施.docx</w:t>
      </w:r>
    </w:p>
    <w:p>
      <w:pPr>
        <w:pStyle w:val="null3"/>
        <w:ind w:firstLine="960"/>
      </w:pPr>
      <w:r>
        <w:rPr>
          <w:rFonts w:ascii="仿宋_GB2312" w:hAnsi="仿宋_GB2312" w:cs="仿宋_GB2312" w:eastAsia="仿宋_GB2312"/>
        </w:rPr>
        <w:t>详见附件：安全生产及文明施工保障方案.docx</w:t>
      </w:r>
    </w:p>
    <w:p>
      <w:pPr>
        <w:pStyle w:val="null3"/>
        <w:ind w:firstLine="960"/>
      </w:pPr>
      <w:r>
        <w:rPr>
          <w:rFonts w:ascii="仿宋_GB2312" w:hAnsi="仿宋_GB2312" w:cs="仿宋_GB2312" w:eastAsia="仿宋_GB2312"/>
        </w:rPr>
        <w:t>详见附件：施工进度计划及工期保障措施.docx</w:t>
      </w:r>
    </w:p>
    <w:p>
      <w:pPr>
        <w:pStyle w:val="null3"/>
        <w:ind w:firstLine="960"/>
      </w:pPr>
      <w:r>
        <w:rPr>
          <w:rFonts w:ascii="仿宋_GB2312" w:hAnsi="仿宋_GB2312" w:cs="仿宋_GB2312" w:eastAsia="仿宋_GB2312"/>
        </w:rPr>
        <w:t>详见附件：售后服务及质保期保障方案.docx</w:t>
      </w:r>
    </w:p>
    <w:p>
      <w:pPr>
        <w:pStyle w:val="null3"/>
        <w:ind w:firstLine="960"/>
      </w:pPr>
      <w:r>
        <w:rPr>
          <w:rFonts w:ascii="仿宋_GB2312" w:hAnsi="仿宋_GB2312" w:cs="仿宋_GB2312" w:eastAsia="仿宋_GB2312"/>
        </w:rPr>
        <w:t>详见附件：施工资源配备计划.docx</w:t>
      </w:r>
    </w:p>
    <w:p>
      <w:pPr>
        <w:pStyle w:val="null3"/>
        <w:ind w:firstLine="960"/>
      </w:pPr>
      <w:r>
        <w:rPr>
          <w:rFonts w:ascii="仿宋_GB2312" w:hAnsi="仿宋_GB2312" w:cs="仿宋_GB2312" w:eastAsia="仿宋_GB2312"/>
        </w:rPr>
        <w:t>详见附件：施工总平面布置图.docx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