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版本号：LZC-C260427Y20260511001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大白杨东村城改项目复核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LZC-C260427Y</w:t>
      </w:r>
      <w:r>
        <w:br/>
      </w:r>
      <w:r>
        <w:br/>
      </w:r>
      <w:r>
        <w:br/>
      </w:r>
    </w:p>
    <w:p>
      <w:pPr>
        <w:pStyle w:val="null3"/>
        <w:jc w:val="center"/>
        <w:outlineLvl w:val="2"/>
      </w:pPr>
      <w:r>
        <w:rPr>
          <w:rFonts w:ascii="仿宋_GB2312" w:hAnsi="仿宋_GB2312" w:cs="仿宋_GB2312" w:eastAsia="仿宋_GB2312"/>
          <w:sz w:val="28"/>
          <w:b/>
        </w:rPr>
        <w:t>西安市未央区审计局</w:t>
      </w:r>
    </w:p>
    <w:p>
      <w:pPr>
        <w:pStyle w:val="null3"/>
        <w:jc w:val="center"/>
        <w:outlineLvl w:val="2"/>
      </w:pPr>
      <w:r>
        <w:rPr>
          <w:rFonts w:ascii="仿宋_GB2312" w:hAnsi="仿宋_GB2312" w:cs="仿宋_GB2312" w:eastAsia="仿宋_GB2312"/>
          <w:sz w:val="28"/>
          <w:b/>
        </w:rPr>
        <w:t>陕西立泽诚项目管理有限公司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陕西立泽诚项目管理有限公司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西安市未央区审计局</w:t>
      </w:r>
      <w:r>
        <w:rPr>
          <w:rFonts w:ascii="仿宋_GB2312" w:hAnsi="仿宋_GB2312" w:cs="仿宋_GB2312" w:eastAsia="仿宋_GB2312"/>
        </w:rPr>
        <w:t>委托，拟对</w:t>
      </w:r>
      <w:r>
        <w:rPr>
          <w:rFonts w:ascii="仿宋_GB2312" w:hAnsi="仿宋_GB2312" w:cs="仿宋_GB2312" w:eastAsia="仿宋_GB2312"/>
        </w:rPr>
        <w:t>大白杨东村城改项目复核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LZC-C260427Y</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大白杨东村城改项目复核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对大白杨东村城改项目复核进行审计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采购包1（大白杨东村城改项目复核）：属于专门面向中小企业采购。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2025年度完整有效的财务报告（经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3、税收缴纳证明：投标截止日前6个月内任意一个月的纳税证明或完税证明，纳税证明或完税证明上应有代收机构或税务机关的公章或业务专用章。依法免税的供应商应提供相关文件证明；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4、具有履行合同所必需的设备和专业技术能力的承诺：供应商须提供具有履行合同所必需的设备和专业技术能力的承诺；</w:t>
      </w:r>
    </w:p>
    <w:p>
      <w:pPr>
        <w:pStyle w:val="null3"/>
      </w:pPr>
      <w:r>
        <w:rPr>
          <w:rFonts w:ascii="仿宋_GB2312" w:hAnsi="仿宋_GB2312" w:cs="仿宋_GB2312" w:eastAsia="仿宋_GB2312"/>
        </w:rPr>
        <w:t>5、社会保障资金缴纳证明：投标截止日前6个月内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6、三年内无重大违法记录声明：出具参加本次政府采购活动前三年内在经营活动中没有重大违法记录的书面声明；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8、供应商资质要求：供应商须具备行政主管部门颁发的会计师事务所执业证书；</w:t>
      </w:r>
    </w:p>
    <w:p>
      <w:pPr>
        <w:pStyle w:val="null3"/>
      </w:pPr>
      <w:r>
        <w:rPr>
          <w:rFonts w:ascii="仿宋_GB2312" w:hAnsi="仿宋_GB2312" w:cs="仿宋_GB2312" w:eastAsia="仿宋_GB2312"/>
        </w:rPr>
        <w:t>9、项目负责人要求：供应商拟派项目负责人须具有有效的注册会计师证书且在本单位注册；</w:t>
      </w:r>
    </w:p>
    <w:p>
      <w:pPr>
        <w:pStyle w:val="null3"/>
      </w:pPr>
      <w:r>
        <w:rPr>
          <w:rFonts w:ascii="仿宋_GB2312" w:hAnsi="仿宋_GB2312" w:cs="仿宋_GB2312" w:eastAsia="仿宋_GB2312"/>
        </w:rPr>
        <w:t>10、本项目不接受联合体磋商：本项目不接受联合体磋商（提供书面声明材料）。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西安市未央区审计局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西安市未央区审计局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029-86259467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陕西立泽诚项目管理有限公司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王妍琛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15191373811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采购包1：791,491.50元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（一）成交供应商在领取成交通知书前，须向采购代理机构支付成交服务费； （二）招标代理服务费的计算方法：参照国家发改委文件计价格〔2002〕1980号及发改价格〔2011〕534号文件规定标准计取 （三）成交供应商服务费交纳信息： 银行户名：陕西立泽诚项目管理有限公司 开户银行：交通银行股份有限公司西安城西支行 账 号：611301071013001248832 联 系 人：王妍琛 联系电话：15191373811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西安市未央区审计局</w:t>
      </w:r>
      <w:r>
        <w:rPr>
          <w:rFonts w:ascii="仿宋_GB2312" w:hAnsi="仿宋_GB2312" w:cs="仿宋_GB2312" w:eastAsia="仿宋_GB2312"/>
        </w:rPr>
        <w:t>和</w:t>
      </w:r>
      <w:r>
        <w:rPr>
          <w:rFonts w:ascii="仿宋_GB2312" w:hAnsi="仿宋_GB2312" w:cs="仿宋_GB2312" w:eastAsia="仿宋_GB2312"/>
        </w:rPr>
        <w:t>陕西立泽诚项目管理有限公司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西安市未央区审计局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陕西立泽诚项目管理有限公司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西安市未央区审计局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陕西立泽诚项目管理有限公司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合格，符合国家咨询规范标准及要求及财政评审相关要求。符合中国注册会计师审计准则。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联系人：王妍琛</w:t>
      </w:r>
    </w:p>
    <w:p>
      <w:pPr>
        <w:pStyle w:val="null3"/>
      </w:pPr>
      <w:r>
        <w:rPr>
          <w:rFonts w:ascii="仿宋_GB2312" w:hAnsi="仿宋_GB2312" w:cs="仿宋_GB2312" w:eastAsia="仿宋_GB2312"/>
        </w:rPr>
        <w:t>联系电话：15191373811</w:t>
      </w:r>
    </w:p>
    <w:p>
      <w:pPr>
        <w:pStyle w:val="null3"/>
      </w:pPr>
      <w:r>
        <w:rPr>
          <w:rFonts w:ascii="仿宋_GB2312" w:hAnsi="仿宋_GB2312" w:cs="仿宋_GB2312" w:eastAsia="仿宋_GB2312"/>
        </w:rPr>
        <w:t>地址：西安市经济技术开发区凤城九路中登文景大厦B座2208室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对大白杨东村城改项目复核进行审计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791,491.50</w:t>
      </w:r>
    </w:p>
    <w:p>
      <w:pPr>
        <w:pStyle w:val="null3"/>
      </w:pPr>
      <w:r>
        <w:rPr>
          <w:rFonts w:ascii="仿宋_GB2312" w:hAnsi="仿宋_GB2312" w:cs="仿宋_GB2312" w:eastAsia="仿宋_GB2312"/>
        </w:rPr>
        <w:t>采购包最高限价（元）: 791,491.50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大白杨东村城改项目复核</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791,491.50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标的名称：大白杨东村城改项目复核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一、项目概述</w:t>
            </w:r>
          </w:p>
          <w:p>
            <w:pPr>
              <w:pStyle w:val="null3"/>
              <w:jc w:val="both"/>
            </w:pPr>
            <w:r>
              <w:rPr>
                <w:rFonts w:ascii="仿宋_GB2312" w:hAnsi="仿宋_GB2312" w:cs="仿宋_GB2312" w:eastAsia="仿宋_GB2312"/>
              </w:rPr>
              <w:t>对大白杨东村城改项目复核进行审计。</w:t>
            </w:r>
          </w:p>
          <w:p>
            <w:pPr>
              <w:pStyle w:val="null3"/>
              <w:jc w:val="both"/>
            </w:pPr>
            <w:r>
              <w:rPr>
                <w:rFonts w:ascii="仿宋_GB2312" w:hAnsi="仿宋_GB2312" w:cs="仿宋_GB2312" w:eastAsia="仿宋_GB2312"/>
              </w:rPr>
              <w:t>二、服务范围：本次审核范围的全部</w:t>
            </w:r>
            <w:r>
              <w:rPr>
                <w:rFonts w:ascii="仿宋_GB2312" w:hAnsi="仿宋_GB2312" w:cs="仿宋_GB2312" w:eastAsia="仿宋_GB2312"/>
              </w:rPr>
              <w:t>项目内容。</w:t>
            </w:r>
          </w:p>
          <w:p>
            <w:pPr>
              <w:pStyle w:val="null3"/>
            </w:pPr>
            <w:r>
              <w:rPr>
                <w:rFonts w:ascii="仿宋_GB2312" w:hAnsi="仿宋_GB2312" w:cs="仿宋_GB2312" w:eastAsia="仿宋_GB2312"/>
              </w:rPr>
              <w:t>三、服务期限</w:t>
            </w:r>
          </w:p>
          <w:p>
            <w:pPr>
              <w:pStyle w:val="null3"/>
              <w:jc w:val="both"/>
            </w:pPr>
            <w:r>
              <w:rPr>
                <w:rFonts w:ascii="仿宋_GB2312" w:hAnsi="仿宋_GB2312" w:cs="仿宋_GB2312" w:eastAsia="仿宋_GB2312"/>
              </w:rPr>
              <w:t>从被审计单位开始递交资料到最终发放审计报告止。</w:t>
            </w:r>
          </w:p>
          <w:p>
            <w:pPr>
              <w:pStyle w:val="null3"/>
              <w:jc w:val="both"/>
            </w:pPr>
            <w:r>
              <w:rPr>
                <w:rFonts w:ascii="仿宋_GB2312" w:hAnsi="仿宋_GB2312" w:cs="仿宋_GB2312" w:eastAsia="仿宋_GB2312"/>
              </w:rPr>
              <w:t>四、质量标准</w:t>
            </w:r>
          </w:p>
          <w:p>
            <w:pPr>
              <w:pStyle w:val="null3"/>
              <w:jc w:val="both"/>
            </w:pPr>
            <w:r>
              <w:rPr>
                <w:rFonts w:ascii="仿宋_GB2312" w:hAnsi="仿宋_GB2312" w:cs="仿宋_GB2312" w:eastAsia="仿宋_GB2312"/>
              </w:rPr>
              <w:t>合格，符合国家咨询规范标准及要求及财政评审相关要求。</w:t>
            </w:r>
            <w:r>
              <w:rPr>
                <w:rFonts w:ascii="仿宋_GB2312" w:hAnsi="仿宋_GB2312" w:cs="仿宋_GB2312" w:eastAsia="仿宋_GB2312"/>
              </w:rPr>
              <w:t>符合中国注册会计师审计准则。</w:t>
            </w:r>
          </w:p>
          <w:p>
            <w:pPr>
              <w:pStyle w:val="null3"/>
              <w:jc w:val="both"/>
            </w:pPr>
            <w:r>
              <w:rPr>
                <w:rFonts w:ascii="仿宋_GB2312" w:hAnsi="仿宋_GB2312" w:cs="仿宋_GB2312" w:eastAsia="仿宋_GB2312"/>
              </w:rPr>
              <w:t>五、其他</w:t>
            </w:r>
          </w:p>
          <w:p>
            <w:pPr>
              <w:pStyle w:val="null3"/>
              <w:jc w:val="both"/>
            </w:pPr>
            <w:r>
              <w:rPr>
                <w:rFonts w:ascii="仿宋_GB2312" w:hAnsi="仿宋_GB2312" w:cs="仿宋_GB2312" w:eastAsia="仿宋_GB2312"/>
                <w:sz w:val="21"/>
              </w:rPr>
              <w:t>项目实施中涉及到的相关保密数据、资料、文档等按照相应相关保密规定执行，成交供应商有对资料保密的义务，并承诺不与项目的施工单位恶意串通。不得以商业目的使用该资料或者开发和生产其他产品；成交供应商可根据需要对资料内容进行必要的修改和对数据格式进行转换，但未经许可，不得将修改、转换后的数据对外发布和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满足采购项目需求（详见6.4.2评分标准）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从被审计单位开始递交资料到最终发放审计报告止。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合格，符合国家咨询规范标准及要求及财政评审相关要求。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委托人应于咨询人初审完成并提交初审报告和发票后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审核结束并递交符合本合同约定要求的书面审核意见和发票后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详见合同协议书</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执行过程中，供应商对采购人或代理机构的质疑答复不满意，或者采购人或代理机构未在规定期限内作出答复的，可以在答复期满后15个工作日内向同级财政部门提出投诉。除线下书面投诉外，鼓励各供应商优先选择便捷的电子化投诉方式，电子化投诉流程参照《陕西省财政厅关于在全省开展电子化投诉工作有关事项的通知》(陕财办采函(2022)15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报告（经注册会计师行业统一监管平台备案赋码）或在开标日期前六个月内其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经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投标截止日前6个月内任意一个月的纳税证明或完税证明，纳税证明或完税证明上应有代收机构或税务机关的公章或业务专用章。依法免税的供应商应提供相关文件证明；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日前6个月内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供应商须具备行政主管部门颁发的会计师事务所执业证书；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供应商拟派项目负责人须具有有效的注册会计师证书且在本单位注册；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中小企业声明函 首次磋商报价表.docx 商务、技术偏离表.docx 供应商承诺书.docx 磋商响应方案说明.docx 响应文件封面 近年业绩的有关证明材料.docx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按照磋商文件格式编写，无缺漏项。</w:t>
            </w:r>
          </w:p>
        </w:tc>
        <w:tc>
          <w:tcPr>
            <w:tcW w:type="dxa" w:w="1661"/>
          </w:tcPr>
          <w:p>
            <w:pPr>
              <w:pStyle w:val="null3"/>
            </w:pPr>
            <w:r>
              <w:rPr>
                <w:rFonts w:ascii="仿宋_GB2312" w:hAnsi="仿宋_GB2312" w:cs="仿宋_GB2312" w:eastAsia="仿宋_GB2312"/>
              </w:rPr>
              <w:t>中小企业声明函 首次磋商报价表.docx 商务、技术偏离表.docx 供应商承诺书.docx 磋商响应方案说明.docx 响应文件封面 近年业绩的有关证明材料.docx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磋商内容的完整性</w:t>
            </w:r>
          </w:p>
        </w:tc>
        <w:tc>
          <w:tcPr>
            <w:tcW w:type="dxa" w:w="3322"/>
          </w:tcPr>
          <w:p>
            <w:pPr>
              <w:pStyle w:val="null3"/>
            </w:pPr>
            <w:r>
              <w:rPr>
                <w:rFonts w:ascii="仿宋_GB2312" w:hAnsi="仿宋_GB2312" w:cs="仿宋_GB2312" w:eastAsia="仿宋_GB2312"/>
              </w:rPr>
              <w:t>磋商响应内容未出现漏项或数量与要求不符。</w:t>
            </w:r>
          </w:p>
        </w:tc>
        <w:tc>
          <w:tcPr>
            <w:tcW w:type="dxa" w:w="1661"/>
          </w:tcPr>
          <w:p>
            <w:pPr>
              <w:pStyle w:val="null3"/>
            </w:pPr>
            <w:r>
              <w:rPr>
                <w:rFonts w:ascii="仿宋_GB2312" w:hAnsi="仿宋_GB2312" w:cs="仿宋_GB2312" w:eastAsia="仿宋_GB2312"/>
              </w:rPr>
              <w:t>中小企业声明函 首次磋商报价表.docx 报价表 商务、技术偏离表.docx 供应商承诺书.docx 磋商响应方案说明.docx 响应文件封面 近年业绩的有关证明材料.docx 供应商认为有必要补充说明的事项.docx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符合磋商文件要求。 （1）磋商报价符合唯一性要求； （2）首次磋商报价表填写符合要求； （3）未超出采购预算或磋商文件规定的最高限价； （4）磋商报价是否低于成本价，涉嫌不正当竞争（如果磋商小组认为某磋商报价明显不合理或者低于成本，有可能影响服务质量或者不能诚信履约的，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响应文件封面 标的清单 首次磋商报价表.docx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完整响应磋商文件合同条款。</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供应商提供2023年至今类似项目业绩，每提供一个得2分，最高得6分；业绩资料提供复印件加盖公章（以合同或审计报告为准）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vMerge/>
          </w:tcPr>
          <w:p/>
        </w:tc>
        <w:tc>
          <w:tcPr>
            <w:tcW w:type="dxa" w:w="1661"/>
          </w:tcPr>
          <w:p>
            <w:pPr>
              <w:pStyle w:val="null3"/>
            </w:pPr>
            <w:r>
              <w:rPr>
                <w:rFonts w:ascii="仿宋_GB2312" w:hAnsi="仿宋_GB2312" w:cs="仿宋_GB2312" w:eastAsia="仿宋_GB2312"/>
              </w:rPr>
              <w:t>项目总体方案</w:t>
            </w:r>
          </w:p>
        </w:tc>
        <w:tc>
          <w:tcPr>
            <w:tcW w:type="dxa" w:w="2492"/>
          </w:tcPr>
          <w:p>
            <w:pPr>
              <w:pStyle w:val="null3"/>
            </w:pPr>
            <w:r>
              <w:rPr>
                <w:rFonts w:ascii="仿宋_GB2312" w:hAnsi="仿宋_GB2312" w:cs="仿宋_GB2312" w:eastAsia="仿宋_GB2312"/>
              </w:rPr>
              <w:t>供应商须针对本项目的审核内容阐述具体实施方案。①项目复核审计的具体范围。②复核审计的总体目标。③ 项目资料缺失、历史遗留问题的总体解决思路④具体政策法规及技术标准。⑤组织架构与职责分工。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工作理解及流程</w:t>
            </w:r>
          </w:p>
        </w:tc>
        <w:tc>
          <w:tcPr>
            <w:tcW w:type="dxa" w:w="2492"/>
          </w:tcPr>
          <w:p>
            <w:pPr>
              <w:pStyle w:val="null3"/>
            </w:pPr>
            <w:r>
              <w:rPr>
                <w:rFonts w:ascii="仿宋_GB2312" w:hAnsi="仿宋_GB2312" w:cs="仿宋_GB2312" w:eastAsia="仿宋_GB2312"/>
              </w:rPr>
              <w:t>① 提供针对本项目的具体工作流程图。②对流程图中每个节点明确、责任岗位、时限要求，关键控制环节及处置规则。以上内容专门针对本项目且符合本项目实际需求的得,10分，每缺一项内容扣5分，若上述内容存在瑕疵，每存在1处瑕疵扣2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计划与实施方案</w:t>
            </w:r>
          </w:p>
        </w:tc>
        <w:tc>
          <w:tcPr>
            <w:tcW w:type="dxa" w:w="2492"/>
          </w:tcPr>
          <w:p>
            <w:pPr>
              <w:pStyle w:val="null3"/>
            </w:pPr>
            <w:r>
              <w:rPr>
                <w:rFonts w:ascii="仿宋_GB2312" w:hAnsi="仿宋_GB2312" w:cs="仿宋_GB2312" w:eastAsia="仿宋_GB2312"/>
              </w:rPr>
              <w:t>①按日或按周的详细时间计划表。②人员配置清单。③资料收集及缺失补救方案。④具体实施方法。⑤应急调整方案。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质量控制保障措施</w:t>
            </w:r>
          </w:p>
        </w:tc>
        <w:tc>
          <w:tcPr>
            <w:tcW w:type="dxa" w:w="2492"/>
          </w:tcPr>
          <w:p>
            <w:pPr>
              <w:pStyle w:val="null3"/>
            </w:pPr>
            <w:r>
              <w:rPr>
                <w:rFonts w:ascii="仿宋_GB2312" w:hAnsi="仿宋_GB2312" w:cs="仿宋_GB2312" w:eastAsia="仿宋_GB2312"/>
              </w:rPr>
              <w:t>①三级复核制度。②底稿编制与复核的具体规范。③疑问事项与分歧解决机制。④针对本项目的专项质控点。⑤质量记录与档案管理制度。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①进度滞后预警机制。②资源配置保障。③针对外部因素的具体预案。④与委托方的定期沟通报告制度。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①人员名单及岗位分工表（岗位至少包含：项目负责人、主审、现场核查人员、资料管理员、质量复核人员）。②专业配置说明。③从业经历要求。④类似项目工作经验。⑤职责清晰度要求。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①针对每个重难点分别提出具体解决措施。②分析原审计可能存在的偏差类型。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满足磋商文件要求的有效投标报价的最小值为评审基准价，其价格分为满分。其他投标人的价格分统一按照下列公式计算： 报价得分=（评审基准价／投标报价）×价格权值×100。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