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版本号：sxzs-zb26-0820260528003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富平县石川河梅家坪镇文昌村段左右岸护岸水毁修复工程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sxzs-zb26-08</w:t>
      </w:r>
      <w:r>
        <w:br/>
      </w:r>
      <w:r>
        <w:br/>
      </w:r>
      <w:r>
        <w:br/>
      </w:r>
    </w:p>
    <w:p>
      <w:pPr>
        <w:pStyle w:val="null3"/>
        <w:jc w:val="center"/>
        <w:outlineLvl w:val="2"/>
      </w:pPr>
      <w:r>
        <w:rPr>
          <w:rFonts w:ascii="仿宋_GB2312" w:hAnsi="仿宋_GB2312" w:cs="仿宋_GB2312" w:eastAsia="仿宋_GB2312"/>
          <w:sz w:val="28"/>
          <w:b/>
        </w:rPr>
        <w:t>富平县水务局（本级）</w:t>
      </w:r>
    </w:p>
    <w:p>
      <w:pPr>
        <w:pStyle w:val="null3"/>
        <w:jc w:val="center"/>
        <w:outlineLvl w:val="2"/>
      </w:pPr>
      <w:r>
        <w:rPr>
          <w:rFonts w:ascii="仿宋_GB2312" w:hAnsi="仿宋_GB2312" w:cs="仿宋_GB2312" w:eastAsia="仿宋_GB2312"/>
          <w:sz w:val="28"/>
          <w:b/>
        </w:rPr>
        <w:t>陕西筑实工程咨询有限公司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陕西筑实工程咨询有限公司</w:t>
      </w:r>
      <w:r>
        <w:rPr>
          <w:rFonts w:ascii="仿宋_GB2312" w:hAnsi="仿宋_GB2312" w:cs="仿宋_GB2312" w:eastAsia="仿宋_GB2312"/>
        </w:rPr>
        <w:t>（以下简称“代理机构”）受</w:t>
      </w:r>
      <w:r>
        <w:rPr>
          <w:rFonts w:ascii="仿宋_GB2312" w:hAnsi="仿宋_GB2312" w:cs="仿宋_GB2312" w:eastAsia="仿宋_GB2312"/>
        </w:rPr>
        <w:t>富平县水务局（本级）</w:t>
      </w:r>
      <w:r>
        <w:rPr>
          <w:rFonts w:ascii="仿宋_GB2312" w:hAnsi="仿宋_GB2312" w:cs="仿宋_GB2312" w:eastAsia="仿宋_GB2312"/>
        </w:rPr>
        <w:t>委托，拟对</w:t>
      </w:r>
      <w:r>
        <w:rPr>
          <w:rFonts w:ascii="仿宋_GB2312" w:hAnsi="仿宋_GB2312" w:cs="仿宋_GB2312" w:eastAsia="仿宋_GB2312"/>
        </w:rPr>
        <w:t>富平县石川河梅家坪镇文昌村段左右岸护岸水毁修复工程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sxzs-zb26-08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富平县石川河梅家坪镇文昌村段左右岸护岸水毁修复工程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《富平县石川河梅家坪镇文昌村段左右岸护岸水毁修复工程》工程起点与文昌桥下游两侧现状挡墙相接，终点与现状岸坡相接，主要建设内容为：修复左岸C25 埋石混凝土护岸长 55m，修复左右岸 C25 混凝土护坡 20m，修复左右岸 M10浆砌石护坡 12m。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采购包1（富平县石川河梅家坪镇文昌村段左右岸护岸水毁修复工程）：属于专门面向小微企业采购。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1、企业资质：：供应商需具有水利水电工程施工总承包二级及以上资质</w:t>
      </w:r>
    </w:p>
    <w:p>
      <w:pPr>
        <w:pStyle w:val="null3"/>
      </w:pPr>
      <w:r>
        <w:rPr>
          <w:rFonts w:ascii="仿宋_GB2312" w:hAnsi="仿宋_GB2312" w:cs="仿宋_GB2312" w:eastAsia="仿宋_GB2312"/>
        </w:rPr>
        <w:t>2、拟派项目负责人资质等级及专业：证书等级：二级及以上 专业：水利水电工程 补充说明：拟派项目经理需具备水利水电工程二级及以上建造师资格，并具有安全考核B证，且未担任其他工程的项目经理或施工负责人</w:t>
      </w:r>
    </w:p>
    <w:p>
      <w:pPr>
        <w:pStyle w:val="null3"/>
      </w:pPr>
      <w:r>
        <w:rPr>
          <w:rFonts w:ascii="仿宋_GB2312" w:hAnsi="仿宋_GB2312" w:cs="仿宋_GB2312" w:eastAsia="仿宋_GB2312"/>
        </w:rPr>
        <w:t>3、安全生产许可证：供应商应具备安全生产许可证</w:t>
      </w:r>
    </w:p>
    <w:p>
      <w:pPr>
        <w:pStyle w:val="null3"/>
      </w:pPr>
      <w:r>
        <w:rPr>
          <w:rFonts w:ascii="仿宋_GB2312" w:hAnsi="仿宋_GB2312" w:cs="仿宋_GB2312" w:eastAsia="仿宋_GB2312"/>
        </w:rPr>
        <w:t>4、投标人基本信息要求：投标人基本信息及拟派项目经理基本信息应在“陕西省水利建设市场主体信用信息管理平台”可查询</w:t>
      </w:r>
    </w:p>
    <w:p>
      <w:pPr>
        <w:pStyle w:val="null3"/>
      </w:pPr>
      <w:r>
        <w:rPr>
          <w:rFonts w:ascii="仿宋_GB2312" w:hAnsi="仿宋_GB2312" w:cs="仿宋_GB2312" w:eastAsia="仿宋_GB2312"/>
        </w:rPr>
        <w:t>5、法定代表人（主要负责人）身份证明/授权委托书：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 法人的分支机构参与投标时，除提供《法定代表人（主要负责人）授权委托书》外，还须同时提供法人给分支机构出具的授权书。</w:t>
      </w:r>
    </w:p>
    <w:p>
      <w:pPr>
        <w:pStyle w:val="null3"/>
      </w:pPr>
      <w:r>
        <w:rPr>
          <w:rFonts w:ascii="仿宋_GB2312" w:hAnsi="仿宋_GB2312" w:cs="仿宋_GB2312" w:eastAsia="仿宋_GB2312"/>
        </w:rPr>
        <w:t>6、信誉：提供《供应商信用记录书面声明函》。经查，供应商未被列入“信用中国”网站记录的“严重失信主体”或“重大税收违法案件当事人”名单；未被列入“中国执行信息公开网”记录的“失信被执行人”名单；不处于“中国政府采购网”记录的“政府采购严重违法失信行为信息记录名单”中的禁止参加政府采购活动期间。</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富平县水务局（本级）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富平县人民路7号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富平县水务局（本级）经办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0913-8231152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陕西筑实工程咨询有限公司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 111号中京坊6幢2单元34层23412号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029-85458912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采购包1：783,144.26元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计取代理服务费，最低不少于5000元整。 代理服务费账户： 银行户名：陕西筑实工程咨询有限公司 开户银行： 恒丰银行股份有限公司西安分行营业部 账 号：802910010122711607 联 系 人：张工 联系电话：029-85458912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富平县水务局（本级）</w:t>
      </w:r>
      <w:r>
        <w:rPr>
          <w:rFonts w:ascii="仿宋_GB2312" w:hAnsi="仿宋_GB2312" w:cs="仿宋_GB2312" w:eastAsia="仿宋_GB2312"/>
        </w:rPr>
        <w:t>和</w:t>
      </w:r>
      <w:r>
        <w:rPr>
          <w:rFonts w:ascii="仿宋_GB2312" w:hAnsi="仿宋_GB2312" w:cs="仿宋_GB2312" w:eastAsia="仿宋_GB2312"/>
        </w:rPr>
        <w:t>陕西筑实工程咨询有限公司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富平县水务局（本级）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陕西筑实工程咨询有限公司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富平县水务局（本级）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陕西筑实工程咨询有限公司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国家、水利部现行《水利水电工程施工质量检验与评定规程》（SL176）、《堤防工程施工规范》（SL260）、《水利工程建设项目验收管理规定》等相关行业标准、设计文件； 2. 本次采购招标文件、中标供应商投标响应文件、双方签订的正式政府采购施工合同全部约定条款； 3. 陕西省及渭南市、富平县水利工程建设相关管理规定、竣工验收相关管理要求； 4. 工程质量达到合格及以上标准，一次性验收通过。</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陕西筑实工程咨询有限公司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陕西筑实工程咨询有限公司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陕西筑实工程咨询有限公司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联系电话：029-85458912</w:t>
      </w:r>
    </w:p>
    <w:p>
      <w:pPr>
        <w:pStyle w:val="null3"/>
      </w:pPr>
      <w:r>
        <w:rPr>
          <w:rFonts w:ascii="仿宋_GB2312" w:hAnsi="仿宋_GB2312" w:cs="仿宋_GB2312" w:eastAsia="仿宋_GB2312"/>
        </w:rPr>
        <w:t>地址：陕西省西安市雁塔区雁翔路 111号中京坊6幢2单元34层23412号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783,144.26</w:t>
      </w:r>
    </w:p>
    <w:p>
      <w:pPr>
        <w:pStyle w:val="null3"/>
      </w:pPr>
      <w:r>
        <w:rPr>
          <w:rFonts w:ascii="仿宋_GB2312" w:hAnsi="仿宋_GB2312" w:cs="仿宋_GB2312" w:eastAsia="仿宋_GB2312"/>
        </w:rPr>
        <w:t>采购包最高限价（元）: 783,144.26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783144.26</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783,144.26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标的名称：783144.26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工程整体要求：严格按照本项目施工图纸、工程量清单、现场勘察实际工况完成全部护岸水毁修复施工任务，原有损毁护岸结构拆除重建等全部设计施工内容。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施工标准：所有施工工序、工艺、材料选型、结构尺寸必须符合《水利水电工程施工质量检验与评定规程》SL176、《堤防工程施工规范》SL260、国家及陕西省现行水利工程施工、质量、安全、环保相关规范标准。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材料性能：所有进场水泥、砂石、砌块、钢筋等主材必须具备出厂合格证、第三方质量检测合格报告，各项性能指标满足设计及规范要求，严禁不合格材料进场使用。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质量目标：本工程施工质量必须达到合格及以上标准，一次性通过采购人、监理单位及行业主管部门验收。</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工期要求：严格响应招标文件及合同约定总工期，按期完工交付。</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安全文明要求：落实安全生产责任制，做好扬尘治理、水土保持、周边环境防护，施工全过程零安全责任事故。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须为合法注册的法人、其他组织或者自然人，并具有独立承担民事责任的能力，且具备向采购人提供相关服务的能力；提供统一社会信用代码的营业执照（或事业法人证、自然人身份证）等合法证明文件；（2）、具有良好的商业信誉和健全的财务会计制度的证明材料（须提供 2024年度或 2025年度经第三方审计的财务报告，至少包括三表一注，即资产负债表、利润表、现金流量表及其附注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)（3）社会保障资金缴纳证明：提供截止至磋商时间前一年内任意1个月的社会保障资金缴存单据或社保机构开具的社会保险参保缴费情况证明，依法不需要缴纳社会保障资金的单位应提供相关证明材料。 （4）税收缴纳证明：提供截止至磋商时间前一年内任意1个月的纳税证明或完税证明，纳税证明或完税证明上应有代收机构或税务机关的公章或业务专用章。依法免税的供应商应提供相关文件证明。 （5）无重大违法记录声明：参加政府采购活动前三年内在经营活动中没有重大违法记录的书面声明。 （6）书面声明：具有履行本合同所必需的设备和专业技术能力的书面声明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具有良好的商业信誉和健全的财务会计制度的证明材料（须提供 2024年度或 2025年度经第三方审计的财务报告，至少包括三表一注，即资产负债表、利润表、现金流量表及其附注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供应商关系承诺书.docx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供应商需具有水利水电工程施工总承包二级及以上资质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拟派项目负责人资质等级及专业</w:t>
            </w:r>
          </w:p>
        </w:tc>
        <w:tc>
          <w:tcPr>
            <w:tcW w:type="dxa" w:w="3322"/>
          </w:tcPr>
          <w:p>
            <w:pPr>
              <w:pStyle w:val="null3"/>
            </w:pPr>
            <w:r>
              <w:rPr>
                <w:rFonts w:ascii="仿宋_GB2312" w:hAnsi="仿宋_GB2312" w:cs="仿宋_GB2312" w:eastAsia="仿宋_GB2312"/>
              </w:rPr>
              <w:t>证书等级：二级及以上 专业：水利水电工程 补充说明：拟派项目经理需具备水利水电工程二级及以上建造师资格，并具有安全考核B证，且未担任其他工程的项目经理或施工负责人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供应商应具备安全生产许可证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投标人基本信息要求</w:t>
            </w:r>
          </w:p>
        </w:tc>
        <w:tc>
          <w:tcPr>
            <w:tcW w:type="dxa" w:w="3322"/>
          </w:tcPr>
          <w:p>
            <w:pPr>
              <w:pStyle w:val="null3"/>
            </w:pPr>
            <w:r>
              <w:rPr>
                <w:rFonts w:ascii="仿宋_GB2312" w:hAnsi="仿宋_GB2312" w:cs="仿宋_GB2312" w:eastAsia="仿宋_GB2312"/>
              </w:rPr>
              <w:t>投标人基本信息及拟派项目经理基本信息应在“陕西省水利建设市场主体信用信息管理平台”可查询</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 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案件当事人”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响应文件的签章均符合采购文件要求，且无遗漏。</w:t>
            </w:r>
          </w:p>
        </w:tc>
        <w:tc>
          <w:tcPr>
            <w:tcW w:type="dxa" w:w="1661"/>
          </w:tcPr>
          <w:p>
            <w:pPr>
              <w:pStyle w:val="null3"/>
            </w:pPr>
            <w:r>
              <w:rPr>
                <w:rFonts w:ascii="仿宋_GB2312" w:hAnsi="仿宋_GB2312" w:cs="仿宋_GB2312" w:eastAsia="仿宋_GB2312"/>
              </w:rPr>
              <w:t>响应文件封面 已标价工程量清单 项目管理机构组成表 报价函 技术服务合同条款及其他商务要求应答表 标的清单 供应商类似项目业绩一览表 供应商资格证明文件.docx 响应函 主要人员简历表 供应商关系承诺书.docx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同时满足以下条款：（1）货币单位符合采购文件要求 ；（2）报价符合唯一性要求； （3）未超出采购预算或最高限价 ；（4）符合《开标一览表》、《已标价工程量清单》及《标的清单》的填报要求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投标人提供针对本项目的施工方案； 2、评审标准： 完整性：内容须全面，对评审内容中的各项要求有详细描述； 可实施性：切合本项目实际情况，实施步骤清晰、合理； 针对性：方案能够紧扣项目实际情况，内容科学合理。 3、赋分标准 每完全满足一项评审标准得2分，相对满足得1分,不满足得0 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施工平面布置与安排</w:t>
            </w:r>
          </w:p>
        </w:tc>
        <w:tc>
          <w:tcPr>
            <w:tcW w:type="dxa" w:w="2492"/>
          </w:tcPr>
          <w:p>
            <w:pPr>
              <w:pStyle w:val="null3"/>
            </w:pPr>
            <w:r>
              <w:rPr>
                <w:rFonts w:ascii="仿宋_GB2312" w:hAnsi="仿宋_GB2312" w:cs="仿宋_GB2312" w:eastAsia="仿宋_GB2312"/>
              </w:rPr>
              <w:t>1、评审内容 投标人提供针对本项目的施工平面布置与安排；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1、评审内容 投标人提供针对本项目的工程质量保证措施； 2、评审标准： 完整性：内容须全面，对评审内容中的各项要求有详细描述； 可实施性：切合本项目实际情况，实施步骤清晰、合理； 针对性：方案能够紧扣项目实际情况，内容科学合理。 3、赋分标准 每完全满足一项评审标准得2分，相对满足得1分,不满足得0 分，满分6.00分。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工程安全保证措施</w:t>
            </w:r>
          </w:p>
        </w:tc>
        <w:tc>
          <w:tcPr>
            <w:tcW w:type="dxa" w:w="2492"/>
          </w:tcPr>
          <w:p>
            <w:pPr>
              <w:pStyle w:val="null3"/>
            </w:pPr>
            <w:r>
              <w:rPr>
                <w:rFonts w:ascii="仿宋_GB2312" w:hAnsi="仿宋_GB2312" w:cs="仿宋_GB2312" w:eastAsia="仿宋_GB2312"/>
              </w:rPr>
              <w:t>1、评审内容 投标人提供针对本项目的工程安全保证措施；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文明施工的技术组织措施</w:t>
            </w:r>
          </w:p>
        </w:tc>
        <w:tc>
          <w:tcPr>
            <w:tcW w:type="dxa" w:w="2492"/>
          </w:tcPr>
          <w:p>
            <w:pPr>
              <w:pStyle w:val="null3"/>
            </w:pPr>
            <w:r>
              <w:rPr>
                <w:rFonts w:ascii="仿宋_GB2312" w:hAnsi="仿宋_GB2312" w:cs="仿宋_GB2312" w:eastAsia="仿宋_GB2312"/>
              </w:rPr>
              <w:t>1、评审内容 投标人提供针对本项目的文明施工的技术组织措施；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环境保护的技术组织措施</w:t>
            </w:r>
          </w:p>
        </w:tc>
        <w:tc>
          <w:tcPr>
            <w:tcW w:type="dxa" w:w="2492"/>
          </w:tcPr>
          <w:p>
            <w:pPr>
              <w:pStyle w:val="null3"/>
            </w:pPr>
            <w:r>
              <w:rPr>
                <w:rFonts w:ascii="仿宋_GB2312" w:hAnsi="仿宋_GB2312" w:cs="仿宋_GB2312" w:eastAsia="仿宋_GB2312"/>
              </w:rPr>
              <w:t>1、评审内容 投标人提供针对本项目的环境保护的技术组织措施；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投标人提供针对本项目的确保工期的技术组织措施；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工程资料管理方案</w:t>
            </w:r>
          </w:p>
        </w:tc>
        <w:tc>
          <w:tcPr>
            <w:tcW w:type="dxa" w:w="2492"/>
          </w:tcPr>
          <w:p>
            <w:pPr>
              <w:pStyle w:val="null3"/>
            </w:pPr>
            <w:r>
              <w:rPr>
                <w:rFonts w:ascii="仿宋_GB2312" w:hAnsi="仿宋_GB2312" w:cs="仿宋_GB2312" w:eastAsia="仿宋_GB2312"/>
              </w:rPr>
              <w:t>1、评审内容 投标人提供针对本项目的工程资料管理方案；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治污减霾和防尘污染的技术组织措施</w:t>
            </w:r>
          </w:p>
        </w:tc>
        <w:tc>
          <w:tcPr>
            <w:tcW w:type="dxa" w:w="2492"/>
          </w:tcPr>
          <w:p>
            <w:pPr>
              <w:pStyle w:val="null3"/>
            </w:pPr>
            <w:r>
              <w:rPr>
                <w:rFonts w:ascii="仿宋_GB2312" w:hAnsi="仿宋_GB2312" w:cs="仿宋_GB2312" w:eastAsia="仿宋_GB2312"/>
              </w:rPr>
              <w:t>1、评审内容 投标人提供针对本项目的治污减霾和防尘污染的技术组织措施； 2、评审标准： 完整性：内容须全面，对评审内容中的各项要求有详细描述； 可实施性：切合本项目实际情况，实施步骤清晰、合理； 针对性：方案能够紧扣项目实际情况，内容科学合理。 3、赋分标准 每完全满足一项评审标准得1分，相对满足得0.5分,不满足得0 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1、评审内容 投标人提供针对本项目的验收方案；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保修责任及承诺</w:t>
            </w:r>
          </w:p>
        </w:tc>
        <w:tc>
          <w:tcPr>
            <w:tcW w:type="dxa" w:w="2492"/>
          </w:tcPr>
          <w:p>
            <w:pPr>
              <w:pStyle w:val="null3"/>
            </w:pPr>
            <w:r>
              <w:rPr>
                <w:rFonts w:ascii="仿宋_GB2312" w:hAnsi="仿宋_GB2312" w:cs="仿宋_GB2312" w:eastAsia="仿宋_GB2312"/>
              </w:rPr>
              <w:t>1、评审内容 投标人提供针对本项目的保修责任及承诺；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投标人提供相应的项目管理机构，内容包括但不限于①管理机构的配备情况②组织机构的岗位职责等进行综合评审等，本项6分；前述要求的内容均有描述且符合本项目要求的得6分；每缺少一项要求的方案内容 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投标人提供相应的资源配备计划方案，方案内容包括但不限于①劳动力计划②主要材料供应计划③施工机械设备配备计划等进行综合评审等，本项9分；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投标人提供2023年1月1日至今类似项目业绩合同（以合同签订时间为准）；一个业绩得2分，最高得4分； 评审依据：提供完整合同复印件并加盖公章。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磋商报价得分=（磋商基准价/最后磋商报价）×价格权值×100 依据《政府采购竞争性磋商采购方式管理暂行办法》的有关规定，将满足竞争性磋商文件要求且第二次（最终）磋商报价最低的供应商的价格为磋商基准价，其价格分为满分。因本项目为专门面向中小企业采购项目，小微企业不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详见附件：供应商关系承诺书.docx</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