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版本号：ZXGJ-ZB14-2026-02320260609001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陕西森林消防以水灭火装备建设项目（第三批）物资采购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ZXGJ-ZB14-2026-023</w:t>
      </w:r>
      <w:r>
        <w:br/>
      </w:r>
      <w:r>
        <w:br/>
      </w:r>
      <w:r>
        <w:br/>
      </w:r>
    </w:p>
    <w:p>
      <w:pPr>
        <w:pStyle w:val="null3"/>
        <w:jc w:val="center"/>
        <w:outlineLvl w:val="2"/>
      </w:pPr>
      <w:r>
        <w:rPr>
          <w:rFonts w:ascii="仿宋_GB2312" w:hAnsi="仿宋_GB2312" w:cs="仿宋_GB2312" w:eastAsia="仿宋_GB2312"/>
          <w:sz w:val="28"/>
          <w:b/>
        </w:rPr>
        <w:t>陕西省减灾救灾中心</w:t>
      </w:r>
    </w:p>
    <w:p>
      <w:pPr>
        <w:pStyle w:val="null3"/>
        <w:jc w:val="center"/>
        <w:outlineLvl w:val="2"/>
      </w:pPr>
      <w:r>
        <w:rPr>
          <w:rFonts w:ascii="仿宋_GB2312" w:hAnsi="仿宋_GB2312" w:cs="仿宋_GB2312" w:eastAsia="仿宋_GB2312"/>
          <w:sz w:val="28"/>
          <w:b/>
        </w:rPr>
        <w:t>中昕国际项目管理有限公司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中昕国际项目管理有限公司</w:t>
      </w:r>
      <w:r>
        <w:rPr>
          <w:rFonts w:ascii="仿宋_GB2312" w:hAnsi="仿宋_GB2312" w:cs="仿宋_GB2312" w:eastAsia="仿宋_GB2312"/>
        </w:rPr>
        <w:t>（以下简称“代理机构”）受</w:t>
      </w:r>
      <w:r>
        <w:rPr>
          <w:rFonts w:ascii="仿宋_GB2312" w:hAnsi="仿宋_GB2312" w:cs="仿宋_GB2312" w:eastAsia="仿宋_GB2312"/>
        </w:rPr>
        <w:t>陕西省减灾救灾中心</w:t>
      </w:r>
      <w:r>
        <w:rPr>
          <w:rFonts w:ascii="仿宋_GB2312" w:hAnsi="仿宋_GB2312" w:cs="仿宋_GB2312" w:eastAsia="仿宋_GB2312"/>
        </w:rPr>
        <w:t>委托，拟对</w:t>
      </w:r>
      <w:r>
        <w:rPr>
          <w:rFonts w:ascii="仿宋_GB2312" w:hAnsi="仿宋_GB2312" w:cs="仿宋_GB2312" w:eastAsia="仿宋_GB2312"/>
        </w:rPr>
        <w:t>陕西森林消防以水灭火装备建设项目（第三批）物资采购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ZXGJ-ZB14-2026-023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陕西森林消防以水灭火装备建设项目（第三批）物资采购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一批以水灭火智能监测、风力灭火、个人防护等装备。重点解决前期采购中部分装备配件不足、无人机续航能力有待加强、基层队伍防护装备需更新补充等实际问题，进一步巩固项目建设成效，完善装备配套体系，提升我省森林草原消防队伍实战能力。</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1、信用查询：符合《财政部关于在政府采购活动中查询及使用信用记录有关问题的通知》（财库【2016】125 号）文件中信用查询的要求； 经查询，供应商未被列入“信用中国”网站记录的“失信被执行人”或“重大税收违法案件当事人”名单；不处于“中国政府采购网”记录的“政府采购严重违法失信行为记录名单 ”中的禁止参加政府采购活动期间。</w:t>
      </w:r>
    </w:p>
    <w:p>
      <w:pPr>
        <w:pStyle w:val="null3"/>
      </w:pPr>
      <w:r>
        <w:rPr>
          <w:rFonts w:ascii="仿宋_GB2312" w:hAnsi="仿宋_GB2312" w:cs="仿宋_GB2312" w:eastAsia="仿宋_GB2312"/>
        </w:rPr>
        <w:t>2、非联合体投标声明：本项目不接受联合体投标，不允许分包，投标人应提供《非联合体投标不分包投标声明》。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陕西省减灾救灾中心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陕西省西安市未央路副102号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陕西省减灾救灾中心经办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029-61166095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中昕国际项目管理有限公司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陕西省西安市未央区西安经济技术开发区凤城十二路首创禧悦里25幢A座16层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王超、同秀秀、白丹、王涛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029-81317379-606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采购包1：2,155,600.00元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变频水泵</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以成交金额为基础，参照《国家计委关于印发招标代理服务收费管理暂行办法的通知》（计价格〔2002〕1980号）和国家发改委办公厅颁发的《关于招标代理服务收费有关问题的通知》（发改办价格〔2003〕857号）文件规定标准计算收取。代理服务费不足捌仟元按捌仟元收取。具体收费金额将在成交公告中公布。请将采购代理服务费汇至下列指定账户：开户名称：中昕国际项目管理有限公司；开户行：中国建设银行股份有限公司西安文景路支行；账号：61050178150000000278。注：此服务费应计入报价中，但不需要单独开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陕西省减灾救灾中心</w:t>
      </w:r>
      <w:r>
        <w:rPr>
          <w:rFonts w:ascii="仿宋_GB2312" w:hAnsi="仿宋_GB2312" w:cs="仿宋_GB2312" w:eastAsia="仿宋_GB2312"/>
        </w:rPr>
        <w:t>和</w:t>
      </w:r>
      <w:r>
        <w:rPr>
          <w:rFonts w:ascii="仿宋_GB2312" w:hAnsi="仿宋_GB2312" w:cs="仿宋_GB2312" w:eastAsia="仿宋_GB2312"/>
        </w:rPr>
        <w:t>中昕国际项目管理有限公司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陕西省减灾救灾中心</w:t>
      </w:r>
      <w:r>
        <w:rPr>
          <w:rFonts w:ascii="仿宋_GB2312" w:hAnsi="仿宋_GB2312" w:cs="仿宋_GB2312" w:eastAsia="仿宋_GB2312"/>
        </w:rPr>
        <w:t>负责解释。除上述招标文件内容，其他内容由</w:t>
      </w:r>
      <w:r>
        <w:rPr>
          <w:rFonts w:ascii="仿宋_GB2312" w:hAnsi="仿宋_GB2312" w:cs="仿宋_GB2312" w:eastAsia="仿宋_GB2312"/>
        </w:rPr>
        <w:t>中昕国际项目管理有限公司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陕西省减灾救灾中心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中昕国际项目管理有限公司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中标供应商按照项目需求完成后，由采购人组织验收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联系人：王超、同秀秀</w:t>
      </w:r>
    </w:p>
    <w:p>
      <w:pPr>
        <w:pStyle w:val="null3"/>
      </w:pPr>
      <w:r>
        <w:rPr>
          <w:rFonts w:ascii="仿宋_GB2312" w:hAnsi="仿宋_GB2312" w:cs="仿宋_GB2312" w:eastAsia="仿宋_GB2312"/>
        </w:rPr>
        <w:t>联系电话：029-81317379-606</w:t>
      </w:r>
    </w:p>
    <w:p>
      <w:pPr>
        <w:pStyle w:val="null3"/>
      </w:pPr>
      <w:r>
        <w:rPr>
          <w:rFonts w:ascii="仿宋_GB2312" w:hAnsi="仿宋_GB2312" w:cs="仿宋_GB2312" w:eastAsia="仿宋_GB2312"/>
        </w:rPr>
        <w:t>地址：西安市未央区西安经济技术开发区凤城十二路首创禧悦里25幢A座16层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一批以水灭火智能监测、风力灭火、个人防护等装备。重点解决前期采购中部分装备配件不足、无人机续航能力有待加强、基层队伍防护装备需更新补充等实际问题，进一步巩固项目建设成效，完善装备配套体系，提升我省森林草原消防队伍实战能力。</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2,155,600.00</w:t>
      </w:r>
    </w:p>
    <w:p>
      <w:pPr>
        <w:pStyle w:val="null3"/>
      </w:pPr>
      <w:r>
        <w:rPr>
          <w:rFonts w:ascii="仿宋_GB2312" w:hAnsi="仿宋_GB2312" w:cs="仿宋_GB2312" w:eastAsia="仿宋_GB2312"/>
        </w:rPr>
        <w:t>采购包最高限价（元）: 2,155,600.00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林森消防灭火装备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2,155,600.00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标的名称：林森消防灭火装备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10"/>
              <w:gridCol w:w="482"/>
              <w:gridCol w:w="219"/>
              <w:gridCol w:w="197"/>
              <w:gridCol w:w="1434"/>
            </w:tblGrid>
            <w:tr>
              <w:tc>
                <w:tcPr>
                  <w:tcW w:type="dxa" w:w="210"/>
                  <w:vMerge w:val="restart"/>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序号</w:t>
                  </w:r>
                </w:p>
              </w:tc>
              <w:tc>
                <w:tcPr>
                  <w:tcW w:type="dxa" w:w="48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设备名称</w:t>
                  </w:r>
                </w:p>
              </w:tc>
              <w:tc>
                <w:tcPr>
                  <w:tcW w:type="dxa" w:w="219"/>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单位</w:t>
                  </w:r>
                </w:p>
              </w:tc>
              <w:tc>
                <w:tcPr>
                  <w:tcW w:type="dxa" w:w="197"/>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数量</w:t>
                  </w:r>
                </w:p>
              </w:tc>
              <w:tc>
                <w:tcPr>
                  <w:tcW w:type="dxa" w:w="1434"/>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技术参数</w:t>
                  </w:r>
                </w:p>
              </w:tc>
            </w:tr>
            <w:tr>
              <w:tc>
                <w:tcPr>
                  <w:tcW w:type="dxa" w:w="210"/>
                  <w:vMerge/>
                  <w:tcBorders>
                    <w:top w:val="single" w:color="000000" w:sz="4"/>
                    <w:left w:val="single" w:color="000000" w:sz="4"/>
                    <w:bottom w:val="single" w:color="000000" w:sz="4"/>
                    <w:right w:val="single" w:color="000000" w:sz="4"/>
                  </w:tcBorders>
                </w:tcPr>
                <w:p/>
              </w:tc>
              <w:tc>
                <w:tcPr>
                  <w:tcW w:type="dxa" w:w="482"/>
                  <w:vMerge/>
                  <w:tcBorders>
                    <w:top w:val="single" w:color="000000" w:sz="4"/>
                    <w:left w:val="none" w:color="000000" w:sz="4"/>
                    <w:bottom w:val="single" w:color="000000" w:sz="4"/>
                    <w:right w:val="single" w:color="000000" w:sz="4"/>
                  </w:tcBorders>
                </w:tcPr>
                <w:p/>
              </w:tc>
              <w:tc>
                <w:tcPr>
                  <w:tcW w:type="dxa" w:w="219"/>
                  <w:vMerge/>
                  <w:tcBorders>
                    <w:top w:val="single" w:color="000000" w:sz="4"/>
                    <w:left w:val="none" w:color="000000" w:sz="4"/>
                    <w:bottom w:val="single" w:color="000000" w:sz="4"/>
                    <w:right w:val="single" w:color="000000" w:sz="4"/>
                  </w:tcBorders>
                </w:tcPr>
                <w:p/>
              </w:tc>
              <w:tc>
                <w:tcPr>
                  <w:tcW w:type="dxa" w:w="197"/>
                  <w:vMerge/>
                  <w:tcBorders>
                    <w:top w:val="single" w:color="000000" w:sz="4"/>
                    <w:left w:val="none" w:color="000000" w:sz="4"/>
                    <w:bottom w:val="single" w:color="000000" w:sz="4"/>
                    <w:right w:val="single" w:color="000000" w:sz="4"/>
                  </w:tcBorders>
                </w:tcPr>
                <w:p/>
              </w:tc>
              <w:tc>
                <w:tcPr>
                  <w:tcW w:type="dxa" w:w="1434"/>
                  <w:vMerge/>
                  <w:tcBorders>
                    <w:top w:val="single" w:color="000000" w:sz="4"/>
                    <w:left w:val="none" w:color="000000" w:sz="4"/>
                    <w:bottom w:val="single" w:color="000000" w:sz="4"/>
                    <w:right w:val="single" w:color="000000" w:sz="4"/>
                  </w:tcBorders>
                </w:tcPr>
                <w:p/>
              </w:tc>
            </w:tr>
            <w:tr>
              <w:tc>
                <w:tcPr>
                  <w:tcW w:type="dxa" w:w="2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4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长续航无人机</w:t>
                  </w:r>
                </w:p>
              </w:tc>
              <w:tc>
                <w:tcPr>
                  <w:tcW w:type="dxa" w:w="2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台</w:t>
                  </w:r>
                </w:p>
              </w:tc>
              <w:tc>
                <w:tcPr>
                  <w:tcW w:type="dxa" w:w="1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60</w:t>
                  </w:r>
                </w:p>
              </w:tc>
              <w:tc>
                <w:tcPr>
                  <w:tcW w:type="dxa" w:w="14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1、定位：便携专业航拍无人机</w:t>
                  </w:r>
                  <w:r>
                    <w:br/>
                  </w:r>
                  <w:r>
                    <w:rPr>
                      <w:rFonts w:ascii="仿宋_GB2312" w:hAnsi="仿宋_GB2312" w:cs="仿宋_GB2312" w:eastAsia="仿宋_GB2312"/>
                      <w:sz w:val="21"/>
                    </w:rPr>
                    <w:t xml:space="preserve"> 2、整机重量（含电池及桨叶）：≤250g</w:t>
                  </w:r>
                  <w:r>
                    <w:br/>
                  </w:r>
                  <w:r>
                    <w:rPr>
                      <w:rFonts w:ascii="仿宋_GB2312" w:hAnsi="仿宋_GB2312" w:cs="仿宋_GB2312" w:eastAsia="仿宋_GB2312"/>
                      <w:sz w:val="21"/>
                    </w:rPr>
                    <w:t xml:space="preserve"> 3、影像传感器：CMOS 尺寸 ≥ 1/1.5 英寸，有效像素≥4000万</w:t>
                  </w:r>
                  <w:r>
                    <w:br/>
                  </w:r>
                  <w:r>
                    <w:rPr>
                      <w:rFonts w:ascii="仿宋_GB2312" w:hAnsi="仿宋_GB2312" w:cs="仿宋_GB2312" w:eastAsia="仿宋_GB2312"/>
                      <w:sz w:val="21"/>
                    </w:rPr>
                    <w:t xml:space="preserve"> 4、视频最大规格：4K/60fps</w:t>
                  </w:r>
                  <w:r>
                    <w:br/>
                  </w:r>
                  <w:r>
                    <w:rPr>
                      <w:rFonts w:ascii="仿宋_GB2312" w:hAnsi="仿宋_GB2312" w:cs="仿宋_GB2312" w:eastAsia="仿宋_GB2312"/>
                      <w:sz w:val="21"/>
                    </w:rPr>
                    <w:t xml:space="preserve"> 5、图传系统：数字图传，标称最远传输距离≥12km（无遮挡），图传延迟≤120ms</w:t>
                  </w:r>
                  <w:r>
                    <w:br/>
                  </w:r>
                  <w:r>
                    <w:rPr>
                      <w:rFonts w:ascii="仿宋_GB2312" w:hAnsi="仿宋_GB2312" w:cs="仿宋_GB2312" w:eastAsia="仿宋_GB2312"/>
                      <w:sz w:val="21"/>
                    </w:rPr>
                    <w:t xml:space="preserve"> 6、▲最长飞行时间（无风匀速）：≥30min</w:t>
                  </w:r>
                  <w:r>
                    <w:br/>
                  </w:r>
                  <w:r>
                    <w:rPr>
                      <w:rFonts w:ascii="仿宋_GB2312" w:hAnsi="仿宋_GB2312" w:cs="仿宋_GB2312" w:eastAsia="仿宋_GB2312"/>
                      <w:sz w:val="21"/>
                    </w:rPr>
                    <w:t xml:space="preserve"> 7、避障能力：具备前、后、下三向视觉避障系统</w:t>
                  </w:r>
                  <w:r>
                    <w:br/>
                  </w:r>
                  <w:r>
                    <w:rPr>
                      <w:rFonts w:ascii="仿宋_GB2312" w:hAnsi="仿宋_GB2312" w:cs="仿宋_GB2312" w:eastAsia="仿宋_GB2312"/>
                      <w:sz w:val="21"/>
                    </w:rPr>
                    <w:t xml:space="preserve"> 8、▲最大抗风速度：≥8m/s（相当于5级风）</w:t>
                  </w:r>
                  <w:r>
                    <w:br/>
                  </w:r>
                  <w:r>
                    <w:rPr>
                      <w:rFonts w:ascii="仿宋_GB2312" w:hAnsi="仿宋_GB2312" w:cs="仿宋_GB2312" w:eastAsia="仿宋_GB2312"/>
                      <w:sz w:val="21"/>
                    </w:rPr>
                    <w:t xml:space="preserve"> 9、机身内置存储：≥32GB</w:t>
                  </w:r>
                  <w:r>
                    <w:br/>
                  </w:r>
                  <w:r>
                    <w:rPr>
                      <w:rFonts w:ascii="仿宋_GB2312" w:hAnsi="仿宋_GB2312" w:cs="仿宋_GB2312" w:eastAsia="仿宋_GB2312"/>
                      <w:sz w:val="21"/>
                    </w:rPr>
                    <w:t xml:space="preserve"> 10、作温度：-10℃ 至 40℃</w:t>
                  </w:r>
                </w:p>
                <w:p>
                  <w:pPr>
                    <w:pStyle w:val="null3"/>
                  </w:pPr>
                  <w:r>
                    <w:rPr>
                      <w:rFonts w:ascii="仿宋_GB2312" w:hAnsi="仿宋_GB2312" w:cs="仿宋_GB2312" w:eastAsia="仿宋_GB2312"/>
                      <w:sz w:val="21"/>
                    </w:rPr>
                    <w:t>11、电池容量：≥4000 毫安时</w:t>
                  </w:r>
                </w:p>
              </w:tc>
            </w:tr>
            <w:tr>
              <w:tc>
                <w:tcPr>
                  <w:tcW w:type="dxa" w:w="2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2</w:t>
                  </w:r>
                </w:p>
              </w:tc>
              <w:tc>
                <w:tcPr>
                  <w:tcW w:type="dxa" w:w="4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防火指挥服</w:t>
                  </w:r>
                </w:p>
              </w:tc>
              <w:tc>
                <w:tcPr>
                  <w:tcW w:type="dxa" w:w="2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件</w:t>
                  </w:r>
                </w:p>
              </w:tc>
              <w:tc>
                <w:tcPr>
                  <w:tcW w:type="dxa" w:w="1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30</w:t>
                  </w:r>
                </w:p>
              </w:tc>
              <w:tc>
                <w:tcPr>
                  <w:tcW w:type="dxa" w:w="14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 xml:space="preserve">1、符合XF10-2014《消防员灭火防护服》标准。提供有检测权限的第三方检测机构出具的型式试验检验报告。                       </w:t>
                  </w:r>
                </w:p>
                <w:p>
                  <w:pPr>
                    <w:pStyle w:val="null3"/>
                  </w:pPr>
                  <w:r>
                    <w:rPr>
                      <w:rFonts w:ascii="仿宋_GB2312" w:hAnsi="仿宋_GB2312" w:cs="仿宋_GB2312" w:eastAsia="仿宋_GB2312"/>
                      <w:sz w:val="21"/>
                    </w:rPr>
                    <w:t>2、结构：由外层、防水透气层、隔热层、舒适层四层结构组成。外层为芳纶面料，防水透气层为PTFE防水透湿层，隔热层为芳纶水刺毡，舒适层为芳粘混纺面料。</w:t>
                  </w:r>
                </w:p>
                <w:p>
                  <w:pPr>
                    <w:pStyle w:val="null3"/>
                  </w:pPr>
                  <w:r>
                    <w:rPr>
                      <w:rFonts w:ascii="仿宋_GB2312" w:hAnsi="仿宋_GB2312" w:cs="仿宋_GB2312" w:eastAsia="仿宋_GB2312"/>
                      <w:sz w:val="21"/>
                    </w:rPr>
                    <w:t xml:space="preserve">▲3、整体热防护性能TPP值≥28cal/cm2。                               </w:t>
                  </w:r>
                </w:p>
                <w:p>
                  <w:pPr>
                    <w:pStyle w:val="null3"/>
                  </w:pPr>
                  <w:r>
                    <w:rPr>
                      <w:rFonts w:ascii="仿宋_GB2312" w:hAnsi="仿宋_GB2312" w:cs="仿宋_GB2312" w:eastAsia="仿宋_GB2312"/>
                      <w:sz w:val="21"/>
                    </w:rPr>
                    <w:t xml:space="preserve">4、整套服装质量≤3Kg。                                            </w:t>
                  </w:r>
                </w:p>
                <w:p>
                  <w:pPr>
                    <w:pStyle w:val="null3"/>
                  </w:pPr>
                  <w:r>
                    <w:rPr>
                      <w:rFonts w:ascii="仿宋_GB2312" w:hAnsi="仿宋_GB2312" w:cs="仿宋_GB2312" w:eastAsia="仿宋_GB2312"/>
                      <w:sz w:val="21"/>
                    </w:rPr>
                    <w:t xml:space="preserve">5、阻燃性能：1）外层面料：经、纬向续燃时间≤2秒，经、纬向损毁长度≤35mm，无熔融、滴落现象。2）隔热层：经、纬向续燃时间≤2秒，经、纬向损毁长度≤≤40mm，无熔融、滴落现象。3）舒适层：经、纬向续燃时间≤2秒，经、纬向损毁长度≤35mm；无熔融、滴落现象。4）反光标志带：经、纬向续燃时间≤2秒，经、纬向损毁长度≤20mm，无熔融、滴落现象。5）外层加强材料：经、纬向续燃时间≤2秒，经、纬向损毁长度≤35mm，无熔融、滴落现象。 </w:t>
                  </w:r>
                </w:p>
                <w:p>
                  <w:pPr>
                    <w:pStyle w:val="null3"/>
                  </w:pPr>
                  <w:r>
                    <w:rPr>
                      <w:rFonts w:ascii="仿宋_GB2312" w:hAnsi="仿宋_GB2312" w:cs="仿宋_GB2312" w:eastAsia="仿宋_GB2312"/>
                      <w:sz w:val="21"/>
                    </w:rPr>
                    <w:t>6、透湿性能：防水透气层透湿率≥6700g/(m2·24h)，有效提高舒适性。</w:t>
                  </w:r>
                </w:p>
                <w:p>
                  <w:pPr>
                    <w:pStyle w:val="null3"/>
                  </w:pPr>
                  <w:r>
                    <w:rPr>
                      <w:rFonts w:ascii="仿宋_GB2312" w:hAnsi="仿宋_GB2312" w:cs="仿宋_GB2312" w:eastAsia="仿宋_GB2312"/>
                      <w:sz w:val="21"/>
                    </w:rPr>
                    <w:t xml:space="preserve">7、针距密度：明暗线≥12针/3cm，包缝线≥10针/3cm。                 </w:t>
                  </w:r>
                </w:p>
                <w:p>
                  <w:pPr>
                    <w:pStyle w:val="null3"/>
                  </w:pPr>
                  <w:r>
                    <w:rPr>
                      <w:rFonts w:ascii="仿宋_GB2312" w:hAnsi="仿宋_GB2312" w:cs="仿宋_GB2312" w:eastAsia="仿宋_GB2312"/>
                      <w:sz w:val="21"/>
                    </w:rPr>
                    <w:t xml:space="preserve">8、拒油性能：≥4级；                                                 </w:t>
                  </w:r>
                </w:p>
                <w:p>
                  <w:pPr>
                    <w:pStyle w:val="null3"/>
                  </w:pPr>
                  <w:r>
                    <w:rPr>
                      <w:rFonts w:ascii="仿宋_GB2312" w:hAnsi="仿宋_GB2312" w:cs="仿宋_GB2312" w:eastAsia="仿宋_GB2312"/>
                      <w:sz w:val="21"/>
                    </w:rPr>
                    <w:t>9、表面抗湿性能：外层≥3级。</w:t>
                  </w:r>
                </w:p>
              </w:tc>
            </w:tr>
            <w:tr>
              <w:tc>
                <w:tcPr>
                  <w:tcW w:type="dxa" w:w="2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3</w:t>
                  </w:r>
                </w:p>
              </w:tc>
              <w:tc>
                <w:tcPr>
                  <w:tcW w:type="dxa" w:w="4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手持大功率风力灭火机</w:t>
                  </w:r>
                </w:p>
              </w:tc>
              <w:tc>
                <w:tcPr>
                  <w:tcW w:type="dxa" w:w="2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台</w:t>
                  </w:r>
                </w:p>
              </w:tc>
              <w:tc>
                <w:tcPr>
                  <w:tcW w:type="dxa" w:w="1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200</w:t>
                  </w:r>
                </w:p>
              </w:tc>
              <w:tc>
                <w:tcPr>
                  <w:tcW w:type="dxa" w:w="14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额定电压范围：</w:t>
                  </w:r>
                  <w:r>
                    <w:rPr>
                      <w:rFonts w:ascii="仿宋_GB2312" w:hAnsi="仿宋_GB2312" w:cs="仿宋_GB2312" w:eastAsia="仿宋_GB2312"/>
                      <w:sz w:val="20"/>
                    </w:rPr>
                    <w:t>18V-21V；</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额定功率：</w:t>
                  </w:r>
                  <w:r>
                    <w:rPr>
                      <w:rFonts w:ascii="仿宋_GB2312" w:hAnsi="仿宋_GB2312" w:cs="仿宋_GB2312" w:eastAsia="仿宋_GB2312"/>
                      <w:sz w:val="20"/>
                    </w:rPr>
                    <w:t xml:space="preserve">≥600W； </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转速：</w:t>
                  </w:r>
                  <w:r>
                    <w:rPr>
                      <w:rFonts w:ascii="仿宋_GB2312" w:hAnsi="仿宋_GB2312" w:cs="仿宋_GB2312" w:eastAsia="仿宋_GB2312"/>
                      <w:sz w:val="20"/>
                    </w:rPr>
                    <w:t xml:space="preserve">≥30000rpm;       </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 xml:space="preserve">▲风量：≥80HPS；                                                      </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风速：</w:t>
                  </w:r>
                  <w:r>
                    <w:rPr>
                      <w:rFonts w:ascii="仿宋_GB2312" w:hAnsi="仿宋_GB2312" w:cs="仿宋_GB2312" w:eastAsia="仿宋_GB2312"/>
                      <w:sz w:val="20"/>
                    </w:rPr>
                    <w:t xml:space="preserve">≥30m/s；                                                      </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电源类型：充电式</w:t>
                  </w:r>
                  <w:r>
                    <w:rPr>
                      <w:rFonts w:ascii="仿宋_GB2312" w:hAnsi="仿宋_GB2312" w:cs="仿宋_GB2312" w:eastAsia="仿宋_GB2312"/>
                      <w:sz w:val="20"/>
                    </w:rPr>
                    <w:t xml:space="preserve">-锂电；                                             </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电池容量：单电池容量</w:t>
                  </w:r>
                  <w:r>
                    <w:rPr>
                      <w:rFonts w:ascii="仿宋_GB2312" w:hAnsi="仿宋_GB2312" w:cs="仿宋_GB2312" w:eastAsia="仿宋_GB2312"/>
                      <w:sz w:val="20"/>
                    </w:rPr>
                    <w:t xml:space="preserve">≥1200mAh </w:t>
                  </w:r>
                </w:p>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电机规格：无刷电机；</w:t>
                  </w:r>
                  <w:r>
                    <w:rPr>
                      <w:rFonts w:ascii="仿宋_GB2312" w:hAnsi="仿宋_GB2312" w:cs="仿宋_GB2312" w:eastAsia="仿宋_GB2312"/>
                      <w:sz w:val="20"/>
                    </w:rPr>
                    <w:t xml:space="preserve">  </w:t>
                  </w:r>
                </w:p>
                <w:p>
                  <w:pPr>
                    <w:pStyle w:val="null3"/>
                    <w:jc w:val="left"/>
                  </w:pPr>
                  <w:r>
                    <w:rPr>
                      <w:rFonts w:ascii="仿宋_GB2312" w:hAnsi="仿宋_GB2312" w:cs="仿宋_GB2312" w:eastAsia="仿宋_GB2312"/>
                      <w:sz w:val="20"/>
                    </w:rPr>
                    <w:t>9.</w:t>
                  </w:r>
                  <w:r>
                    <w:rPr>
                      <w:rFonts w:ascii="仿宋_GB2312" w:hAnsi="仿宋_GB2312" w:cs="仿宋_GB2312" w:eastAsia="仿宋_GB2312"/>
                      <w:sz w:val="20"/>
                    </w:rPr>
                    <w:t>配置：两电一充</w:t>
                  </w:r>
                </w:p>
              </w:tc>
            </w:tr>
            <w:tr>
              <w:tc>
                <w:tcPr>
                  <w:tcW w:type="dxa" w:w="2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4</w:t>
                  </w:r>
                </w:p>
              </w:tc>
              <w:tc>
                <w:tcPr>
                  <w:tcW w:type="dxa" w:w="4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无人机电池</w:t>
                  </w:r>
                </w:p>
              </w:tc>
              <w:tc>
                <w:tcPr>
                  <w:tcW w:type="dxa" w:w="2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个</w:t>
                  </w:r>
                </w:p>
              </w:tc>
              <w:tc>
                <w:tcPr>
                  <w:tcW w:type="dxa" w:w="1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10</w:t>
                  </w:r>
                </w:p>
              </w:tc>
              <w:tc>
                <w:tcPr>
                  <w:tcW w:type="dxa" w:w="14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容量：</w:t>
                  </w:r>
                  <w:r>
                    <w:rPr>
                      <w:rFonts w:ascii="仿宋_GB2312" w:hAnsi="仿宋_GB2312" w:cs="仿宋_GB2312" w:eastAsia="仿宋_GB2312"/>
                      <w:sz w:val="20"/>
                    </w:rPr>
                    <w:t>≥6500mAh；</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电池类型：</w:t>
                  </w:r>
                  <w:r>
                    <w:rPr>
                      <w:rFonts w:ascii="仿宋_GB2312" w:hAnsi="仿宋_GB2312" w:cs="仿宋_GB2312" w:eastAsia="仿宋_GB2312"/>
                      <w:sz w:val="20"/>
                    </w:rPr>
                    <w:t>Li-ion;</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充电环境温度：</w:t>
                  </w:r>
                  <w:r>
                    <w:rPr>
                      <w:rFonts w:ascii="仿宋_GB2312" w:hAnsi="仿宋_GB2312" w:cs="仿宋_GB2312" w:eastAsia="仿宋_GB2312"/>
                      <w:sz w:val="20"/>
                    </w:rPr>
                    <w:t xml:space="preserve">5℃至40℃； </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最大充电功率：充电时间</w:t>
                  </w:r>
                  <w:r>
                    <w:rPr>
                      <w:rFonts w:ascii="仿宋_GB2312" w:hAnsi="仿宋_GB2312" w:cs="仿宋_GB2312" w:eastAsia="仿宋_GB2312"/>
                      <w:sz w:val="20"/>
                    </w:rPr>
                    <w:t>≤120</w:t>
                  </w:r>
                  <w:r>
                    <w:rPr>
                      <w:rFonts w:ascii="仿宋_GB2312" w:hAnsi="仿宋_GB2312" w:cs="仿宋_GB2312" w:eastAsia="仿宋_GB2312"/>
                      <w:sz w:val="20"/>
                    </w:rPr>
                    <w:t>min</w:t>
                  </w:r>
                  <w:r>
                    <w:rPr>
                      <w:rFonts w:ascii="仿宋_GB2312" w:hAnsi="仿宋_GB2312" w:cs="仿宋_GB2312" w:eastAsia="仿宋_GB2312"/>
                      <w:sz w:val="20"/>
                    </w:rPr>
                    <w:t>充满</w:t>
                  </w:r>
                  <w:r>
                    <w:rPr>
                      <w:rFonts w:ascii="仿宋_GB2312" w:hAnsi="仿宋_GB2312" w:cs="仿宋_GB2312" w:eastAsia="仿宋_GB2312"/>
                      <w:sz w:val="20"/>
                    </w:rPr>
                    <w:t xml:space="preserve">                                   </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循环寿命：</w:t>
                  </w:r>
                  <w:r>
                    <w:rPr>
                      <w:rFonts w:ascii="仿宋_GB2312" w:hAnsi="仿宋_GB2312" w:cs="仿宋_GB2312" w:eastAsia="仿宋_GB2312"/>
                      <w:sz w:val="20"/>
                    </w:rPr>
                    <w:t xml:space="preserve">≥800次                                    </w:t>
                  </w:r>
                </w:p>
              </w:tc>
            </w:tr>
            <w:tr>
              <w:tc>
                <w:tcPr>
                  <w:tcW w:type="dxa" w:w="2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5</w:t>
                  </w:r>
                </w:p>
              </w:tc>
              <w:tc>
                <w:tcPr>
                  <w:tcW w:type="dxa" w:w="4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移动水泵灭火系统</w:t>
                  </w:r>
                </w:p>
              </w:tc>
              <w:tc>
                <w:tcPr>
                  <w:tcW w:type="dxa" w:w="2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套</w:t>
                  </w:r>
                </w:p>
              </w:tc>
              <w:tc>
                <w:tcPr>
                  <w:tcW w:type="dxa" w:w="1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2</w:t>
                  </w:r>
                </w:p>
              </w:tc>
              <w:tc>
                <w:tcPr>
                  <w:tcW w:type="dxa" w:w="14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一、底盘参数</w:t>
                  </w:r>
                  <w:r>
                    <w:br/>
                  </w:r>
                  <w:r>
                    <w:rPr>
                      <w:rFonts w:ascii="仿宋_GB2312" w:hAnsi="仿宋_GB2312" w:cs="仿宋_GB2312" w:eastAsia="仿宋_GB2312"/>
                      <w:sz w:val="20"/>
                    </w:rPr>
                    <w:t>1.发动机型式：单缸，四冲程，水冷；</w:t>
                  </w:r>
                  <w:r>
                    <w:br/>
                  </w:r>
                  <w:r>
                    <w:rPr>
                      <w:rFonts w:ascii="仿宋_GB2312" w:hAnsi="仿宋_GB2312" w:cs="仿宋_GB2312" w:eastAsia="仿宋_GB2312"/>
                      <w:sz w:val="20"/>
                    </w:rPr>
                    <w:t>2.油箱容量：≥12L</w:t>
                  </w:r>
                  <w:r>
                    <w:rPr>
                      <w:rFonts w:ascii="仿宋_GB2312" w:hAnsi="仿宋_GB2312" w:cs="仿宋_GB2312" w:eastAsia="仿宋_GB2312"/>
                      <w:sz w:val="20"/>
                    </w:rPr>
                    <w:t>；</w:t>
                  </w:r>
                  <w:r>
                    <w:br/>
                  </w:r>
                  <w:r>
                    <w:rPr>
                      <w:rFonts w:ascii="仿宋_GB2312" w:hAnsi="仿宋_GB2312" w:cs="仿宋_GB2312" w:eastAsia="仿宋_GB2312"/>
                      <w:sz w:val="20"/>
                    </w:rPr>
                    <w:t>3.最大功率（Kw):≥15</w:t>
                  </w:r>
                  <w:r>
                    <w:rPr>
                      <w:rFonts w:ascii="仿宋_GB2312" w:hAnsi="仿宋_GB2312" w:cs="仿宋_GB2312" w:eastAsia="仿宋_GB2312"/>
                      <w:sz w:val="20"/>
                    </w:rPr>
                    <w:t>；</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 xml:space="preserve">.驱动方式：4WD                                                   </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.车身尺寸：长≤2500mm，宽≤1300mm，高≤1500mm</w:t>
                  </w:r>
                  <w:r>
                    <w:br/>
                  </w:r>
                  <w:r>
                    <w:rPr>
                      <w:rFonts w:ascii="仿宋_GB2312" w:hAnsi="仿宋_GB2312" w:cs="仿宋_GB2312" w:eastAsia="仿宋_GB2312"/>
                      <w:sz w:val="20"/>
                    </w:rPr>
                    <w:t>二、车载手抬泵</w:t>
                  </w:r>
                  <w:r>
                    <w:br/>
                  </w:r>
                  <w:r>
                    <w:rPr>
                      <w:rFonts w:ascii="仿宋_GB2312" w:hAnsi="仿宋_GB2312" w:cs="仿宋_GB2312" w:eastAsia="仿宋_GB2312"/>
                      <w:sz w:val="20"/>
                    </w:rPr>
                    <w:t>1.泵轴额定转速：4200r/min;</w:t>
                  </w:r>
                  <w:r>
                    <w:br/>
                  </w:r>
                  <w:r>
                    <w:rPr>
                      <w:rFonts w:ascii="仿宋_GB2312" w:hAnsi="仿宋_GB2312" w:cs="仿宋_GB2312" w:eastAsia="仿宋_GB2312"/>
                      <w:sz w:val="20"/>
                    </w:rPr>
                    <w:t>2.额定压力：0.5MPa</w:t>
                  </w:r>
                  <w:r>
                    <w:br/>
                  </w:r>
                  <w:r>
                    <w:rPr>
                      <w:rFonts w:ascii="仿宋_GB2312" w:hAnsi="仿宋_GB2312" w:cs="仿宋_GB2312" w:eastAsia="仿宋_GB2312"/>
                      <w:sz w:val="20"/>
                    </w:rPr>
                    <w:t>3.引水方式：旋片真空泵；</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.软管长度：≥30m;</w:t>
                  </w:r>
                  <w:r>
                    <w:br/>
                  </w: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.扬程：≥80m.</w:t>
                  </w:r>
                </w:p>
              </w:tc>
            </w:tr>
            <w:tr>
              <w:tc>
                <w:tcPr>
                  <w:tcW w:type="dxa" w:w="2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6</w:t>
                  </w:r>
                </w:p>
              </w:tc>
              <w:tc>
                <w:tcPr>
                  <w:tcW w:type="dxa" w:w="4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载重无人</w:t>
                  </w:r>
                  <w:r>
                    <w:rPr>
                      <w:rFonts w:ascii="仿宋_GB2312" w:hAnsi="仿宋_GB2312" w:cs="仿宋_GB2312" w:eastAsia="仿宋_GB2312"/>
                      <w:sz w:val="20"/>
                    </w:rPr>
                    <w:t>机</w:t>
                  </w:r>
                  <w:r>
                    <w:rPr>
                      <w:rFonts w:ascii="仿宋_GB2312" w:hAnsi="仿宋_GB2312" w:cs="仿宋_GB2312" w:eastAsia="仿宋_GB2312"/>
                      <w:sz w:val="20"/>
                      <w:b/>
                    </w:rPr>
                    <w:t>（核心产品）</w:t>
                  </w:r>
                </w:p>
              </w:tc>
              <w:tc>
                <w:tcPr>
                  <w:tcW w:type="dxa" w:w="2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套</w:t>
                  </w:r>
                </w:p>
              </w:tc>
              <w:tc>
                <w:tcPr>
                  <w:tcW w:type="dxa" w:w="1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4</w:t>
                  </w:r>
                </w:p>
              </w:tc>
              <w:tc>
                <w:tcPr>
                  <w:tcW w:type="dxa" w:w="14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满足大载重运输，支持智控吊运；</w:t>
                  </w:r>
                  <w:r>
                    <w:rPr>
                      <w:rFonts w:ascii="仿宋_GB2312" w:hAnsi="仿宋_GB2312" w:cs="仿宋_GB2312" w:eastAsia="仿宋_GB2312"/>
                      <w:sz w:val="20"/>
                    </w:rPr>
                    <w:t xml:space="preserve">                                   </w:t>
                  </w:r>
                </w:p>
                <w:p>
                  <w:pPr>
                    <w:pStyle w:val="null3"/>
                    <w:jc w:val="left"/>
                  </w:pPr>
                  <w:r>
                    <w:rPr>
                      <w:rFonts w:ascii="仿宋_GB2312" w:hAnsi="仿宋_GB2312" w:cs="仿宋_GB2312" w:eastAsia="仿宋_GB2312"/>
                      <w:sz w:val="20"/>
                    </w:rPr>
                    <w:t>2、空机重量：≤65</w:t>
                  </w:r>
                  <w:r>
                    <w:rPr>
                      <w:rFonts w:ascii="仿宋_GB2312" w:hAnsi="仿宋_GB2312" w:cs="仿宋_GB2312" w:eastAsia="仿宋_GB2312"/>
                      <w:sz w:val="20"/>
                    </w:rPr>
                    <w:t>kg</w:t>
                  </w:r>
                  <w:r>
                    <w:rPr>
                      <w:rFonts w:ascii="仿宋_GB2312" w:hAnsi="仿宋_GB2312" w:cs="仿宋_GB2312" w:eastAsia="仿宋_GB2312"/>
                      <w:sz w:val="20"/>
                    </w:rPr>
                    <w:t>（空吊负载）；</w:t>
                  </w:r>
                  <w:r>
                    <w:br/>
                  </w:r>
                  <w:r>
                    <w:rPr>
                      <w:rFonts w:ascii="仿宋_GB2312" w:hAnsi="仿宋_GB2312" w:cs="仿宋_GB2312" w:eastAsia="仿宋_GB2312"/>
                      <w:sz w:val="20"/>
                    </w:rPr>
                    <w:t>3、▲最大起飞重量：≥140</w:t>
                  </w:r>
                  <w:r>
                    <w:rPr>
                      <w:rFonts w:ascii="仿宋_GB2312" w:hAnsi="仿宋_GB2312" w:cs="仿宋_GB2312" w:eastAsia="仿宋_GB2312"/>
                      <w:sz w:val="20"/>
                    </w:rPr>
                    <w:t>kg</w:t>
                  </w:r>
                  <w:r>
                    <w:rPr>
                      <w:rFonts w:ascii="仿宋_GB2312" w:hAnsi="仿宋_GB2312" w:cs="仿宋_GB2312" w:eastAsia="仿宋_GB2312"/>
                      <w:sz w:val="20"/>
                    </w:rPr>
                    <w:t>；</w:t>
                  </w:r>
                  <w:r>
                    <w:br/>
                  </w:r>
                  <w:r>
                    <w:rPr>
                      <w:rFonts w:ascii="仿宋_GB2312" w:hAnsi="仿宋_GB2312" w:cs="仿宋_GB2312" w:eastAsia="仿宋_GB2312"/>
                      <w:sz w:val="20"/>
                    </w:rPr>
                    <w:t>4、轴距：≥2200mm；</w:t>
                  </w:r>
                  <w:r>
                    <w:br/>
                  </w:r>
                  <w:r>
                    <w:rPr>
                      <w:rFonts w:ascii="仿宋_GB2312" w:hAnsi="仿宋_GB2312" w:cs="仿宋_GB2312" w:eastAsia="仿宋_GB2312"/>
                      <w:sz w:val="20"/>
                    </w:rPr>
                    <w:t>5、外形尺寸（机臂展开，桨叶展开）：≤3500mm×3500mm×1200mm（允许±5%偏差）；</w:t>
                  </w:r>
                  <w:r>
                    <w:br/>
                  </w:r>
                  <w:r>
                    <w:rPr>
                      <w:rFonts w:ascii="仿宋_GB2312" w:hAnsi="仿宋_GB2312" w:cs="仿宋_GB2312" w:eastAsia="仿宋_GB2312"/>
                      <w:sz w:val="20"/>
                    </w:rPr>
                    <w:t>6、▲最大飞行时间：最大起飞重量下：双电≥10</w:t>
                  </w:r>
                  <w:r>
                    <w:rPr>
                      <w:rFonts w:ascii="仿宋_GB2312" w:hAnsi="仿宋_GB2312" w:cs="仿宋_GB2312" w:eastAsia="仿宋_GB2312"/>
                      <w:sz w:val="20"/>
                    </w:rPr>
                    <w:t>min</w:t>
                  </w:r>
                  <w:r>
                    <w:rPr>
                      <w:rFonts w:ascii="仿宋_GB2312" w:hAnsi="仿宋_GB2312" w:cs="仿宋_GB2312" w:eastAsia="仿宋_GB2312"/>
                      <w:sz w:val="20"/>
                    </w:rPr>
                    <w:t>、单电</w:t>
                  </w:r>
                  <w:r>
                    <w:rPr>
                      <w:rFonts w:ascii="仿宋_GB2312" w:hAnsi="仿宋_GB2312" w:cs="仿宋_GB2312" w:eastAsia="仿宋_GB2312"/>
                      <w:sz w:val="20"/>
                    </w:rPr>
                    <w:t>≥5</w:t>
                  </w:r>
                  <w:r>
                    <w:rPr>
                      <w:rFonts w:ascii="仿宋_GB2312" w:hAnsi="仿宋_GB2312" w:cs="仿宋_GB2312" w:eastAsia="仿宋_GB2312"/>
                      <w:sz w:val="20"/>
                    </w:rPr>
                    <w:t>min</w:t>
                  </w:r>
                  <w:r>
                    <w:rPr>
                      <w:rFonts w:ascii="仿宋_GB2312" w:hAnsi="仿宋_GB2312" w:cs="仿宋_GB2312" w:eastAsia="仿宋_GB2312"/>
                      <w:sz w:val="20"/>
                    </w:rPr>
                    <w:t>；</w:t>
                  </w:r>
                  <w:r>
                    <w:br/>
                  </w:r>
                  <w:r>
                    <w:rPr>
                      <w:rFonts w:ascii="仿宋_GB2312" w:hAnsi="仿宋_GB2312" w:cs="仿宋_GB2312" w:eastAsia="仿宋_GB2312"/>
                      <w:sz w:val="20"/>
                    </w:rPr>
                    <w:t xml:space="preserve">7、▲最大飞行高度：≥1400m；                                            </w:t>
                  </w:r>
                </w:p>
                <w:p>
                  <w:pPr>
                    <w:pStyle w:val="null3"/>
                    <w:jc w:val="left"/>
                  </w:pPr>
                  <w:r>
                    <w:rPr>
                      <w:rFonts w:ascii="仿宋_GB2312" w:hAnsi="仿宋_GB2312" w:cs="仿宋_GB2312" w:eastAsia="仿宋_GB2312"/>
                      <w:sz w:val="20"/>
                    </w:rPr>
                    <w:t>8、★载荷能力：单电池模式下最大载重≥70</w:t>
                  </w:r>
                  <w:r>
                    <w:rPr>
                      <w:rFonts w:ascii="仿宋_GB2312" w:hAnsi="仿宋_GB2312" w:cs="仿宋_GB2312" w:eastAsia="仿宋_GB2312"/>
                      <w:sz w:val="20"/>
                    </w:rPr>
                    <w:t>kg</w:t>
                  </w:r>
                </w:p>
                <w:p>
                  <w:pPr>
                    <w:pStyle w:val="null3"/>
                    <w:jc w:val="left"/>
                  </w:pPr>
                  <w:r>
                    <w:rPr>
                      <w:rFonts w:ascii="仿宋_GB2312" w:hAnsi="仿宋_GB2312" w:cs="仿宋_GB2312" w:eastAsia="仿宋_GB2312"/>
                      <w:sz w:val="20"/>
                    </w:rPr>
                    <w:t xml:space="preserve">9、抗风等级：空中稳定作业≥（12m/s）；                          </w:t>
                  </w:r>
                </w:p>
                <w:p>
                  <w:pPr>
                    <w:pStyle w:val="null3"/>
                    <w:jc w:val="left"/>
                  </w:pPr>
                  <w:r>
                    <w:rPr>
                      <w:rFonts w:ascii="仿宋_GB2312" w:hAnsi="仿宋_GB2312" w:cs="仿宋_GB2312" w:eastAsia="仿宋_GB2312"/>
                      <w:sz w:val="20"/>
                    </w:rPr>
                    <w:t xml:space="preserve">10、整机防护等级≥IP54；                                            </w:t>
                  </w:r>
                </w:p>
                <w:p>
                  <w:pPr>
                    <w:pStyle w:val="null3"/>
                    <w:jc w:val="left"/>
                  </w:pPr>
                  <w:r>
                    <w:rPr>
                      <w:rFonts w:ascii="仿宋_GB2312" w:hAnsi="仿宋_GB2312" w:cs="仿宋_GB2312" w:eastAsia="仿宋_GB2312"/>
                      <w:sz w:val="20"/>
                    </w:rPr>
                    <w:t xml:space="preserve">11、标配整机应急降落伞系统 + 双电池热冗余供电；                       </w:t>
                  </w:r>
                </w:p>
                <w:p>
                  <w:pPr>
                    <w:pStyle w:val="null3"/>
                    <w:jc w:val="left"/>
                  </w:pPr>
                  <w:r>
                    <w:rPr>
                      <w:rFonts w:ascii="仿宋_GB2312" w:hAnsi="仿宋_GB2312" w:cs="仿宋_GB2312" w:eastAsia="仿宋_GB2312"/>
                      <w:sz w:val="20"/>
                    </w:rPr>
                    <w:t>12、导航兼容北斗+ GPS+GLONASS 三模 + RTK 厘米级定位。</w:t>
                  </w:r>
                </w:p>
              </w:tc>
            </w:tr>
            <w:tr>
              <w:tc>
                <w:tcPr>
                  <w:tcW w:type="dxa" w:w="2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7</w:t>
                  </w:r>
                </w:p>
              </w:tc>
              <w:tc>
                <w:tcPr>
                  <w:tcW w:type="dxa" w:w="4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移动泵车</w:t>
                  </w:r>
                </w:p>
              </w:tc>
              <w:tc>
                <w:tcPr>
                  <w:tcW w:type="dxa" w:w="2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台</w:t>
                  </w:r>
                </w:p>
              </w:tc>
              <w:tc>
                <w:tcPr>
                  <w:tcW w:type="dxa" w:w="1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14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1.移动防汛车整体4轮拖车箱式结构</w:t>
                  </w:r>
                  <w:r>
                    <w:br/>
                  </w:r>
                  <w:r>
                    <w:rPr>
                      <w:rFonts w:ascii="仿宋_GB2312" w:hAnsi="仿宋_GB2312" w:cs="仿宋_GB2312" w:eastAsia="仿宋_GB2312"/>
                      <w:sz w:val="20"/>
                    </w:rPr>
                    <w:t>2.泵头类型：自吸式；</w:t>
                  </w:r>
                  <w:r>
                    <w:br/>
                  </w:r>
                  <w:r>
                    <w:rPr>
                      <w:rFonts w:ascii="仿宋_GB2312" w:hAnsi="仿宋_GB2312" w:cs="仿宋_GB2312" w:eastAsia="仿宋_GB2312"/>
                      <w:sz w:val="20"/>
                    </w:rPr>
                    <w:t>3.进/出水口直径：单孔直径≤300mm；</w:t>
                  </w:r>
                  <w:r>
                    <w:br/>
                  </w:r>
                  <w:r>
                    <w:rPr>
                      <w:rFonts w:ascii="仿宋_GB2312" w:hAnsi="仿宋_GB2312" w:cs="仿宋_GB2312" w:eastAsia="仿宋_GB2312"/>
                      <w:sz w:val="20"/>
                    </w:rPr>
                    <w:t>4.★流量：≥500m³/h</w:t>
                  </w:r>
                  <w:r>
                    <w:br/>
                  </w:r>
                  <w:r>
                    <w:rPr>
                      <w:rFonts w:ascii="仿宋_GB2312" w:hAnsi="仿宋_GB2312" w:cs="仿宋_GB2312" w:eastAsia="仿宋_GB2312"/>
                      <w:sz w:val="20"/>
                    </w:rPr>
                    <w:t>5.★扬程：≥50m；</w:t>
                  </w:r>
                  <w:r>
                    <w:br/>
                  </w:r>
                  <w:r>
                    <w:rPr>
                      <w:rFonts w:ascii="仿宋_GB2312" w:hAnsi="仿宋_GB2312" w:cs="仿宋_GB2312" w:eastAsia="仿宋_GB2312"/>
                      <w:sz w:val="20"/>
                    </w:rPr>
                    <w:t>6.自吸高度：≥8m；</w:t>
                  </w:r>
                  <w:r>
                    <w:br/>
                  </w:r>
                  <w:r>
                    <w:rPr>
                      <w:rFonts w:ascii="仿宋_GB2312" w:hAnsi="仿宋_GB2312" w:cs="仿宋_GB2312" w:eastAsia="仿宋_GB2312"/>
                      <w:sz w:val="20"/>
                    </w:rPr>
                    <w:t>7.水泵效率：≥80%；</w:t>
                  </w:r>
                  <w:r>
                    <w:br/>
                  </w:r>
                  <w:r>
                    <w:rPr>
                      <w:rFonts w:ascii="仿宋_GB2312" w:hAnsi="仿宋_GB2312" w:cs="仿宋_GB2312" w:eastAsia="仿宋_GB2312"/>
                      <w:sz w:val="20"/>
                    </w:rPr>
                    <w:t>8.通过颗粒物直径：≥100mm；</w:t>
                  </w:r>
                  <w:r>
                    <w:br/>
                  </w:r>
                  <w:r>
                    <w:rPr>
                      <w:rFonts w:ascii="仿宋_GB2312" w:hAnsi="仿宋_GB2312" w:cs="仿宋_GB2312" w:eastAsia="仿宋_GB2312"/>
                      <w:sz w:val="20"/>
                    </w:rPr>
                    <w:t>9.油润式机械密封允许干运行时间：≥180min；</w:t>
                  </w:r>
                  <w:r>
                    <w:br/>
                  </w:r>
                  <w:r>
                    <w:rPr>
                      <w:rFonts w:ascii="仿宋_GB2312" w:hAnsi="仿宋_GB2312" w:cs="仿宋_GB2312" w:eastAsia="仿宋_GB2312"/>
                      <w:sz w:val="20"/>
                    </w:rPr>
                    <w:t>防雨外壳参数：</w:t>
                  </w:r>
                  <w:r>
                    <w:br/>
                  </w:r>
                  <w:r>
                    <w:rPr>
                      <w:rFonts w:ascii="仿宋_GB2312" w:hAnsi="仿宋_GB2312" w:cs="仿宋_GB2312" w:eastAsia="仿宋_GB2312"/>
                      <w:sz w:val="20"/>
                    </w:rPr>
                    <w:t>1.厢体厚度≥2.0mm；</w:t>
                  </w:r>
                  <w:r>
                    <w:br/>
                  </w:r>
                  <w:r>
                    <w:rPr>
                      <w:rFonts w:ascii="仿宋_GB2312" w:hAnsi="仿宋_GB2312" w:cs="仿宋_GB2312" w:eastAsia="仿宋_GB2312"/>
                      <w:sz w:val="20"/>
                    </w:rPr>
                    <w:t>2.钢板经过防锈、防腐处理，高温喷塑烤漆；</w:t>
                  </w:r>
                  <w:r>
                    <w:br/>
                  </w:r>
                  <w:r>
                    <w:rPr>
                      <w:rFonts w:ascii="仿宋_GB2312" w:hAnsi="仿宋_GB2312" w:cs="仿宋_GB2312" w:eastAsia="仿宋_GB2312"/>
                      <w:sz w:val="20"/>
                    </w:rPr>
                    <w:t>发动机参数：</w:t>
                  </w:r>
                  <w:r>
                    <w:br/>
                  </w:r>
                  <w:r>
                    <w:rPr>
                      <w:rFonts w:ascii="仿宋_GB2312" w:hAnsi="仿宋_GB2312" w:cs="仿宋_GB2312" w:eastAsia="仿宋_GB2312"/>
                      <w:sz w:val="20"/>
                    </w:rPr>
                    <w:t>1.燃油类型：柴油；</w:t>
                  </w:r>
                  <w:r>
                    <w:br/>
                  </w:r>
                  <w:r>
                    <w:rPr>
                      <w:rFonts w:ascii="仿宋_GB2312" w:hAnsi="仿宋_GB2312" w:cs="仿宋_GB2312" w:eastAsia="仿宋_GB2312"/>
                      <w:sz w:val="20"/>
                    </w:rPr>
                    <w:t>2.动力型式：4冲程，水冷，直列；</w:t>
                  </w:r>
                  <w:r>
                    <w:br/>
                  </w:r>
                  <w:r>
                    <w:rPr>
                      <w:rFonts w:ascii="仿宋_GB2312" w:hAnsi="仿宋_GB2312" w:cs="仿宋_GB2312" w:eastAsia="仿宋_GB2312"/>
                      <w:sz w:val="20"/>
                    </w:rPr>
                    <w:t>3.▲发动机额定功率：≥200KW；</w:t>
                  </w:r>
                  <w:r>
                    <w:br/>
                  </w:r>
                  <w:r>
                    <w:rPr>
                      <w:rFonts w:ascii="仿宋_GB2312" w:hAnsi="仿宋_GB2312" w:cs="仿宋_GB2312" w:eastAsia="仿宋_GB2312"/>
                      <w:sz w:val="20"/>
                    </w:rPr>
                    <w:t>4.吸气方式：增压；</w:t>
                  </w:r>
                  <w:r>
                    <w:br/>
                  </w:r>
                  <w:r>
                    <w:rPr>
                      <w:rFonts w:ascii="仿宋_GB2312" w:hAnsi="仿宋_GB2312" w:cs="仿宋_GB2312" w:eastAsia="仿宋_GB2312"/>
                      <w:sz w:val="20"/>
                    </w:rPr>
                    <w:t>5.启动方式：电启动；</w:t>
                  </w:r>
                  <w:r>
                    <w:br/>
                  </w:r>
                  <w:r>
                    <w:rPr>
                      <w:rFonts w:ascii="仿宋_GB2312" w:hAnsi="仿宋_GB2312" w:cs="仿宋_GB2312" w:eastAsia="仿宋_GB2312"/>
                      <w:sz w:val="20"/>
                    </w:rPr>
                    <w:t>6.转速：≤1800 r/min；</w:t>
                  </w:r>
                  <w:r>
                    <w:br/>
                  </w:r>
                  <w:r>
                    <w:rPr>
                      <w:rFonts w:ascii="仿宋_GB2312" w:hAnsi="仿宋_GB2312" w:cs="仿宋_GB2312" w:eastAsia="仿宋_GB2312"/>
                      <w:sz w:val="20"/>
                    </w:rPr>
                    <w:t>7.冷却方式：闭式水冷；</w:t>
                  </w:r>
                </w:p>
              </w:tc>
            </w:tr>
            <w:tr>
              <w:tc>
                <w:tcPr>
                  <w:tcW w:type="dxa" w:w="2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8</w:t>
                  </w:r>
                </w:p>
              </w:tc>
              <w:tc>
                <w:tcPr>
                  <w:tcW w:type="dxa" w:w="4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变频水泵</w:t>
                  </w:r>
                </w:p>
              </w:tc>
              <w:tc>
                <w:tcPr>
                  <w:tcW w:type="dxa" w:w="2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台</w:t>
                  </w:r>
                </w:p>
              </w:tc>
              <w:tc>
                <w:tcPr>
                  <w:tcW w:type="dxa" w:w="1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2</w:t>
                  </w:r>
                </w:p>
              </w:tc>
              <w:tc>
                <w:tcPr>
                  <w:tcW w:type="dxa" w:w="14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1、电驱式轻型潜水泵，油侵式复合电机；水泵泵体采用不锈钢材质，叶轮、滤网等均为不锈钢材质；</w:t>
                  </w:r>
                  <w:r>
                    <w:br/>
                  </w:r>
                  <w:r>
                    <w:rPr>
                      <w:rFonts w:ascii="仿宋_GB2312" w:hAnsi="仿宋_GB2312" w:cs="仿宋_GB2312" w:eastAsia="仿宋_GB2312"/>
                      <w:sz w:val="20"/>
                    </w:rPr>
                    <w:t>2、▲叶轮为不锈钢材质，表面经硬化处理，维氏硬度≥400HV。</w:t>
                  </w:r>
                  <w:r>
                    <w:br/>
                  </w:r>
                  <w:r>
                    <w:rPr>
                      <w:rFonts w:ascii="仿宋_GB2312" w:hAnsi="仿宋_GB2312" w:cs="仿宋_GB2312" w:eastAsia="仿宋_GB2312"/>
                      <w:sz w:val="20"/>
                    </w:rPr>
                    <w:t>3、排水流量/扬程规定点：流量200m³/h时，扬程≥25m，出水口径：≥DN150mm。</w:t>
                  </w:r>
                  <w:r>
                    <w:br/>
                  </w:r>
                  <w:r>
                    <w:rPr>
                      <w:rFonts w:ascii="仿宋_GB2312" w:hAnsi="仿宋_GB2312" w:cs="仿宋_GB2312" w:eastAsia="仿宋_GB2312"/>
                      <w:sz w:val="20"/>
                    </w:rPr>
                    <w:t>4、最大通过颗粒物：≥30mm。</w:t>
                  </w:r>
                  <w:r>
                    <w:br/>
                  </w:r>
                  <w:r>
                    <w:rPr>
                      <w:rFonts w:ascii="仿宋_GB2312" w:hAnsi="仿宋_GB2312" w:cs="仿宋_GB2312" w:eastAsia="仿宋_GB2312"/>
                      <w:sz w:val="20"/>
                    </w:rPr>
                    <w:t>5、永磁潜水电泵绝缘等级：≥H 级。</w:t>
                  </w:r>
                  <w:r>
                    <w:br/>
                  </w:r>
                  <w:r>
                    <w:rPr>
                      <w:rFonts w:ascii="仿宋_GB2312" w:hAnsi="仿宋_GB2312" w:cs="仿宋_GB2312" w:eastAsia="仿宋_GB2312"/>
                      <w:sz w:val="20"/>
                    </w:rPr>
                    <w:t>6、▲单泵额定功率：≥2</w:t>
                  </w:r>
                  <w:r>
                    <w:rPr>
                      <w:rFonts w:ascii="仿宋_GB2312" w:hAnsi="仿宋_GB2312" w:cs="仿宋_GB2312" w:eastAsia="仿宋_GB2312"/>
                      <w:sz w:val="20"/>
                    </w:rPr>
                    <w:t>0</w:t>
                  </w:r>
                  <w:r>
                    <w:rPr>
                      <w:rFonts w:ascii="仿宋_GB2312" w:hAnsi="仿宋_GB2312" w:cs="仿宋_GB2312" w:eastAsia="仿宋_GB2312"/>
                      <w:sz w:val="20"/>
                    </w:rPr>
                    <w:t>kw。</w:t>
                  </w:r>
                  <w:r>
                    <w:br/>
                  </w:r>
                  <w:r>
                    <w:rPr>
                      <w:rFonts w:ascii="仿宋_GB2312" w:hAnsi="仿宋_GB2312" w:cs="仿宋_GB2312" w:eastAsia="仿宋_GB2312"/>
                      <w:sz w:val="20"/>
                    </w:rPr>
                    <w:t>7、单泵质量：≤35kg。</w:t>
                  </w:r>
                  <w:r>
                    <w:br/>
                  </w:r>
                  <w:r>
                    <w:rPr>
                      <w:rFonts w:ascii="仿宋_GB2312" w:hAnsi="仿宋_GB2312" w:cs="仿宋_GB2312" w:eastAsia="仿宋_GB2312"/>
                      <w:sz w:val="20"/>
                    </w:rPr>
                    <w:t>8、启动方式：每台水泵配有单独的变频器控制柜，采用变频器控制。使用快速接头连接，防水等级 IP68。</w:t>
                  </w:r>
                  <w:r>
                    <w:br/>
                  </w:r>
                  <w:r>
                    <w:rPr>
                      <w:rFonts w:ascii="仿宋_GB2312" w:hAnsi="仿宋_GB2312" w:cs="仿宋_GB2312" w:eastAsia="仿宋_GB2312"/>
                      <w:sz w:val="20"/>
                    </w:rPr>
                    <w:t>9、潜水泵电缆：接头防水等级达到IP68。</w:t>
                  </w:r>
                </w:p>
              </w:tc>
            </w:tr>
            <w:tr>
              <w:tc>
                <w:tcPr>
                  <w:tcW w:type="dxa" w:w="2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9</w:t>
                  </w:r>
                </w:p>
              </w:tc>
              <w:tc>
                <w:tcPr>
                  <w:tcW w:type="dxa" w:w="4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消防水带</w:t>
                  </w:r>
                  <w:r>
                    <w:rPr>
                      <w:rFonts w:ascii="仿宋_GB2312" w:hAnsi="仿宋_GB2312" w:cs="仿宋_GB2312" w:eastAsia="仿宋_GB2312"/>
                      <w:sz w:val="20"/>
                    </w:rPr>
                    <w:t>(20米)</w:t>
                  </w:r>
                </w:p>
              </w:tc>
              <w:tc>
                <w:tcPr>
                  <w:tcW w:type="dxa" w:w="2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卷</w:t>
                  </w:r>
                </w:p>
              </w:tc>
              <w:tc>
                <w:tcPr>
                  <w:tcW w:type="dxa" w:w="1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5</w:t>
                  </w:r>
                </w:p>
              </w:tc>
              <w:tc>
                <w:tcPr>
                  <w:tcW w:type="dxa" w:w="14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1、长度：20米；</w:t>
                  </w:r>
                  <w:r>
                    <w:br/>
                  </w:r>
                  <w:r>
                    <w:rPr>
                      <w:rFonts w:ascii="仿宋_GB2312" w:hAnsi="仿宋_GB2312" w:cs="仿宋_GB2312" w:eastAsia="仿宋_GB2312"/>
                      <w:sz w:val="20"/>
                    </w:rPr>
                    <w:t>2、口径：6寸；</w:t>
                  </w:r>
                  <w:r>
                    <w:br/>
                  </w:r>
                  <w:r>
                    <w:rPr>
                      <w:rFonts w:ascii="仿宋_GB2312" w:hAnsi="仿宋_GB2312" w:cs="仿宋_GB2312" w:eastAsia="仿宋_GB2312"/>
                      <w:sz w:val="20"/>
                    </w:rPr>
                    <w:t>3、材质：高压耐磨涤纶；</w:t>
                  </w:r>
                  <w:r>
                    <w:br/>
                  </w:r>
                  <w:r>
                    <w:rPr>
                      <w:rFonts w:ascii="仿宋_GB2312" w:hAnsi="仿宋_GB2312" w:cs="仿宋_GB2312" w:eastAsia="仿宋_GB2312"/>
                      <w:sz w:val="20"/>
                    </w:rPr>
                    <w:t>4、接口类型：铝卡式接口；</w:t>
                  </w:r>
                  <w:r>
                    <w:br/>
                  </w:r>
                  <w:r>
                    <w:rPr>
                      <w:rFonts w:ascii="仿宋_GB2312" w:hAnsi="仿宋_GB2312" w:cs="仿宋_GB2312" w:eastAsia="仿宋_GB2312"/>
                      <w:sz w:val="20"/>
                    </w:rPr>
                    <w:t xml:space="preserve">5、设计工作压力：≥0.7MPa；                                       </w:t>
                  </w:r>
                </w:p>
                <w:p>
                  <w:pPr>
                    <w:pStyle w:val="null3"/>
                    <w:jc w:val="left"/>
                  </w:pPr>
                  <w:r>
                    <w:rPr>
                      <w:rFonts w:ascii="仿宋_GB2312" w:hAnsi="仿宋_GB2312" w:cs="仿宋_GB2312" w:eastAsia="仿宋_GB2312"/>
                      <w:sz w:val="20"/>
                    </w:rPr>
                    <w:t>6、爆破压力：≥2.</w:t>
                  </w:r>
                  <w:r>
                    <w:rPr>
                      <w:rFonts w:ascii="仿宋_GB2312" w:hAnsi="仿宋_GB2312" w:cs="仿宋_GB2312" w:eastAsia="仿宋_GB2312"/>
                      <w:sz w:val="20"/>
                    </w:rPr>
                    <w:t>0</w:t>
                  </w:r>
                  <w:r>
                    <w:rPr>
                      <w:rFonts w:ascii="仿宋_GB2312" w:hAnsi="仿宋_GB2312" w:cs="仿宋_GB2312" w:eastAsia="仿宋_GB2312"/>
                      <w:sz w:val="20"/>
                    </w:rPr>
                    <w:t>MPa</w:t>
                  </w:r>
                </w:p>
              </w:tc>
            </w:tr>
            <w:tr>
              <w:tc>
                <w:tcPr>
                  <w:tcW w:type="dxa" w:w="21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10</w:t>
                  </w:r>
                </w:p>
              </w:tc>
              <w:tc>
                <w:tcPr>
                  <w:tcW w:type="dxa" w:w="48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300KW移动发电机组</w:t>
                  </w:r>
                </w:p>
              </w:tc>
              <w:tc>
                <w:tcPr>
                  <w:tcW w:type="dxa" w:w="219"/>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台</w:t>
                  </w:r>
                </w:p>
              </w:tc>
              <w:tc>
                <w:tcPr>
                  <w:tcW w:type="dxa" w:w="197"/>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2</w:t>
                  </w:r>
                </w:p>
              </w:tc>
              <w:tc>
                <w:tcPr>
                  <w:tcW w:type="dxa" w:w="14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发电机输出功率：</w:t>
                  </w:r>
                  <w:r>
                    <w:rPr>
                      <w:rFonts w:ascii="仿宋_GB2312" w:hAnsi="仿宋_GB2312" w:cs="仿宋_GB2312" w:eastAsia="仿宋_GB2312"/>
                      <w:sz w:val="20"/>
                    </w:rPr>
                    <w:t>≥300Kw</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发电机类型：无刷自励同步交流发电机</w:t>
                  </w:r>
                  <w:r>
                    <w:rPr>
                      <w:rFonts w:ascii="仿宋_GB2312" w:hAnsi="仿宋_GB2312" w:cs="仿宋_GB2312" w:eastAsia="仿宋_GB2312"/>
                      <w:sz w:val="20"/>
                    </w:rPr>
                    <w:t xml:space="preserve"> </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频率波动率（</w:t>
                  </w:r>
                  <w:r>
                    <w:rPr>
                      <w:rFonts w:ascii="仿宋_GB2312" w:hAnsi="仿宋_GB2312" w:cs="仿宋_GB2312" w:eastAsia="仿宋_GB2312"/>
                      <w:sz w:val="20"/>
                    </w:rPr>
                    <w:t>%）：≤±0.2%</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冷却方式：强制风冷</w:t>
                  </w:r>
                  <w:r>
                    <w:br/>
                  </w:r>
                  <w:r>
                    <w:rPr>
                      <w:rFonts w:ascii="仿宋_GB2312" w:hAnsi="仿宋_GB2312" w:cs="仿宋_GB2312" w:eastAsia="仿宋_GB2312"/>
                      <w:sz w:val="20"/>
                    </w:rPr>
                    <w:t>5.</w:t>
                  </w:r>
                  <w:r>
                    <w:rPr>
                      <w:rFonts w:ascii="仿宋_GB2312" w:hAnsi="仿宋_GB2312" w:cs="仿宋_GB2312" w:eastAsia="仿宋_GB2312"/>
                      <w:sz w:val="20"/>
                    </w:rPr>
                    <w:t>额定电压：</w:t>
                  </w:r>
                  <w:r>
                    <w:rPr>
                      <w:rFonts w:ascii="仿宋_GB2312" w:hAnsi="仿宋_GB2312" w:cs="仿宋_GB2312" w:eastAsia="仿宋_GB2312"/>
                      <w:sz w:val="20"/>
                    </w:rPr>
                    <w:t xml:space="preserve">400V/230V（三相四线）                                                        </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输出电流：</w:t>
                  </w:r>
                  <w:r>
                    <w:rPr>
                      <w:rFonts w:ascii="仿宋_GB2312" w:hAnsi="仿宋_GB2312" w:cs="仿宋_GB2312" w:eastAsia="仿宋_GB2312"/>
                      <w:sz w:val="20"/>
                    </w:rPr>
                    <w:t xml:space="preserve">540A </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额定频率：</w:t>
                  </w:r>
                  <w:r>
                    <w:rPr>
                      <w:rFonts w:ascii="仿宋_GB2312" w:hAnsi="仿宋_GB2312" w:cs="仿宋_GB2312" w:eastAsia="仿宋_GB2312"/>
                      <w:sz w:val="20"/>
                    </w:rPr>
                    <w:t>50Hz</w:t>
                  </w:r>
                </w:p>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额定转速：</w:t>
                  </w:r>
                  <w:r>
                    <w:rPr>
                      <w:rFonts w:ascii="仿宋_GB2312" w:hAnsi="仿宋_GB2312" w:cs="仿宋_GB2312" w:eastAsia="仿宋_GB2312"/>
                      <w:sz w:val="20"/>
                    </w:rPr>
                    <w:t xml:space="preserve">1500rpm </w:t>
                  </w:r>
                </w:p>
                <w:p>
                  <w:pPr>
                    <w:pStyle w:val="null3"/>
                    <w:jc w:val="left"/>
                  </w:pPr>
                  <w:r>
                    <w:rPr>
                      <w:rFonts w:ascii="仿宋_GB2312" w:hAnsi="仿宋_GB2312" w:cs="仿宋_GB2312" w:eastAsia="仿宋_GB2312"/>
                      <w:sz w:val="20"/>
                    </w:rPr>
                    <w:t>9.</w:t>
                  </w:r>
                  <w:r>
                    <w:rPr>
                      <w:rFonts w:ascii="仿宋_GB2312" w:hAnsi="仿宋_GB2312" w:cs="仿宋_GB2312" w:eastAsia="仿宋_GB2312"/>
                      <w:sz w:val="20"/>
                    </w:rPr>
                    <w:t>燃油消耗（</w:t>
                  </w:r>
                  <w:r>
                    <w:rPr>
                      <w:rFonts w:ascii="仿宋_GB2312" w:hAnsi="仿宋_GB2312" w:cs="仿宋_GB2312" w:eastAsia="仿宋_GB2312"/>
                      <w:sz w:val="20"/>
                    </w:rPr>
                    <w:t>100%负载）：≤250g/KW·h（满负载工况）</w:t>
                  </w:r>
                </w:p>
                <w:p>
                  <w:pPr>
                    <w:pStyle w:val="null3"/>
                    <w:jc w:val="left"/>
                  </w:pPr>
                  <w:r>
                    <w:rPr>
                      <w:rFonts w:ascii="仿宋_GB2312" w:hAnsi="仿宋_GB2312" w:cs="仿宋_GB2312" w:eastAsia="仿宋_GB2312"/>
                      <w:sz w:val="20"/>
                    </w:rPr>
                    <w:t>10.</w:t>
                  </w:r>
                  <w:r>
                    <w:rPr>
                      <w:rFonts w:ascii="仿宋_GB2312" w:hAnsi="仿宋_GB2312" w:cs="仿宋_GB2312" w:eastAsia="仿宋_GB2312"/>
                      <w:sz w:val="20"/>
                    </w:rPr>
                    <w:t>机组重量：</w:t>
                  </w:r>
                  <w:r>
                    <w:rPr>
                      <w:rFonts w:ascii="仿宋_GB2312" w:hAnsi="仿宋_GB2312" w:cs="仿宋_GB2312" w:eastAsia="仿宋_GB2312"/>
                      <w:sz w:val="20"/>
                    </w:rPr>
                    <w:t xml:space="preserve">≤3000kg  </w:t>
                  </w:r>
                </w:p>
                <w:p>
                  <w:pPr>
                    <w:pStyle w:val="null3"/>
                    <w:jc w:val="left"/>
                  </w:pPr>
                  <w:r>
                    <w:rPr>
                      <w:rFonts w:ascii="仿宋_GB2312" w:hAnsi="仿宋_GB2312" w:cs="仿宋_GB2312" w:eastAsia="仿宋_GB2312"/>
                      <w:sz w:val="20"/>
                    </w:rPr>
                    <w:t>11.</w:t>
                  </w:r>
                  <w:r>
                    <w:rPr>
                      <w:rFonts w:ascii="仿宋_GB2312" w:hAnsi="仿宋_GB2312" w:cs="仿宋_GB2312" w:eastAsia="仿宋_GB2312"/>
                      <w:sz w:val="20"/>
                    </w:rPr>
                    <w:t>噪声（</w:t>
                  </w:r>
                  <w:r>
                    <w:rPr>
                      <w:rFonts w:ascii="仿宋_GB2312" w:hAnsi="仿宋_GB2312" w:cs="仿宋_GB2312" w:eastAsia="仿宋_GB2312"/>
                      <w:sz w:val="20"/>
                    </w:rPr>
                    <w:t xml:space="preserve">LP7m）：≤100dB（A）                                       </w:t>
                  </w:r>
                </w:p>
                <w:p>
                  <w:pPr>
                    <w:pStyle w:val="null3"/>
                    <w:jc w:val="left"/>
                  </w:pPr>
                  <w:r>
                    <w:rPr>
                      <w:rFonts w:ascii="仿宋_GB2312" w:hAnsi="仿宋_GB2312" w:cs="仿宋_GB2312" w:eastAsia="仿宋_GB2312"/>
                      <w:sz w:val="20"/>
                    </w:rPr>
                    <w:t>12.</w:t>
                  </w:r>
                  <w:r>
                    <w:rPr>
                      <w:rFonts w:ascii="仿宋_GB2312" w:hAnsi="仿宋_GB2312" w:cs="仿宋_GB2312" w:eastAsia="仿宋_GB2312"/>
                      <w:sz w:val="20"/>
                    </w:rPr>
                    <w:t>整机重量：</w:t>
                  </w:r>
                  <w:r>
                    <w:rPr>
                      <w:rFonts w:ascii="仿宋_GB2312" w:hAnsi="仿宋_GB2312" w:cs="仿宋_GB2312" w:eastAsia="仿宋_GB2312"/>
                      <w:sz w:val="20"/>
                    </w:rPr>
                    <w:t>≤4000kg</w:t>
                  </w:r>
                </w:p>
              </w:tc>
            </w:tr>
            <w:tr>
              <w:tc>
                <w:tcPr>
                  <w:tcW w:type="dxa" w:w="210"/>
                  <w:vMerge/>
                  <w:tcBorders>
                    <w:top w:val="none" w:color="000000" w:sz="4"/>
                    <w:left w:val="single" w:color="000000" w:sz="4"/>
                    <w:bottom w:val="single" w:color="000000" w:sz="4"/>
                    <w:right w:val="single" w:color="000000" w:sz="4"/>
                  </w:tcBorders>
                </w:tcPr>
                <w:p/>
              </w:tc>
              <w:tc>
                <w:tcPr>
                  <w:tcW w:type="dxa" w:w="482"/>
                  <w:vMerge/>
                  <w:tcBorders>
                    <w:top w:val="none" w:color="000000" w:sz="4"/>
                    <w:left w:val="none" w:color="000000" w:sz="4"/>
                    <w:bottom w:val="single" w:color="000000" w:sz="4"/>
                    <w:right w:val="single" w:color="000000" w:sz="4"/>
                  </w:tcBorders>
                </w:tcPr>
                <w:p/>
              </w:tc>
              <w:tc>
                <w:tcPr>
                  <w:tcW w:type="dxa" w:w="219"/>
                  <w:vMerge/>
                  <w:tcBorders>
                    <w:top w:val="none" w:color="000000" w:sz="4"/>
                    <w:left w:val="non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14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排量：</w:t>
                  </w:r>
                  <w:r>
                    <w:rPr>
                      <w:rFonts w:ascii="仿宋_GB2312" w:hAnsi="仿宋_GB2312" w:cs="仿宋_GB2312" w:eastAsia="仿宋_GB2312"/>
                      <w:sz w:val="20"/>
                    </w:rPr>
                    <w:t>≤13L</w:t>
                  </w:r>
                  <w:r>
                    <w:br/>
                  </w:r>
                  <w:r>
                    <w:rPr>
                      <w:rFonts w:ascii="仿宋_GB2312" w:hAnsi="仿宋_GB2312" w:cs="仿宋_GB2312" w:eastAsia="仿宋_GB2312"/>
                      <w:sz w:val="20"/>
                    </w:rPr>
                    <w:t>2.</w:t>
                  </w:r>
                  <w:r>
                    <w:rPr>
                      <w:rFonts w:ascii="仿宋_GB2312" w:hAnsi="仿宋_GB2312" w:cs="仿宋_GB2312" w:eastAsia="仿宋_GB2312"/>
                      <w:sz w:val="20"/>
                    </w:rPr>
                    <w:t>冷却方式：水循环冷却</w:t>
                  </w:r>
                  <w:r>
                    <w:rPr>
                      <w:rFonts w:ascii="仿宋_GB2312" w:hAnsi="仿宋_GB2312" w:cs="仿宋_GB2312" w:eastAsia="仿宋_GB2312"/>
                      <w:sz w:val="20"/>
                    </w:rPr>
                    <w:t xml:space="preserve">  </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供油方式：直喷</w:t>
                  </w:r>
                  <w:r>
                    <w:br/>
                  </w:r>
                  <w:r>
                    <w:rPr>
                      <w:rFonts w:ascii="仿宋_GB2312" w:hAnsi="仿宋_GB2312" w:cs="仿宋_GB2312" w:eastAsia="仿宋_GB2312"/>
                      <w:sz w:val="20"/>
                    </w:rPr>
                    <w:t>4.</w:t>
                  </w:r>
                  <w:r>
                    <w:rPr>
                      <w:rFonts w:ascii="仿宋_GB2312" w:hAnsi="仿宋_GB2312" w:cs="仿宋_GB2312" w:eastAsia="仿宋_GB2312"/>
                      <w:sz w:val="20"/>
                    </w:rPr>
                    <w:t>气缸数</w:t>
                  </w:r>
                  <w:r>
                    <w:rPr>
                      <w:rFonts w:ascii="仿宋_GB2312" w:hAnsi="仿宋_GB2312" w:cs="仿宋_GB2312" w:eastAsia="仿宋_GB2312"/>
                      <w:sz w:val="20"/>
                    </w:rPr>
                    <w:t xml:space="preserve">/缸体结构：6/L型                                            </w:t>
                  </w:r>
                  <w:r>
                    <w:br/>
                  </w:r>
                  <w:r>
                    <w:rPr>
                      <w:rFonts w:ascii="仿宋_GB2312" w:hAnsi="仿宋_GB2312" w:cs="仿宋_GB2312" w:eastAsia="仿宋_GB2312"/>
                      <w:sz w:val="20"/>
                    </w:rPr>
                    <w:t>5.</w:t>
                  </w:r>
                  <w:r>
                    <w:rPr>
                      <w:rFonts w:ascii="仿宋_GB2312" w:hAnsi="仿宋_GB2312" w:cs="仿宋_GB2312" w:eastAsia="仿宋_GB2312"/>
                      <w:sz w:val="20"/>
                    </w:rPr>
                    <w:t>压缩比：</w:t>
                  </w:r>
                  <w:r>
                    <w:rPr>
                      <w:rFonts w:ascii="仿宋_GB2312" w:hAnsi="仿宋_GB2312" w:cs="仿宋_GB2312" w:eastAsia="仿宋_GB2312"/>
                      <w:sz w:val="20"/>
                    </w:rPr>
                    <w:t xml:space="preserve">16:1-18:1 </w:t>
                  </w:r>
                  <w:r>
                    <w:rPr>
                      <w:rFonts w:ascii="仿宋_GB2312" w:hAnsi="仿宋_GB2312" w:cs="仿宋_GB2312" w:eastAsia="仿宋_GB2312"/>
                      <w:sz w:val="20"/>
                    </w:rPr>
                    <w:t>6.</w:t>
                  </w:r>
                  <w:r>
                    <w:rPr>
                      <w:rFonts w:ascii="仿宋_GB2312" w:hAnsi="仿宋_GB2312" w:cs="仿宋_GB2312" w:eastAsia="仿宋_GB2312"/>
                      <w:sz w:val="20"/>
                    </w:rPr>
                    <w:t>怠速转速：</w:t>
                  </w:r>
                  <w:r>
                    <w:rPr>
                      <w:rFonts w:ascii="仿宋_GB2312" w:hAnsi="仿宋_GB2312" w:cs="仿宋_GB2312" w:eastAsia="仿宋_GB2312"/>
                      <w:sz w:val="20"/>
                    </w:rPr>
                    <w:t>750±50r/min</w:t>
                  </w:r>
                  <w:r>
                    <w:br/>
                  </w:r>
                  <w:r>
                    <w:rPr>
                      <w:rFonts w:ascii="仿宋_GB2312" w:hAnsi="仿宋_GB2312" w:cs="仿宋_GB2312" w:eastAsia="仿宋_GB2312"/>
                      <w:sz w:val="20"/>
                    </w:rPr>
                    <w:t>7.</w:t>
                  </w:r>
                  <w:r>
                    <w:rPr>
                      <w:rFonts w:ascii="仿宋_GB2312" w:hAnsi="仿宋_GB2312" w:cs="仿宋_GB2312" w:eastAsia="仿宋_GB2312"/>
                      <w:sz w:val="20"/>
                    </w:rPr>
                    <w:t>进气方式：涡轮增压</w:t>
                  </w:r>
                  <w:r>
                    <w:rPr>
                      <w:rFonts w:ascii="仿宋_GB2312" w:hAnsi="仿宋_GB2312" w:cs="仿宋_GB2312" w:eastAsia="仿宋_GB2312"/>
                      <w:sz w:val="20"/>
                    </w:rPr>
                    <w:t xml:space="preserve">      </w:t>
                  </w:r>
                </w:p>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启动电机规格：</w:t>
                  </w:r>
                  <w:r>
                    <w:rPr>
                      <w:rFonts w:ascii="仿宋_GB2312" w:hAnsi="仿宋_GB2312" w:cs="仿宋_GB2312" w:eastAsia="仿宋_GB2312"/>
                      <w:sz w:val="20"/>
                    </w:rPr>
                    <w:t>24V 5.5KW直流启动马达</w:t>
                  </w:r>
                  <w:r>
                    <w:rPr>
                      <w:rFonts w:ascii="仿宋_GB2312" w:hAnsi="仿宋_GB2312" w:cs="仿宋_GB2312" w:eastAsia="仿宋_GB2312"/>
                      <w:sz w:val="20"/>
                    </w:rPr>
                    <w:t>。</w:t>
                  </w:r>
                </w:p>
              </w:tc>
            </w:tr>
            <w:tr>
              <w:tc>
                <w:tcPr>
                  <w:tcW w:type="dxa" w:w="2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11</w:t>
                  </w:r>
                </w:p>
              </w:tc>
              <w:tc>
                <w:tcPr>
                  <w:tcW w:type="dxa" w:w="4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移动微型消防车</w:t>
                  </w:r>
                </w:p>
              </w:tc>
              <w:tc>
                <w:tcPr>
                  <w:tcW w:type="dxa" w:w="2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台</w:t>
                  </w:r>
                </w:p>
              </w:tc>
              <w:tc>
                <w:tcPr>
                  <w:tcW w:type="dxa" w:w="1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2</w:t>
                  </w:r>
                </w:p>
              </w:tc>
              <w:tc>
                <w:tcPr>
                  <w:tcW w:type="dxa" w:w="14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整车尺寸</w:t>
                  </w:r>
                  <w:r>
                    <w:rPr>
                      <w:rFonts w:ascii="仿宋_GB2312" w:hAnsi="仿宋_GB2312" w:cs="仿宋_GB2312" w:eastAsia="仿宋_GB2312"/>
                      <w:sz w:val="20"/>
                    </w:rPr>
                    <w:t>/</w:t>
                  </w:r>
                  <w:r>
                    <w:rPr>
                      <w:rFonts w:ascii="仿宋_GB2312" w:hAnsi="仿宋_GB2312" w:cs="仿宋_GB2312" w:eastAsia="仿宋_GB2312"/>
                      <w:sz w:val="20"/>
                    </w:rPr>
                    <w:t>m</w:t>
                  </w:r>
                  <w:r>
                    <w:rPr>
                      <w:rFonts w:ascii="仿宋_GB2312" w:hAnsi="仿宋_GB2312" w:cs="仿宋_GB2312" w:eastAsia="仿宋_GB2312"/>
                      <w:sz w:val="20"/>
                    </w:rPr>
                    <w:t>：</w:t>
                  </w:r>
                  <w:r>
                    <w:rPr>
                      <w:rFonts w:ascii="仿宋_GB2312" w:hAnsi="仿宋_GB2312" w:cs="仿宋_GB2312" w:eastAsia="仿宋_GB2312"/>
                      <w:sz w:val="20"/>
                    </w:rPr>
                    <w:t>长</w:t>
                  </w:r>
                  <w:r>
                    <w:rPr>
                      <w:rFonts w:ascii="仿宋_GB2312" w:hAnsi="仿宋_GB2312" w:cs="仿宋_GB2312" w:eastAsia="仿宋_GB2312"/>
                      <w:sz w:val="20"/>
                    </w:rPr>
                    <w:t>4</w:t>
                  </w:r>
                  <w:r>
                    <w:rPr>
                      <w:rFonts w:ascii="仿宋_GB2312" w:hAnsi="仿宋_GB2312" w:cs="仿宋_GB2312" w:eastAsia="仿宋_GB2312"/>
                      <w:sz w:val="20"/>
                    </w:rPr>
                    <w:t>m±200mm，宽</w:t>
                  </w:r>
                  <w:r>
                    <w:rPr>
                      <w:rFonts w:ascii="仿宋_GB2312" w:hAnsi="仿宋_GB2312" w:cs="仿宋_GB2312" w:eastAsia="仿宋_GB2312"/>
                      <w:sz w:val="20"/>
                    </w:rPr>
                    <w:t>1.4</w:t>
                  </w:r>
                  <w:r>
                    <w:rPr>
                      <w:rFonts w:ascii="仿宋_GB2312" w:hAnsi="仿宋_GB2312" w:cs="仿宋_GB2312" w:eastAsia="仿宋_GB2312"/>
                      <w:sz w:val="20"/>
                    </w:rPr>
                    <w:t>m±200mm，高（</w:t>
                  </w:r>
                  <w:r>
                    <w:rPr>
                      <w:rFonts w:ascii="仿宋_GB2312" w:hAnsi="仿宋_GB2312" w:cs="仿宋_GB2312" w:eastAsia="仿宋_GB2312"/>
                      <w:sz w:val="20"/>
                    </w:rPr>
                    <w:t>含</w:t>
                  </w:r>
                  <w:r>
                    <w:rPr>
                      <w:rFonts w:ascii="仿宋_GB2312" w:hAnsi="仿宋_GB2312" w:cs="仿宋_GB2312" w:eastAsia="仿宋_GB2312"/>
                      <w:sz w:val="20"/>
                    </w:rPr>
                    <w:t>2.</w:t>
                  </w:r>
                  <w:r>
                    <w:rPr>
                      <w:rFonts w:ascii="仿宋_GB2312" w:hAnsi="仿宋_GB2312" w:cs="仿宋_GB2312" w:eastAsia="仿宋_GB2312"/>
                      <w:sz w:val="20"/>
                    </w:rPr>
                    <w:t>高水炮</w:t>
                  </w: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m±200mm</w:t>
                  </w:r>
                  <w:r>
                    <w:rPr>
                      <w:rFonts w:ascii="仿宋_GB2312" w:hAnsi="仿宋_GB2312" w:cs="仿宋_GB2312" w:eastAsia="仿宋_GB2312"/>
                      <w:sz w:val="20"/>
                    </w:rPr>
                    <w:t>；</w:t>
                  </w:r>
                  <w:r>
                    <w:br/>
                  </w:r>
                  <w:r>
                    <w:rPr>
                      <w:rFonts w:ascii="仿宋_GB2312" w:hAnsi="仿宋_GB2312" w:cs="仿宋_GB2312" w:eastAsia="仿宋_GB2312"/>
                      <w:sz w:val="20"/>
                    </w:rPr>
                    <w:t>3.</w:t>
                  </w:r>
                  <w:r>
                    <w:rPr>
                      <w:rFonts w:ascii="仿宋_GB2312" w:hAnsi="仿宋_GB2312" w:cs="仿宋_GB2312" w:eastAsia="仿宋_GB2312"/>
                      <w:sz w:val="20"/>
                    </w:rPr>
                    <w:t>驱动电机：</w:t>
                  </w:r>
                  <w:r>
                    <w:rPr>
                      <w:rFonts w:ascii="仿宋_GB2312" w:hAnsi="仿宋_GB2312" w:cs="仿宋_GB2312" w:eastAsia="仿宋_GB2312"/>
                      <w:sz w:val="20"/>
                    </w:rPr>
                    <w:t>≥3K</w:t>
                  </w:r>
                  <w:r>
                    <w:rPr>
                      <w:rFonts w:ascii="仿宋_GB2312" w:hAnsi="仿宋_GB2312" w:cs="仿宋_GB2312" w:eastAsia="仿宋_GB2312"/>
                      <w:sz w:val="20"/>
                    </w:rPr>
                    <w:t>w</w:t>
                  </w:r>
                  <w:r>
                    <w:rPr>
                      <w:rFonts w:ascii="仿宋_GB2312" w:hAnsi="仿宋_GB2312" w:cs="仿宋_GB2312" w:eastAsia="仿宋_GB2312"/>
                      <w:sz w:val="20"/>
                    </w:rPr>
                    <w:t>；</w:t>
                  </w:r>
                  <w:r>
                    <w:br/>
                  </w:r>
                  <w:r>
                    <w:rPr>
                      <w:rFonts w:ascii="仿宋_GB2312" w:hAnsi="仿宋_GB2312" w:cs="仿宋_GB2312" w:eastAsia="仿宋_GB2312"/>
                      <w:sz w:val="20"/>
                    </w:rPr>
                    <w:t>4.</w:t>
                  </w:r>
                  <w:r>
                    <w:rPr>
                      <w:rFonts w:ascii="仿宋_GB2312" w:hAnsi="仿宋_GB2312" w:cs="仿宋_GB2312" w:eastAsia="仿宋_GB2312"/>
                      <w:sz w:val="20"/>
                    </w:rPr>
                    <w:t>电池电源：</w:t>
                  </w:r>
                  <w:r>
                    <w:rPr>
                      <w:rFonts w:ascii="仿宋_GB2312" w:hAnsi="仿宋_GB2312" w:cs="仿宋_GB2312" w:eastAsia="仿宋_GB2312"/>
                      <w:sz w:val="20"/>
                    </w:rPr>
                    <w:t>≥60V70A；</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▲水箱容积：≥1.2</w:t>
                  </w:r>
                  <w:r>
                    <w:rPr>
                      <w:rFonts w:ascii="仿宋_GB2312" w:hAnsi="仿宋_GB2312" w:cs="仿宋_GB2312" w:eastAsia="仿宋_GB2312"/>
                      <w:sz w:val="20"/>
                    </w:rPr>
                    <w:t>m³</w:t>
                  </w:r>
                  <w:r>
                    <w:rPr>
                      <w:rFonts w:ascii="仿宋_GB2312" w:hAnsi="仿宋_GB2312" w:cs="仿宋_GB2312" w:eastAsia="仿宋_GB2312"/>
                      <w:sz w:val="20"/>
                    </w:rPr>
                    <w:t>；</w:t>
                  </w:r>
                  <w:r>
                    <w:br/>
                  </w:r>
                  <w:r>
                    <w:rPr>
                      <w:rFonts w:ascii="仿宋_GB2312" w:hAnsi="仿宋_GB2312" w:cs="仿宋_GB2312" w:eastAsia="仿宋_GB2312"/>
                      <w:sz w:val="20"/>
                    </w:rPr>
                    <w:t>6.</w:t>
                  </w:r>
                  <w:r>
                    <w:rPr>
                      <w:rFonts w:ascii="仿宋_GB2312" w:hAnsi="仿宋_GB2312" w:cs="仿宋_GB2312" w:eastAsia="仿宋_GB2312"/>
                      <w:sz w:val="20"/>
                    </w:rPr>
                    <w:t>爬坡能力：</w:t>
                  </w:r>
                  <w:r>
                    <w:rPr>
                      <w:rFonts w:ascii="仿宋_GB2312" w:hAnsi="仿宋_GB2312" w:cs="仿宋_GB2312" w:eastAsia="仿宋_GB2312"/>
                      <w:sz w:val="20"/>
                    </w:rPr>
                    <w:t>≥15°；</w:t>
                  </w:r>
                  <w:r>
                    <w:br/>
                  </w:r>
                  <w:r>
                    <w:rPr>
                      <w:rFonts w:ascii="仿宋_GB2312" w:hAnsi="仿宋_GB2312" w:cs="仿宋_GB2312" w:eastAsia="仿宋_GB2312"/>
                      <w:sz w:val="20"/>
                    </w:rPr>
                    <w:t>7.</w:t>
                  </w:r>
                  <w:r>
                    <w:rPr>
                      <w:rFonts w:ascii="仿宋_GB2312" w:hAnsi="仿宋_GB2312" w:cs="仿宋_GB2312" w:eastAsia="仿宋_GB2312"/>
                      <w:sz w:val="20"/>
                    </w:rPr>
                    <w:t>灯光及信号：</w:t>
                  </w:r>
                  <w:r>
                    <w:rPr>
                      <w:rFonts w:ascii="仿宋_GB2312" w:hAnsi="仿宋_GB2312" w:cs="仿宋_GB2312" w:eastAsia="仿宋_GB2312"/>
                      <w:sz w:val="20"/>
                    </w:rPr>
                    <w:t xml:space="preserve">LED行车灯、远近光、液晶仪表、电喇叭、倒车蜂鸣器、应急警示灯，喊话器等；   </w:t>
                  </w:r>
                </w:p>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水泵：双叶轮离心泵；</w:t>
                  </w:r>
                  <w:r>
                    <w:rPr>
                      <w:rFonts w:ascii="仿宋_GB2312" w:hAnsi="仿宋_GB2312" w:cs="仿宋_GB2312" w:eastAsia="仿宋_GB2312"/>
                      <w:sz w:val="20"/>
                    </w:rPr>
                    <w:t xml:space="preserve">                                             </w:t>
                  </w:r>
                </w:p>
                <w:p>
                  <w:pPr>
                    <w:pStyle w:val="null3"/>
                    <w:jc w:val="left"/>
                  </w:pPr>
                  <w:r>
                    <w:rPr>
                      <w:rFonts w:ascii="仿宋_GB2312" w:hAnsi="仿宋_GB2312" w:cs="仿宋_GB2312" w:eastAsia="仿宋_GB2312"/>
                      <w:sz w:val="20"/>
                    </w:rPr>
                    <w:t>9.</w:t>
                  </w:r>
                  <w:r>
                    <w:rPr>
                      <w:rFonts w:ascii="仿宋_GB2312" w:hAnsi="仿宋_GB2312" w:cs="仿宋_GB2312" w:eastAsia="仿宋_GB2312"/>
                      <w:sz w:val="20"/>
                    </w:rPr>
                    <w:t>流量：</w:t>
                  </w:r>
                  <w:r>
                    <w:rPr>
                      <w:rFonts w:ascii="仿宋_GB2312" w:hAnsi="仿宋_GB2312" w:cs="仿宋_GB2312" w:eastAsia="仿宋_GB2312"/>
                      <w:sz w:val="20"/>
                    </w:rPr>
                    <w:t xml:space="preserve">≥30T/h </w:t>
                  </w:r>
                </w:p>
                <w:p>
                  <w:pPr>
                    <w:pStyle w:val="null3"/>
                    <w:jc w:val="left"/>
                  </w:pPr>
                  <w:r>
                    <w:rPr>
                      <w:rFonts w:ascii="仿宋_GB2312" w:hAnsi="仿宋_GB2312" w:cs="仿宋_GB2312" w:eastAsia="仿宋_GB2312"/>
                      <w:sz w:val="20"/>
                    </w:rPr>
                    <w:t>10.</w:t>
                  </w:r>
                  <w:r>
                    <w:rPr>
                      <w:rFonts w:ascii="仿宋_GB2312" w:hAnsi="仿宋_GB2312" w:cs="仿宋_GB2312" w:eastAsia="仿宋_GB2312"/>
                      <w:sz w:val="20"/>
                    </w:rPr>
                    <w:t>扬程：</w:t>
                  </w:r>
                  <w:r>
                    <w:rPr>
                      <w:rFonts w:ascii="仿宋_GB2312" w:hAnsi="仿宋_GB2312" w:cs="仿宋_GB2312" w:eastAsia="仿宋_GB2312"/>
                      <w:sz w:val="20"/>
                    </w:rPr>
                    <w:t xml:space="preserve">20-25m  吸水口：≥50mm  出水口：≥50mm ； </w:t>
                  </w:r>
                </w:p>
                <w:p>
                  <w:pPr>
                    <w:pStyle w:val="null3"/>
                    <w:jc w:val="left"/>
                  </w:pPr>
                  <w:r>
                    <w:rPr>
                      <w:rFonts w:ascii="仿宋_GB2312" w:hAnsi="仿宋_GB2312" w:cs="仿宋_GB2312" w:eastAsia="仿宋_GB2312"/>
                      <w:sz w:val="20"/>
                    </w:rPr>
                    <w:t>11.</w:t>
                  </w:r>
                  <w:r>
                    <w:rPr>
                      <w:rFonts w:ascii="仿宋_GB2312" w:hAnsi="仿宋_GB2312" w:cs="仿宋_GB2312" w:eastAsia="仿宋_GB2312"/>
                      <w:sz w:val="20"/>
                    </w:rPr>
                    <w:t>高压水炮：水平</w:t>
                  </w:r>
                  <w:r>
                    <w:rPr>
                      <w:rFonts w:ascii="仿宋_GB2312" w:hAnsi="仿宋_GB2312" w:cs="仿宋_GB2312" w:eastAsia="仿宋_GB2312"/>
                      <w:sz w:val="20"/>
                    </w:rPr>
                    <w:t xml:space="preserve">360°上下180°无阻力调节；                            </w:t>
                  </w:r>
                </w:p>
                <w:p>
                  <w:pPr>
                    <w:pStyle w:val="null3"/>
                    <w:jc w:val="left"/>
                  </w:pPr>
                  <w:r>
                    <w:rPr>
                      <w:rFonts w:ascii="仿宋_GB2312" w:hAnsi="仿宋_GB2312" w:cs="仿宋_GB2312" w:eastAsia="仿宋_GB2312"/>
                      <w:sz w:val="20"/>
                    </w:rPr>
                    <w:t>12.</w:t>
                  </w:r>
                  <w:r>
                    <w:rPr>
                      <w:rFonts w:ascii="仿宋_GB2312" w:hAnsi="仿宋_GB2312" w:cs="仿宋_GB2312" w:eastAsia="仿宋_GB2312"/>
                      <w:sz w:val="20"/>
                    </w:rPr>
                    <w:t>高压水炮射程：</w:t>
                  </w:r>
                  <w:r>
                    <w:rPr>
                      <w:rFonts w:ascii="仿宋_GB2312" w:hAnsi="仿宋_GB2312" w:cs="仿宋_GB2312" w:eastAsia="仿宋_GB2312"/>
                      <w:sz w:val="20"/>
                    </w:rPr>
                    <w:t>≥20m；</w:t>
                  </w:r>
                  <w:r>
                    <w:br/>
                  </w:r>
                  <w:r>
                    <w:rPr>
                      <w:rFonts w:ascii="仿宋_GB2312" w:hAnsi="仿宋_GB2312" w:cs="仿宋_GB2312" w:eastAsia="仿宋_GB2312"/>
                      <w:sz w:val="20"/>
                    </w:rPr>
                    <w:t>13.</w:t>
                  </w:r>
                  <w:r>
                    <w:rPr>
                      <w:rFonts w:ascii="仿宋_GB2312" w:hAnsi="仿宋_GB2312" w:cs="仿宋_GB2312" w:eastAsia="仿宋_GB2312"/>
                      <w:sz w:val="20"/>
                    </w:rPr>
                    <w:t>消防水带：</w:t>
                  </w:r>
                  <w:r>
                    <w:rPr>
                      <w:rFonts w:ascii="仿宋_GB2312" w:hAnsi="仿宋_GB2312" w:cs="仿宋_GB2312" w:eastAsia="仿宋_GB2312"/>
                      <w:sz w:val="20"/>
                    </w:rPr>
                    <w:t>≥20mφ50衬胶水带；</w:t>
                  </w:r>
                </w:p>
              </w:tc>
            </w:tr>
            <w:tr>
              <w:tc>
                <w:tcPr>
                  <w:tcW w:type="dxa" w:w="2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12</w:t>
                  </w:r>
                </w:p>
              </w:tc>
              <w:tc>
                <w:tcPr>
                  <w:tcW w:type="dxa" w:w="4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灭火器</w:t>
                  </w:r>
                </w:p>
              </w:tc>
              <w:tc>
                <w:tcPr>
                  <w:tcW w:type="dxa" w:w="2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具</w:t>
                  </w:r>
                </w:p>
              </w:tc>
              <w:tc>
                <w:tcPr>
                  <w:tcW w:type="dxa" w:w="1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300</w:t>
                  </w:r>
                </w:p>
              </w:tc>
              <w:tc>
                <w:tcPr>
                  <w:tcW w:type="dxa" w:w="14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5kg,灭火级别：3A，89B，C，E，符合国标GB 4351标准，具有3C消防认证</w:t>
                  </w:r>
                </w:p>
              </w:tc>
            </w:tr>
            <w:tr>
              <w:tc>
                <w:tcPr>
                  <w:tcW w:type="dxa" w:w="2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13</w:t>
                  </w:r>
                </w:p>
              </w:tc>
              <w:tc>
                <w:tcPr>
                  <w:tcW w:type="dxa" w:w="4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灭火毯</w:t>
                  </w:r>
                </w:p>
              </w:tc>
              <w:tc>
                <w:tcPr>
                  <w:tcW w:type="dxa" w:w="2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套</w:t>
                  </w:r>
                </w:p>
              </w:tc>
              <w:tc>
                <w:tcPr>
                  <w:tcW w:type="dxa" w:w="1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100</w:t>
                  </w:r>
                </w:p>
              </w:tc>
              <w:tc>
                <w:tcPr>
                  <w:tcW w:type="dxa" w:w="14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用途：防护逃生；</w:t>
                  </w:r>
                  <w:r>
                    <w:rPr>
                      <w:rFonts w:ascii="仿宋_GB2312" w:hAnsi="仿宋_GB2312" w:cs="仿宋_GB2312" w:eastAsia="仿宋_GB2312"/>
                      <w:sz w:val="20"/>
                    </w:rPr>
                    <w:t xml:space="preserve">                                                 </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材质：玻璃纤维</w:t>
                  </w:r>
                  <w:r>
                    <w:rPr>
                      <w:rFonts w:ascii="仿宋_GB2312" w:hAnsi="仿宋_GB2312" w:cs="仿宋_GB2312" w:eastAsia="仿宋_GB2312"/>
                      <w:sz w:val="20"/>
                    </w:rPr>
                    <w:t xml:space="preserve">+硅胶涂层；                                         </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规格：</w:t>
                  </w:r>
                  <w:r>
                    <w:rPr>
                      <w:rFonts w:ascii="仿宋_GB2312" w:hAnsi="仿宋_GB2312" w:cs="仿宋_GB2312" w:eastAsia="仿宋_GB2312"/>
                      <w:sz w:val="20"/>
                    </w:rPr>
                    <w:t xml:space="preserve">1.8m*1.8m </w:t>
                  </w:r>
                </w:p>
                <w:p>
                  <w:pPr>
                    <w:pStyle w:val="null3"/>
                    <w:jc w:val="left"/>
                  </w:pPr>
                  <w:r>
                    <w:rPr>
                      <w:rFonts w:ascii="仿宋_GB2312" w:hAnsi="仿宋_GB2312" w:cs="仿宋_GB2312" w:eastAsia="仿宋_GB2312"/>
                      <w:sz w:val="20"/>
                    </w:rPr>
                    <w:t xml:space="preserve"> </w:t>
                  </w:r>
                  <w:r>
                    <w:rPr>
                      <w:rFonts w:ascii="仿宋_GB2312" w:hAnsi="仿宋_GB2312" w:cs="仿宋_GB2312" w:eastAsia="仿宋_GB2312"/>
                      <w:sz w:val="20"/>
                    </w:rPr>
                    <w:t>4.</w:t>
                  </w:r>
                  <w:r>
                    <w:rPr>
                      <w:rFonts w:ascii="仿宋_GB2312" w:hAnsi="仿宋_GB2312" w:cs="仿宋_GB2312" w:eastAsia="仿宋_GB2312"/>
                      <w:sz w:val="20"/>
                    </w:rPr>
                    <w:t>性能：绝缘、隔热、阻燃</w:t>
                  </w:r>
                </w:p>
              </w:tc>
            </w:tr>
            <w:tr>
              <w:tc>
                <w:tcPr>
                  <w:tcW w:type="dxa" w:w="2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14</w:t>
                  </w:r>
                </w:p>
              </w:tc>
              <w:tc>
                <w:tcPr>
                  <w:tcW w:type="dxa" w:w="4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防烟面罩</w:t>
                  </w:r>
                </w:p>
              </w:tc>
              <w:tc>
                <w:tcPr>
                  <w:tcW w:type="dxa" w:w="2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套</w:t>
                  </w:r>
                </w:p>
              </w:tc>
              <w:tc>
                <w:tcPr>
                  <w:tcW w:type="dxa" w:w="1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100</w:t>
                  </w:r>
                </w:p>
              </w:tc>
              <w:tc>
                <w:tcPr>
                  <w:tcW w:type="dxa" w:w="14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呼吸阻力：</w:t>
                  </w:r>
                  <w:r>
                    <w:rPr>
                      <w:rFonts w:ascii="仿宋_GB2312" w:hAnsi="仿宋_GB2312" w:cs="仿宋_GB2312" w:eastAsia="仿宋_GB2312"/>
                      <w:sz w:val="20"/>
                    </w:rPr>
                    <w:t xml:space="preserve">&lt;800pa； </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滤烟效率：</w:t>
                  </w:r>
                  <w:r>
                    <w:rPr>
                      <w:rFonts w:ascii="仿宋_GB2312" w:hAnsi="仿宋_GB2312" w:cs="仿宋_GB2312" w:eastAsia="仿宋_GB2312"/>
                      <w:sz w:val="20"/>
                    </w:rPr>
                    <w:t xml:space="preserve">≥95%；        </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防护对象：一氧化碳、烟气等有害气体；</w:t>
                  </w:r>
                  <w:r>
                    <w:rPr>
                      <w:rFonts w:ascii="仿宋_GB2312" w:hAnsi="仿宋_GB2312" w:cs="仿宋_GB2312" w:eastAsia="仿宋_GB2312"/>
                      <w:sz w:val="20"/>
                    </w:rPr>
                    <w:t xml:space="preserve">                              </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防烟时间：</w:t>
                  </w:r>
                  <w:r>
                    <w:rPr>
                      <w:rFonts w:ascii="仿宋_GB2312" w:hAnsi="仿宋_GB2312" w:cs="仿宋_GB2312" w:eastAsia="仿宋_GB2312"/>
                      <w:sz w:val="20"/>
                    </w:rPr>
                    <w:t>≥25</w:t>
                  </w:r>
                  <w:r>
                    <w:rPr>
                      <w:rFonts w:ascii="仿宋_GB2312" w:hAnsi="仿宋_GB2312" w:cs="仿宋_GB2312" w:eastAsia="仿宋_GB2312"/>
                      <w:sz w:val="20"/>
                    </w:rPr>
                    <w:t>min</w:t>
                  </w:r>
                  <w:r>
                    <w:rPr>
                      <w:rFonts w:ascii="仿宋_GB2312" w:hAnsi="仿宋_GB2312" w:cs="仿宋_GB2312" w:eastAsia="仿宋_GB2312"/>
                      <w:sz w:val="20"/>
                    </w:rPr>
                    <w:t>，防烟、防火、防热辐射，适用于各种面形，要求密封性好。</w:t>
                  </w:r>
                </w:p>
              </w:tc>
            </w:tr>
            <w:tr>
              <w:tc>
                <w:tcPr>
                  <w:tcW w:type="dxa" w:w="2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15</w:t>
                  </w:r>
                </w:p>
              </w:tc>
              <w:tc>
                <w:tcPr>
                  <w:tcW w:type="dxa" w:w="4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干粉自动灭火器（悬挂）</w:t>
                  </w:r>
                </w:p>
              </w:tc>
              <w:tc>
                <w:tcPr>
                  <w:tcW w:type="dxa" w:w="2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具</w:t>
                  </w:r>
                </w:p>
              </w:tc>
              <w:tc>
                <w:tcPr>
                  <w:tcW w:type="dxa" w:w="1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40</w:t>
                  </w:r>
                </w:p>
              </w:tc>
              <w:tc>
                <w:tcPr>
                  <w:tcW w:type="dxa" w:w="14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灭火类型：</w:t>
                  </w:r>
                  <w:r>
                    <w:rPr>
                      <w:rFonts w:ascii="仿宋_GB2312" w:hAnsi="仿宋_GB2312" w:cs="仿宋_GB2312" w:eastAsia="仿宋_GB2312"/>
                      <w:sz w:val="20"/>
                    </w:rPr>
                    <w:t>A类 B类 C类 E类；超细干粉悬挂式灭火装置6kg感温，3C消防认证，工作压力：1.2MPa；</w:t>
                  </w:r>
                </w:p>
              </w:tc>
            </w:tr>
            <w:tr>
              <w:tc>
                <w:tcPr>
                  <w:tcW w:type="dxa" w:w="2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16</w:t>
                  </w:r>
                </w:p>
              </w:tc>
              <w:tc>
                <w:tcPr>
                  <w:tcW w:type="dxa" w:w="4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消防专用器材柜</w:t>
                  </w:r>
                </w:p>
              </w:tc>
              <w:tc>
                <w:tcPr>
                  <w:tcW w:type="dxa" w:w="2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套</w:t>
                  </w:r>
                </w:p>
              </w:tc>
              <w:tc>
                <w:tcPr>
                  <w:tcW w:type="dxa" w:w="1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4</w:t>
                  </w:r>
                </w:p>
              </w:tc>
              <w:tc>
                <w:tcPr>
                  <w:tcW w:type="dxa" w:w="14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1.尺寸：长850mm*宽400mm*高1800mm</w:t>
                  </w:r>
                </w:p>
                <w:p>
                  <w:pPr>
                    <w:pStyle w:val="null3"/>
                    <w:jc w:val="left"/>
                  </w:pPr>
                  <w:r>
                    <w:rPr>
                      <w:rFonts w:ascii="仿宋_GB2312" w:hAnsi="仿宋_GB2312" w:cs="仿宋_GB2312" w:eastAsia="仿宋_GB2312"/>
                      <w:sz w:val="20"/>
                    </w:rPr>
                    <w:t>2.材质（主体）：加厚钢板</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包括消防战斗服、消防头盔、防护手套、消防靴、防烟面罩</w:t>
                  </w:r>
                  <w:r>
                    <w:rPr>
                      <w:rFonts w:ascii="仿宋_GB2312" w:hAnsi="仿宋_GB2312" w:cs="仿宋_GB2312" w:eastAsia="仿宋_GB2312"/>
                      <w:sz w:val="20"/>
                    </w:rPr>
                    <w:t>（各两套）；</w:t>
                  </w:r>
                  <w:r>
                    <w:rPr>
                      <w:rFonts w:ascii="仿宋_GB2312" w:hAnsi="仿宋_GB2312" w:cs="仿宋_GB2312" w:eastAsia="仿宋_GB2312"/>
                      <w:sz w:val="20"/>
                    </w:rPr>
                    <w:t>对讲机强光手电、安全绳、消防斧、撬棍</w:t>
                  </w:r>
                  <w:r>
                    <w:rPr>
                      <w:rFonts w:ascii="仿宋_GB2312" w:hAnsi="仿宋_GB2312" w:cs="仿宋_GB2312" w:eastAsia="仿宋_GB2312"/>
                      <w:sz w:val="20"/>
                    </w:rPr>
                    <w:t>（各一套）</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标识标牌：微型消防站铭牌、消防器材使用说明牌等</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中标后45天内中标人必须完成供货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预付款，合同签订之日起30日内，投标人持中标通知书、合同、当期付款金额的税务发票，达到付款条件起30个工作日内，支付合同总金额的60.0%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 投标人提交供货清单后一个月内，投标人应持采购人验收意见书、当期付款金额的税务发票，达到付款条件起30个工作日内，支付合同总金额的40.0%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货期结束后，中标人向采购人提交供货验收报告。2.采购人收到验收报告后进行核验，核验时成交人应无条件予以配合并提供核验所需的全部资料，若成交人不配合或者未按合同要求提供服务的，采购人将拒绝验收。3.验收依据：招标文件、投标文件、合同文本、国内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自验收合格之日起1年。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照《中华人民共和国民法典》中的相关条款执行。2.成交人未按合同要求提供货物与服务或货物与服务质量不能满足技术要求，且在规定时间内未使采购人满意的，采购人有权终止合同，同时报请监管部门对其违约行为进行追究。</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 xml:space="preserve"> 一、中标供应商在领取中标通知书时提供纸质版投标文件2套，应通过专用制作软件直接打印，确保与电子投标文件保持 一致，不允许修改和补充。提交地点：西安市未央区西安经济技术开发区凤城十二路首创禧悦里25幢A座16层。二、供应商的投标报价是供应商响应投标项目要求的全部工作内容的价格体现，包括供应商完成本项目所需的直接费、间接费、利润、税金及其它相关的一切费用。包括但不限于：人工费、设备费、管理费、验收费、采购代理服务费、利润和税金等全部费用。在提供服务的过程中的任何遗漏，均由成交供应商免费提供，采购人将不再支付任何费用。三、投标有效期 1、出现特殊情况需要延长投标有效期的，采购代理机构或采购人可于投标有效期满之前，以书面形式通知所有供应商延长投标有效期。供应商应予书面答复，同意延长的，应相应延长其投标保证金有效期，但不得要求或被允许修改其响应文件；供应商拒绝延长的，其响应文件失效，递交投标保证金的，供应商有权收回其投标保证金。 2.在投标有效期内，供应商撤销响应文件的，应承担投标文件和法律规定的责任。 3.中标供应商的投标有效期自动延长至合同终止为止。 四、若出现合格供应商少于3家时，采购人应依法重新组织采购活动。 五、分公司独立参与投标时，不能使用总公司的资质或业绩；总公司单独参与投标时，除总公司所投产品为分公司生产的产品外，不能使用分公司的资质或业绩。总公司授权分公司或分支机构参与投标，可以使用总公司的资质或业绩。 六、恶意质疑、投诉的法律后果 1.对捏造事实、提供虚假材料进行质疑、投诉的行为将予以严肃处理： 《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 2.对捏造事实诬告陷害他人、诽谤他人的法律适用： （1）《中华人民共和国刑法》第243条【诬告陷害罪】捏造事实诬告陷害他人，意图使他人受刑事追究，情节严重的，处三年以下有期徒刑、拘役或者管制；造成严重后果的，处三年以上十年以下有期徒刑。 （2）《中华人民共和国刑法》第246条【侮辱罪、诽谤罪】以暴力或者其他方法公然侮辱他人或者捏造事实诽谤他人，情节严重的，处三年以下有期徒刑、拘役、管制或者剥夺政治权利。 七、签名是指手写签名或者加盖姓名章(含电子签名或电子印章)，盖章是指加盖单位印章。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供应商需在项目电子化交易系统中按要求填写《响应函》完成承诺并进行电子签章。（1）供应商的营业执照等证明文件，自然人的身份证明； (2) 法定代表人（单位负责人）参加投标的，提供本人身份证复印件；法定代表人（单位负责人）授权他人参加投标的，提供法定代表人（单位负责人）委托授权书并出示被授权代表的身份证复印件； （3）供应商2025年5月至今已缴纳任意一个月任意税种纳税凭证或税务机关开具的完税证明（个人所得税除外），依法免税的应提供相关文件证明；（4）供应商2025年5月至今已缴存的任意一个月的社会保障资金缴存单据或社保机构开具的社会保险参保缴费情况证明，依法不需要缴纳社会保障资金的供应商应提供相关文件证明； （5）具有履行合同所必需的设备和专业技术能力的承诺；（6）参加本次采购前3年内，在经营活动中没有重大违法记录的书面声明。注：1、按照《中华人民共和国政府采购法》有关规定，采购代理机构依法对供应商的资格进行审查，并组建资格审查小组。 2、资格审查小组，由1名采购人代表和2名采购代理机构工作人员3人组成，采购代理机构项目经理担任资格审查小组组长。 3、资格审查小组成立后，全体小组成员应当在签到表中签到。</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2024或2025年度经审计的财务会计报告或其提交响应文件截止时间前3个月内基本账户开户银行出具的资信证明。（以上形式的资料提供任何一种即可）要求： （1）供应商是企业法人的，应提供2024或2025全年度经审计的供应商财务报告，包括 “四表一注”即《资产负债表》《利润表》《现金流量表》《所有者权益变动表》及其附注，或者提交响应文件截止时间前3个月内基本账户开户银行出具的资信证明（附基本存款账户信息）； （2）供应商是执行《小企业会计准则》的小微企业的，应提供2024或2025全年度经审计的供应商财务报告，至少包括 《资产负债表》《利润表》《现金流量表》及其附注，或者提交响应文件截止时间前3个月内基本账户开户银行出具的资信证明（附基本存款账户信息）； （3）供应商是执行《事业单位会计准则》的事业单位法人的，应提供2024或2025全年度经审计的供应商财务报告，至少包括《资产负债表》《收入支出表或者收入费用表》《财政补助收入支出表》及其附注，或者提交响应文件截止时间前3个月内基本账户开户银行出具的资信证明（附基本存款账户信息）；（4）部分其他组织和自然人，提供提交响应文件截止时间前3个月内基本账户开户银行出具的资信证明（附账户信息）； （5）供应商是民办非企业单位的，应提供2024或2025全年度经审计的供应商财务报告，包括《资产负债表》《业务活动表》《现金流量表》及其附注或者提交响应文件截止时间前3个月内基本账户开户银行出具的资信证明（附账户信息）；（6）供应商成立不到1年（至提交响应文件截止时间）的，提供成立后任意一个月的资产负债表，或提交响应文件截止时间前3个月内基本账户开户银行出具的资信证明（附基本存款账户信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符合《财政部关于在政府采购活动中查询及使用信用记录有关问题的通知》（财库【2016】125 号）文件中信用查询的要求； 经查询，供应商未被列入“信用中国”网站记录的“失信被执行人”或“重大税收违法案件当事人”名单；不处于“中国政府采购网”记录的“政府采购严重违法失信行为记录名单 ”中的禁止参加政府采购活动期间。</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本项目不接受联合体投标，不允许分包，投标人应提供《非联合体投标不分包投标声明》。</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一、评审中出现下列情形之一的，评标委员会应当启动异常低价投标审查程序： 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2.投标报价低于通过符合性审查的次低报价供应商投标报价50%的，即投标报价&lt;通过符合性审查的次低报价供应商投标报价×50%； 3.投标报价低于采购项目最高限价45%的，即投标报价&lt;采购项目最高限价×45%； 4.评标委员会基于专业判断，认为供应商报价过低，有可能影响产品质量或者不能诚信履约的其他情形。 相关法律法规对供应商报价有规定的，从其规定。 二、评标委员会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评标委员会依据专业经验，参考同类项目中标（成交）价格、类似产品市场价格水平、行业人工费用标准、国家有关部门指导行业协会发布的行业平均成本等情况，对报价合理性进行判断。 三、投标人提交的相关说明和证明材料，应当加盖投标人（法定名称）电子印章，在评标委员会要求的时间内通过项目电子化交易系统进行提交，否则提交的相关证明材料无效。投标供应商不能提供书面说明、证明材料，或者提供的书面说明、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投标分项报价表.docx 投标函 标的清单 投标文件封面 投标人参加政府采购活动承诺书.docx 资格证明文件.docx 技术投标方案.pdf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投标人投标报价没有超出采购预算和最高限价</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投标内容满足招标文件中商务要求或技术实质性要求、不存在漏项或数量与要求不符</w:t>
            </w:r>
          </w:p>
        </w:tc>
        <w:tc>
          <w:tcPr>
            <w:tcW w:type="dxa" w:w="1661"/>
          </w:tcPr>
          <w:p>
            <w:pPr>
              <w:pStyle w:val="null3"/>
            </w:pPr>
            <w:r>
              <w:rPr>
                <w:rFonts w:ascii="仿宋_GB2312" w:hAnsi="仿宋_GB2312" w:cs="仿宋_GB2312" w:eastAsia="仿宋_GB2312"/>
              </w:rPr>
              <w:t>开标一览表 投标函 标的清单 投标文件封面 技术投标方案.pdf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符合“第六章投标文件格式”的要求</w:t>
            </w:r>
          </w:p>
        </w:tc>
        <w:tc>
          <w:tcPr>
            <w:tcW w:type="dxa" w:w="1661"/>
          </w:tcPr>
          <w:p>
            <w:pPr>
              <w:pStyle w:val="null3"/>
            </w:pPr>
            <w:r>
              <w:rPr>
                <w:rFonts w:ascii="仿宋_GB2312" w:hAnsi="仿宋_GB2312" w:cs="仿宋_GB2312" w:eastAsia="仿宋_GB2312"/>
              </w:rPr>
              <w:t>开标一览表 本国产品说明 中小企业声明函 中国境内生产的组件成本核算基本规则 资格证明文件.docx 节能产品、环境标志产品明细表.docx 技术投标方案.pdf 投标分项报价表.docx 投标函 残疾人福利性单位声明函 标的清单 关于符合本国产品标准的声明函 投标文件封面 投标人参加政府采购活动承诺书.docx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投标分项报价表.docx 投标函 本国产品说明 标的清单 关于符合本国产品标准的声明函 投标人参加政府采购活动承诺书.docx 中国境内生产的组件成本核算基本规则 资格证明文件.docx 节能产品、环境标志产品明细表.docx 技术投标方案.pdf</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投标人提供同类合同业绩（至少包含无人机）（2023年1月至今，以合同签订时间为准）每提供一份得2分，满分6分 注：投标人需提供业绩合同证明材料（至少应包含内容关键页、签订日期与签章页），表述不清楚、内容提供不全者或无法认定为有效业绩的不得分。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技术投标方案.pdf</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内容至少包括①项目实施团队配置；②项目质量保障；③安全保障措施；④应急管理措施。评审标准：项目实施方案各部分内容全面详细、阐述条理清晰详尽、符合本项目采购需求得12分，每缺一项内容扣3分，评审内容每有一处瑕疵扣0.5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技术投标方案.pdf</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技术方案中各项设备及软件功能的技术参数响应清晰明确，符合使用要求，技术指标和性能完全响应招标文件要求，满足使用需求，投标产品技术指标完全满足招标技术要求得20分，结合规格、技术参数偏离表的响应证明材料，按招标文件内配置最低要求，带“▲”号指标项每出现1个负偏离扣1分；非“▲”非“★”号指标项每出现1个负偏离，扣0.5分，扣完为止。供应商须按招标文件要求提供带“▲”号指标项的证明材料（包括不限于加盖投标人公章的技术参数说明或产品彩页或检测报告或带网址链接的官网功能截图等技术支持性文件），否则自行承担未提供证明材料导致技术参数被视为负偏离的风险。</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技术投标方案.pdf</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产品供货渠道合法，无假货、水货、翻新货且无产权纠纷，根据投标单位提供产品来源渠道合法证明文件（不限于销售协议、代理协议等资料）： ①来源渠道及证明材料完整齐全，计4分；②来源渠道及证明材料较完整，计2分；③来源渠道及证明材料基本完整，计1分；不提供得0分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技术投标方案.pdf</w:t>
            </w:r>
          </w:p>
        </w:tc>
      </w:tr>
      <w:tr>
        <w:tc>
          <w:tcPr>
            <w:tcW w:type="dxa" w:w="831"/>
            <w:vMerge/>
          </w:tcPr>
          <w:p/>
        </w:tc>
        <w:tc>
          <w:tcPr>
            <w:tcW w:type="dxa" w:w="1661"/>
          </w:tcPr>
          <w:p>
            <w:pPr>
              <w:pStyle w:val="null3"/>
            </w:pPr>
            <w:r>
              <w:rPr>
                <w:rFonts w:ascii="仿宋_GB2312" w:hAnsi="仿宋_GB2312" w:cs="仿宋_GB2312" w:eastAsia="仿宋_GB2312"/>
              </w:rPr>
              <w:t>运输供货方案</w:t>
            </w:r>
          </w:p>
        </w:tc>
        <w:tc>
          <w:tcPr>
            <w:tcW w:type="dxa" w:w="2492"/>
          </w:tcPr>
          <w:p>
            <w:pPr>
              <w:pStyle w:val="null3"/>
            </w:pPr>
            <w:r>
              <w:rPr>
                <w:rFonts w:ascii="仿宋_GB2312" w:hAnsi="仿宋_GB2312" w:cs="仿宋_GB2312" w:eastAsia="仿宋_GB2312"/>
              </w:rPr>
              <w:t>针对本项目提出具体的运输供货方案，方案各部分内容全面详细、阐述条理清晰详尽、符合招标要求。方案内容包含①供货进度计划及时间保障方案；②产品包装运输方案；③供货组织措施（含安装、调试、验收等）等处理方案④运输中遇到的紧急情况；评审标准：上述每项方案内容无缺陷得2分，满分为8分。方案内容每存在1处缺陷：扣0.5分，扣完为止；（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技术投标方案.pdf</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内容至少包括①售后服务方式及售后服务团队配置；②日常故障检修、排除方案及响应时效；③项目回访、检修、保养方案。 评审标准：售后服务方案各部分内容全面详细、阐述条理清晰详尽、符合本项目采购需求得9分，每缺一项内容扣3分，评审内容每有一处瑕疵扣0.5分，扣完为止。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技术投标方案.pdf</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1.提供实物样品：手持式大功率风力灭火机1台、无人机电池1个、长续航无人机1台、变频水泵1台 2.提供视频演示样品：载重无人机，视频演示总时长不超过10分钟，片头须标注“项目名称+供应商名称+演示视频”，演示过程须配有同步语音讲解，讲解内容与操作画面一一对应。(本次功能演示视频存入电子U 盘密封提交，未按规定制作演示视频或现场开启因自身原因导致无法读取的计0分) 评审项：①实用性②功能③主材及辅材质量④技术参数 上述每项内容满足招标文件及技术参数要求无缺陷得0.5分（每个样品2分），内容每存在1处缺陷，扣1分，扣完为止，本项满分为10分。（评标现场需打开包装展示样品，未提供样品的、不得分）。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技术投标方案.pdf</w:t>
            </w:r>
          </w:p>
        </w:tc>
      </w:tr>
      <w:tr>
        <w:tc>
          <w:tcPr>
            <w:tcW w:type="dxa" w:w="831"/>
            <w:vMerge/>
          </w:tcPr>
          <w:p/>
        </w:tc>
        <w:tc>
          <w:tcPr>
            <w:tcW w:type="dxa" w:w="1661"/>
          </w:tcPr>
          <w:p>
            <w:pPr>
              <w:pStyle w:val="null3"/>
            </w:pPr>
            <w:r>
              <w:rPr>
                <w:rFonts w:ascii="仿宋_GB2312" w:hAnsi="仿宋_GB2312" w:cs="仿宋_GB2312" w:eastAsia="仿宋_GB2312"/>
              </w:rPr>
              <w:t>节能</w:t>
            </w:r>
          </w:p>
        </w:tc>
        <w:tc>
          <w:tcPr>
            <w:tcW w:type="dxa" w:w="2492"/>
          </w:tcPr>
          <w:p>
            <w:pPr>
              <w:pStyle w:val="null3"/>
            </w:pPr>
            <w:r>
              <w:rPr>
                <w:rFonts w:ascii="仿宋_GB2312" w:hAnsi="仿宋_GB2312" w:cs="仿宋_GB2312" w:eastAsia="仿宋_GB2312"/>
              </w:rPr>
              <w:t>投标人所投产品属于节能产品优先采购范围（除政府强制采购的节能产品外）：所投产品属于节能产品得1分；评审依据：所投产品具有国家确定的认证机构出具的、处于有效期之内的节能产品认证证书（提供证书扫描件）。注：节能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技术投标方案.pdf</w:t>
            </w:r>
          </w:p>
          <w:p>
            <w:pPr>
              <w:pStyle w:val="null3"/>
            </w:pPr>
            <w:r>
              <w:rPr>
                <w:rFonts w:ascii="仿宋_GB2312" w:hAnsi="仿宋_GB2312" w:cs="仿宋_GB2312" w:eastAsia="仿宋_GB2312"/>
              </w:rPr>
              <w:t>节能产品、环境标志产品明细表.docx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满足招标文件要求且投标价格最低的投标报价为评标基准价，其价格分为满分。其他投标人的价格分统一按照下列公式计算：投标报价得分=（评标基准价/投标报价）×价格权值 （小微企业、监狱企业或残疾人福利性单位用投标报价扣除后的价格参加评审。专门面向中小企业采购的项目不进行价格扣除。）（投标人需对所投产品出具《关于符合本国产品标准的声明函》(样式见附件，以下简称《声明函》)或财政部会同有关部门规定的有关证明文件。货物采购项目，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未达到80%，不享受价格评审优惠）。</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本项目为货物类采购项目，根据《政府采购促进中小企业发展管理办法》[2020]46号文件规定，仅当投标人所投产品的制造商均为小微企业或监狱企业或残疾人福利性单位时可享受价格扣除10%，投标人须如实填写《中小企业声明函》。</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未达到80%，不享受价格评审优惠。</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详见附件：技术投标方案.pdf</w:t>
      </w:r>
    </w:p>
    <w:p>
      <w:pPr>
        <w:pStyle w:val="null3"/>
        <w:ind w:firstLine="960"/>
      </w:pPr>
      <w:r>
        <w:rPr>
          <w:rFonts w:ascii="仿宋_GB2312" w:hAnsi="仿宋_GB2312" w:cs="仿宋_GB2312" w:eastAsia="仿宋_GB2312"/>
        </w:rPr>
        <w:t>详见附件：节能产品、环境标志产品明细表.docx</w:t>
      </w:r>
    </w:p>
    <w:p>
      <w:pPr>
        <w:pStyle w:val="null3"/>
        <w:ind w:firstLine="960"/>
      </w:pPr>
      <w:r>
        <w:rPr>
          <w:rFonts w:ascii="仿宋_GB2312" w:hAnsi="仿宋_GB2312" w:cs="仿宋_GB2312" w:eastAsia="仿宋_GB2312"/>
        </w:rPr>
        <w:t>详见附件：投标人参加政府采购活动承诺书.docx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