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7B407C">
      <w:pPr>
        <w:pStyle w:val="2"/>
        <w:numPr>
          <w:ilvl w:val="0"/>
          <w:numId w:val="0"/>
        </w:numPr>
        <w:bidi w:val="0"/>
        <w:jc w:val="center"/>
        <w:rPr>
          <w:rFonts w:hint="eastAsia" w:ascii="仿宋" w:hAnsi="仿宋" w:eastAsia="仿宋" w:cs="仿宋"/>
          <w:color w:val="auto"/>
          <w:sz w:val="24"/>
          <w:szCs w:val="24"/>
          <w:highlight w:val="none"/>
        </w:rPr>
      </w:pPr>
      <w:bookmarkStart w:id="0" w:name="_Toc9028"/>
      <w:bookmarkStart w:id="6" w:name="_GoBack"/>
      <w:r>
        <w:rPr>
          <w:rFonts w:hint="eastAsia"/>
          <w:highlight w:val="none"/>
          <w:lang w:eastAsia="zh-CN"/>
        </w:rPr>
        <w:t>采购</w:t>
      </w:r>
      <w:r>
        <w:rPr>
          <w:rFonts w:hint="eastAsia"/>
          <w:highlight w:val="none"/>
        </w:rPr>
        <w:t>内容及技术要求</w:t>
      </w:r>
      <w:bookmarkEnd w:id="0"/>
    </w:p>
    <w:bookmarkEnd w:id="6"/>
    <w:p w14:paraId="206B7B06">
      <w:pPr>
        <w:pStyle w:val="3"/>
        <w:keepNext/>
        <w:keepLines/>
        <w:pageBreakBefore w:val="0"/>
        <w:widowControl/>
        <w:kinsoku/>
        <w:wordWrap/>
        <w:overflowPunct/>
        <w:topLinePunct w:val="0"/>
        <w:autoSpaceDE/>
        <w:autoSpaceDN/>
        <w:bidi w:val="0"/>
        <w:adjustRightInd/>
        <w:snapToGrid/>
        <w:spacing w:before="0" w:after="0"/>
        <w:ind w:left="0" w:leftChars="0" w:firstLine="0" w:firstLineChars="0"/>
        <w:textAlignment w:val="auto"/>
        <w:rPr>
          <w:rFonts w:hint="eastAsia" w:ascii="Arial" w:hAnsi="Arial" w:cs="Times New Roman"/>
          <w:b/>
          <w:bCs/>
          <w:sz w:val="24"/>
          <w:szCs w:val="28"/>
          <w:lang w:val="en-US" w:eastAsia="zh-CN"/>
        </w:rPr>
      </w:pPr>
      <w:bookmarkStart w:id="1" w:name="_Toc21192"/>
      <w:r>
        <w:rPr>
          <w:rFonts w:hint="eastAsia" w:ascii="Arial" w:hAnsi="Arial" w:cs="Times New Roman"/>
          <w:b/>
          <w:bCs/>
          <w:sz w:val="24"/>
          <w:szCs w:val="28"/>
          <w:lang w:val="en-US" w:eastAsia="zh-CN"/>
        </w:rPr>
        <w:t>一、项目概况</w:t>
      </w:r>
      <w:bookmarkEnd w:id="1"/>
    </w:p>
    <w:p w14:paraId="76362F4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学校结核病防控工作规范（2017版）》（国卫办疾控发〔2017〕22号）、《陕西省学校结核病筛查工作实施方案》（陕卫办疾控函〔2019〕407号）、《陕西省学校结核病防控工作规范（试行）》（陕疾控综传防发〔2025〕8号）等法律法规和规范性文件，要求每年对高中和寄宿制初中新生进行结核病筛查（PPD）。</w:t>
      </w:r>
    </w:p>
    <w:p w14:paraId="7333DDDD">
      <w:pPr>
        <w:pStyle w:val="3"/>
        <w:keepNext/>
        <w:keepLines/>
        <w:pageBreakBefore w:val="0"/>
        <w:widowControl/>
        <w:kinsoku/>
        <w:wordWrap/>
        <w:overflowPunct/>
        <w:topLinePunct w:val="0"/>
        <w:autoSpaceDE/>
        <w:autoSpaceDN/>
        <w:bidi w:val="0"/>
        <w:adjustRightInd/>
        <w:snapToGrid/>
        <w:spacing w:before="0" w:after="0"/>
        <w:ind w:left="0" w:leftChars="0" w:firstLine="0" w:firstLineChars="0"/>
        <w:textAlignment w:val="auto"/>
        <w:rPr>
          <w:rFonts w:hint="eastAsia" w:ascii="Arial" w:hAnsi="Arial" w:cs="Times New Roman"/>
          <w:b/>
          <w:bCs/>
          <w:sz w:val="24"/>
          <w:szCs w:val="28"/>
          <w:lang w:val="en-US" w:eastAsia="zh-CN"/>
        </w:rPr>
      </w:pPr>
      <w:bookmarkStart w:id="2" w:name="_Toc14503"/>
      <w:r>
        <w:rPr>
          <w:rFonts w:hint="eastAsia" w:ascii="Arial" w:hAnsi="Arial" w:cs="Times New Roman"/>
          <w:b/>
          <w:bCs/>
          <w:sz w:val="24"/>
          <w:szCs w:val="28"/>
          <w:lang w:val="en-US" w:eastAsia="zh-CN"/>
        </w:rPr>
        <w:t>二、健康体检项目</w:t>
      </w:r>
      <w:bookmarkEnd w:id="2"/>
    </w:p>
    <w:p w14:paraId="6C8CC60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结核菌素试验（PPD）。</w:t>
      </w:r>
    </w:p>
    <w:p w14:paraId="38CD7B31">
      <w:pPr>
        <w:pStyle w:val="3"/>
        <w:bidi w:val="0"/>
        <w:ind w:left="0" w:leftChars="0" w:firstLine="0" w:firstLineChars="0"/>
        <w:rPr>
          <w:rFonts w:hint="eastAsia"/>
          <w:lang w:val="en-US" w:eastAsia="zh-CN"/>
        </w:rPr>
      </w:pPr>
      <w:bookmarkStart w:id="3" w:name="_Toc13623"/>
      <w:r>
        <w:rPr>
          <w:rFonts w:hint="eastAsia"/>
          <w:lang w:val="en-US" w:eastAsia="zh-CN"/>
        </w:rPr>
        <w:t>三、健康检查结果反馈与档案管理</w:t>
      </w:r>
      <w:bookmarkEnd w:id="3"/>
    </w:p>
    <w:p w14:paraId="5AFB571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仿宋" w:hAnsi="仿宋" w:eastAsia="仿宋" w:cs="仿宋"/>
          <w:sz w:val="24"/>
          <w:szCs w:val="24"/>
          <w:lang w:val="en-US" w:eastAsia="zh-CN"/>
        </w:rPr>
      </w:pPr>
      <w:bookmarkStart w:id="4" w:name="_Toc21170"/>
      <w:r>
        <w:rPr>
          <w:rFonts w:hint="default" w:ascii="仿宋" w:hAnsi="仿宋" w:eastAsia="仿宋" w:cs="仿宋"/>
          <w:sz w:val="24"/>
          <w:szCs w:val="24"/>
          <w:lang w:val="en-US" w:eastAsia="zh-CN"/>
        </w:rPr>
        <w:t>（一）健康检查结果反馈要求。学生健康体检机构在体检结束后，应分别向学生（家长）、学校和教育体育局反馈学生结核菌素试验（PPD）评价结果。</w:t>
      </w:r>
    </w:p>
    <w:p w14:paraId="34B7BC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二）健康检查结果的反馈形式。健康体检机构以个体报告单形式向学生反馈健康体检结果；以学校汇总报告单形式向学校反馈学生体检结果；将所负责的体检学校的学生体检结果统计汇总，以区域学校汇总报告单形式上报高新区教育体育局。</w:t>
      </w:r>
    </w:p>
    <w:p w14:paraId="4C3BAB8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仿宋_GB2312" w:cs="Times New Roman"/>
          <w:sz w:val="32"/>
          <w:szCs w:val="32"/>
          <w:lang w:val="en-US" w:eastAsia="zh-CN"/>
        </w:rPr>
      </w:pPr>
      <w:r>
        <w:rPr>
          <w:rFonts w:hint="default" w:ascii="仿宋" w:hAnsi="仿宋" w:eastAsia="仿宋" w:cs="仿宋"/>
          <w:sz w:val="24"/>
          <w:szCs w:val="24"/>
          <w:lang w:val="en-US" w:eastAsia="zh-CN"/>
        </w:rPr>
        <w:t>（三）健康检查报告单的反馈时限。个体报告单应于健康检查后2周内反馈学生；学校汇总报告单应于检查后1个月内反馈给学校；区域学校汇总报告单应于检查后2个月内反馈高新区教育体育局</w:t>
      </w:r>
      <w:r>
        <w:rPr>
          <w:rFonts w:hint="default" w:ascii="Times New Roman" w:hAnsi="Times New Roman" w:eastAsia="仿宋_GB2312" w:cs="Times New Roman"/>
          <w:sz w:val="32"/>
          <w:szCs w:val="32"/>
          <w:lang w:val="en-US" w:eastAsia="zh-CN"/>
        </w:rPr>
        <w:t>。</w:t>
      </w:r>
    </w:p>
    <w:p w14:paraId="021F495A">
      <w:pPr>
        <w:pStyle w:val="3"/>
        <w:keepNext/>
        <w:keepLines/>
        <w:pageBreakBefore w:val="0"/>
        <w:widowControl/>
        <w:kinsoku/>
        <w:wordWrap/>
        <w:overflowPunct/>
        <w:topLinePunct w:val="0"/>
        <w:autoSpaceDE/>
        <w:autoSpaceDN/>
        <w:bidi w:val="0"/>
        <w:adjustRightInd/>
        <w:snapToGrid/>
        <w:spacing w:before="0" w:after="0"/>
        <w:ind w:left="0" w:leftChars="0" w:firstLine="0" w:firstLineChars="0"/>
        <w:textAlignment w:val="auto"/>
        <w:rPr>
          <w:rFonts w:hint="eastAsia" w:ascii="Arial" w:hAnsi="Arial" w:cs="Times New Roman"/>
          <w:b/>
          <w:bCs/>
          <w:sz w:val="24"/>
          <w:szCs w:val="28"/>
          <w:lang w:val="en-US" w:eastAsia="zh-CN"/>
        </w:rPr>
      </w:pPr>
      <w:r>
        <w:rPr>
          <w:rFonts w:hint="eastAsia" w:ascii="Arial" w:hAnsi="Arial" w:cs="Times New Roman"/>
          <w:b/>
          <w:bCs/>
          <w:sz w:val="24"/>
          <w:szCs w:val="28"/>
          <w:lang w:val="en-US" w:eastAsia="zh-CN"/>
        </w:rPr>
        <w:t>四、健康体检机构资质</w:t>
      </w:r>
      <w:bookmarkEnd w:id="4"/>
    </w:p>
    <w:p w14:paraId="4AE6882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9"/>
        <w:rPr>
          <w:rFonts w:hint="default" w:ascii="仿宋" w:hAnsi="仿宋" w:eastAsia="仿宋" w:cs="仿宋"/>
          <w:b/>
          <w:bCs/>
          <w:sz w:val="24"/>
          <w:szCs w:val="24"/>
          <w:lang w:val="en-US" w:eastAsia="zh-CN"/>
        </w:rPr>
      </w:pPr>
      <w:bookmarkStart w:id="5" w:name="_Toc10153"/>
      <w:r>
        <w:rPr>
          <w:rFonts w:hint="default" w:ascii="仿宋" w:hAnsi="仿宋" w:eastAsia="仿宋" w:cs="仿宋"/>
          <w:b/>
          <w:bCs/>
          <w:sz w:val="24"/>
          <w:szCs w:val="24"/>
          <w:lang w:val="en-US" w:eastAsia="zh-CN"/>
        </w:rPr>
        <w:t>（一）机构条件</w:t>
      </w:r>
    </w:p>
    <w:p w14:paraId="5D751F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1.承担学生结核菌素试验（PPD）的机构应为具有法人资格、持有有效《医疗机构执业许可证》，具备结核菌素皮肤试验技术相应的体检资质要求，能严格按照《结核菌素皮肤试验使用指导手册》的要求规范开展结核菌素皮肤试验。学生健康体检机构不得违规开展验配角膜塑形镜，不得与其他机构违规合作开展学生体检，不得非法收集学生信息和从事其他非法经营。</w:t>
      </w:r>
    </w:p>
    <w:p w14:paraId="446C82F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2.能独立开展学生结核菌素试验（PPD）检查工作；</w:t>
      </w:r>
    </w:p>
    <w:p w14:paraId="01BCC7F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3.能对学生结核菌素试验（PPD）检查状况进行个体和群体评价、分析、反馈，并提出健康指导建议；</w:t>
      </w:r>
    </w:p>
    <w:p w14:paraId="031AE09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4.有独立、固定的办公场所和足够的学生结核菌素试验（PPD）检查场所、工作条件和必备的合格的医疗检查设备与检验仪器；</w:t>
      </w:r>
    </w:p>
    <w:p w14:paraId="358F50E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5.有健全的规章制度、有国家制定或认可的医疗护理技术操作规程。</w:t>
      </w:r>
    </w:p>
    <w:p w14:paraId="00C161E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9"/>
        <w:rPr>
          <w:rFonts w:hint="eastAsia" w:ascii="仿宋" w:hAnsi="仿宋" w:eastAsia="仿宋" w:cs="仿宋"/>
          <w:b/>
          <w:bCs/>
          <w:sz w:val="24"/>
          <w:szCs w:val="24"/>
          <w:lang w:val="en-US" w:eastAsia="zh-CN"/>
        </w:rPr>
      </w:pPr>
      <w:r>
        <w:rPr>
          <w:rFonts w:hint="default" w:ascii="仿宋" w:hAnsi="仿宋" w:eastAsia="仿宋" w:cs="仿宋"/>
          <w:b/>
          <w:bCs/>
          <w:sz w:val="24"/>
          <w:szCs w:val="24"/>
          <w:lang w:val="en-US" w:eastAsia="zh-CN"/>
        </w:rPr>
        <w:t>（二）体检场所</w:t>
      </w:r>
    </w:p>
    <w:p w14:paraId="4E9B9D1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应按照《医院消毒技术规范》的要求进行消毒处理，符合《医院消毒卫生标准（GB 15982-2012）》中三类环境的消毒卫生标准，保证卫生安全。医疗废物处理应符合国务院《医疗废物管理条例》的规定。生物样本的采集和留存应符合国家有关卫生标准的规定和相关检验技术规范的要求；生物样本的运输应按照国家相关规定执行。</w:t>
      </w:r>
    </w:p>
    <w:p w14:paraId="07FB0F09">
      <w:pPr>
        <w:pStyle w:val="3"/>
        <w:keepNext/>
        <w:keepLines/>
        <w:pageBreakBefore w:val="0"/>
        <w:widowControl/>
        <w:kinsoku/>
        <w:wordWrap/>
        <w:overflowPunct/>
        <w:topLinePunct w:val="0"/>
        <w:autoSpaceDE/>
        <w:autoSpaceDN/>
        <w:bidi w:val="0"/>
        <w:adjustRightInd/>
        <w:snapToGrid/>
        <w:spacing w:before="0" w:after="0"/>
        <w:ind w:left="0" w:leftChars="0" w:firstLine="0" w:firstLineChars="0"/>
        <w:textAlignment w:val="auto"/>
        <w:rPr>
          <w:rFonts w:hint="eastAsia"/>
          <w:sz w:val="24"/>
          <w:szCs w:val="28"/>
          <w:lang w:val="en-US" w:eastAsia="zh-CN"/>
        </w:rPr>
      </w:pPr>
      <w:r>
        <w:rPr>
          <w:rFonts w:hint="eastAsia"/>
          <w:sz w:val="24"/>
          <w:szCs w:val="28"/>
          <w:lang w:val="en-US" w:eastAsia="zh-CN"/>
        </w:rPr>
        <w:t>五、其他要求</w:t>
      </w:r>
      <w:bookmarkEnd w:id="5"/>
    </w:p>
    <w:p w14:paraId="2C6B4BD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1</w:t>
      </w:r>
      <w:r>
        <w:rPr>
          <w:rFonts w:hint="eastAsia" w:ascii="仿宋" w:hAnsi="仿宋" w:eastAsia="仿宋" w:cs="仿宋"/>
          <w:sz w:val="24"/>
          <w:szCs w:val="24"/>
          <w:lang w:val="en-US" w:eastAsia="zh-CN"/>
        </w:rPr>
        <w:t>.</w:t>
      </w:r>
      <w:r>
        <w:rPr>
          <w:rFonts w:hint="default" w:ascii="仿宋" w:hAnsi="仿宋" w:eastAsia="仿宋" w:cs="仿宋"/>
          <w:sz w:val="24"/>
          <w:szCs w:val="24"/>
          <w:lang w:val="en-US" w:eastAsia="zh-CN"/>
        </w:rPr>
        <w:t>健康体检机构应有良好的内务管理，检查仪器放置合理，便于操作，配有必要的消毒、防污染、防火、控制进入等安全措施；</w:t>
      </w:r>
    </w:p>
    <w:p w14:paraId="1E37F35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2.检测方法应尽可能采用国际、国家、行业或地方规定的方法或标准；</w:t>
      </w:r>
    </w:p>
    <w:p w14:paraId="7D43452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3.编制有质量管理体系文件，并严格开展质量控制；</w:t>
      </w:r>
    </w:p>
    <w:p w14:paraId="4E0F8B2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4.为检验样品建立唯一识别系统和状态标识，应当编制有关样品采集、接收、流转、保存和安全处置的书面程序；</w:t>
      </w:r>
    </w:p>
    <w:p w14:paraId="5FD3C53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5.体检报告按照规定书写、更改、审核、签章、分发、保存和统计；</w:t>
      </w:r>
    </w:p>
    <w:p w14:paraId="1915B69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6.医疗机构需要按照规定时间向学校、教育体育局提供汇总后的体检分析表</w:t>
      </w:r>
      <w:r>
        <w:rPr>
          <w:rFonts w:hint="eastAsia" w:ascii="仿宋" w:hAnsi="仿宋" w:eastAsia="仿宋" w:cs="仿宋"/>
          <w:sz w:val="24"/>
          <w:szCs w:val="24"/>
          <w:lang w:val="en-US" w:eastAsia="zh-CN"/>
        </w:rPr>
        <w:t>；</w:t>
      </w:r>
    </w:p>
    <w:p w14:paraId="65E998D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7.体检机构需要和学校进行预约，配合学校的时间做好学生的体检工作</w:t>
      </w:r>
      <w:r>
        <w:rPr>
          <w:rFonts w:hint="eastAsia" w:ascii="仿宋" w:hAnsi="仿宋" w:eastAsia="仿宋" w:cs="仿宋"/>
          <w:sz w:val="24"/>
          <w:szCs w:val="24"/>
          <w:lang w:val="en-US" w:eastAsia="zh-CN"/>
        </w:rPr>
        <w:t>；</w:t>
      </w:r>
    </w:p>
    <w:p w14:paraId="0B8159F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8.医疗机构必须安排体检人员和车辆，进入学校开展结核菌素试验（PPD）工作。</w:t>
      </w:r>
    </w:p>
    <w:p w14:paraId="51BC5CB3"/>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094C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qFormat/>
    <w:uiPriority w:val="0"/>
    <w:pPr>
      <w:keepNext/>
      <w:outlineLvl w:val="0"/>
    </w:pPr>
    <w:rPr>
      <w:rFonts w:ascii="仿宋_GB2312" w:hAnsi="仿宋_GB2312" w:eastAsia="仿宋_GB2312"/>
      <w:b/>
      <w:kern w:val="2"/>
      <w:sz w:val="32"/>
    </w:rPr>
  </w:style>
  <w:style w:type="paragraph" w:styleId="3">
    <w:name w:val="heading 2"/>
    <w:basedOn w:val="1"/>
    <w:next w:val="1"/>
    <w:qFormat/>
    <w:uiPriority w:val="9"/>
    <w:pPr>
      <w:keepNext/>
      <w:keepLines/>
      <w:widowControl/>
      <w:spacing w:before="20" w:beforeLines="0" w:after="20" w:afterLines="0" w:line="360" w:lineRule="auto"/>
      <w:ind w:left="284"/>
      <w:jc w:val="left"/>
      <w:outlineLvl w:val="1"/>
    </w:pPr>
    <w:rPr>
      <w:rFonts w:ascii="Arial" w:hAnsi="Arial" w:eastAsia="仿宋"/>
      <w:b/>
      <w:bCs/>
      <w:sz w:val="28"/>
      <w:szCs w:val="32"/>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2026-07-30T04:06:20Z</dcterms:created>
  <dc:creator>pc</dc:creator>
  <cp:lastModifiedBy>QQQQ</cp:lastModifiedBy>
  <dcterms:modified xsi:type="dcterms:W3CDTF">2026-07-30T04:06:37Z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eyJoZGlkIjoiMGRmNzgyYzg4MDFhMDM5Y2U1YjQ5OTcwYmIwYjNmNzkiLCJ1c2VySWQiOiIzODkzMjE1NzcifQ==</vt:lpwstr>
  </property>
  <property fmtid="{D5CDD505-2E9C-101B-9397-08002B2CF9AE}" pid="4" name="ICV">
    <vt:lpwstr>62FFABEFC3A845EBB73283CBBA1EBE06_12</vt:lpwstr>
  </property>
</Properties>
</file>