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版本号：LDZB-26019420260601001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高中信息平台宣传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LDZB-260194</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高中信息平台宣传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LDZB-260194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高中信息平台宣传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在高中/中职学校投放的宣传大屏发布动态院校宣传信息。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采购包1（高中信息平台宣传）：属于专门面向中小企业采购。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合法注册的法人、其他组织或自然人，具有独立承担民事责任的能力，提供统一社会信用代码的营业执照（或事业法人证）等证明文件，供应商为自然人的提供身份证。</w:t>
      </w:r>
    </w:p>
    <w:p>
      <w:pPr>
        <w:pStyle w:val="null3"/>
      </w:pPr>
      <w:r>
        <w:rPr>
          <w:rFonts w:ascii="仿宋_GB2312" w:hAnsi="仿宋_GB2312" w:cs="仿宋_GB2312" w:eastAsia="仿宋_GB2312"/>
        </w:rPr>
        <w:t>2、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p>
      <w:pPr>
        <w:pStyle w:val="null3"/>
      </w:pPr>
      <w:r>
        <w:rPr>
          <w:rFonts w:ascii="仿宋_GB2312" w:hAnsi="仿宋_GB2312" w:cs="仿宋_GB2312" w:eastAsia="仿宋_GB2312"/>
        </w:rPr>
        <w:t>3、供应商未被列入信用中国失信被执行人、重大税收违法案件当事人名单及中国政府采购网政府采购严重违法失信行为记录名单。：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p>
      <w:pPr>
        <w:pStyle w:val="null3"/>
      </w:pPr>
      <w:r>
        <w:rPr>
          <w:rFonts w:ascii="仿宋_GB2312" w:hAnsi="仿宋_GB2312" w:cs="仿宋_GB2312" w:eastAsia="仿宋_GB2312"/>
        </w:rPr>
        <w:t>4、财务状况：供应商具有良好的商业信誉和健全的财务会计制度</w:t>
      </w:r>
    </w:p>
    <w:p>
      <w:pPr>
        <w:pStyle w:val="null3"/>
      </w:pPr>
      <w:r>
        <w:rPr>
          <w:rFonts w:ascii="仿宋_GB2312" w:hAnsi="仿宋_GB2312" w:cs="仿宋_GB2312" w:eastAsia="仿宋_GB2312"/>
        </w:rPr>
        <w:t>5、本项目不接受联合体：本项目不接受联合体磋商（响应主体为单一供应商，无需提供证明材料）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02981610011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说明：账户名称:西安市财政局预算单位实有资金财政代管账户 开户银行:中国建设银行股份有限公司西安莲湖路支行 银行账号:61001711100052518874-203033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代理服务费收费标准：1.确定成交人后3日内，由成交人向代理机构一次付清采购代理服务费。 2.以中标（成交）价为基数，招标代理服务费按照国家计委印发《招标代理服务收费管理暂行办法》的通知（计价格[2002]1980号）文件、发改价格[2011]534 号文件及国家发改委印发的《关于进一步放开建设项目专业服务价格的通知》[2015]299号文件的收取标准下浮20%计取。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详见合同内容及服务要求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地址：西安市浐灞生态区欧亚大道777号浐灞自贸中心E座803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在高中/中职学校投放的宣传大屏发布动态院校宣传信息。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高中信息平台宣传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标的名称：高中信息平台宣传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1、在高中/中职学校投放的宣传大屏发布动态院校宣传信息。</w:t>
            </w:r>
          </w:p>
          <w:p>
            <w:pPr>
              <w:pStyle w:val="null3"/>
              <w:ind w:firstLine="420"/>
              <w:jc w:val="both"/>
            </w:pPr>
            <w:r>
              <w:rPr>
                <w:rFonts w:ascii="仿宋_GB2312" w:hAnsi="仿宋_GB2312" w:cs="仿宋_GB2312" w:eastAsia="仿宋_GB2312"/>
                <w:sz w:val="21"/>
              </w:rPr>
              <w:t>2、招标项目名称：西安铁路职业技术学院</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rPr>
              <w:t>3、服务地点：西安铁路职业技术学院</w:t>
            </w:r>
          </w:p>
          <w:p>
            <w:pPr>
              <w:pStyle w:val="null3"/>
              <w:ind w:firstLine="422"/>
              <w:jc w:val="both"/>
            </w:pPr>
            <w:r>
              <w:rPr>
                <w:rFonts w:ascii="仿宋_GB2312" w:hAnsi="仿宋_GB2312" w:cs="仿宋_GB2312" w:eastAsia="仿宋_GB2312"/>
                <w:sz w:val="21"/>
                <w:b/>
              </w:rPr>
              <w:t>二、服务内容</w:t>
            </w:r>
          </w:p>
          <w:p>
            <w:pPr>
              <w:pStyle w:val="null3"/>
              <w:ind w:firstLine="420"/>
              <w:jc w:val="both"/>
            </w:pPr>
            <w:r>
              <w:rPr>
                <w:rFonts w:ascii="仿宋_GB2312" w:hAnsi="仿宋_GB2312" w:cs="仿宋_GB2312" w:eastAsia="仿宋_GB2312"/>
                <w:sz w:val="21"/>
              </w:rPr>
              <w:t>宣传大屏需放置在教学区域显著位置，学生上下学、晚自习前后都能看到。宣传大屏发布内容需专人负责编辑、制作、更新，通过图片、视频、</w:t>
            </w:r>
            <w:r>
              <w:rPr>
                <w:rFonts w:ascii="仿宋_GB2312" w:hAnsi="仿宋_GB2312" w:cs="仿宋_GB2312" w:eastAsia="仿宋_GB2312"/>
                <w:sz w:val="21"/>
              </w:rPr>
              <w:t>PPT等多种方式传递国家招考政策，发布学院的校园资讯和获奖信息，并实时发布学院招考政策、专业介绍等宣传信息，发布有关我院的宣传信息需由指定的负责老师进行审核。</w:t>
            </w:r>
          </w:p>
          <w:p>
            <w:pPr>
              <w:pStyle w:val="null3"/>
              <w:ind w:firstLine="422"/>
              <w:jc w:val="both"/>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宣传信息投放区域在全省总计不少于</w:t>
            </w:r>
            <w:r>
              <w:rPr>
                <w:rFonts w:ascii="仿宋_GB2312" w:hAnsi="仿宋_GB2312" w:cs="仿宋_GB2312" w:eastAsia="仿宋_GB2312"/>
                <w:sz w:val="21"/>
              </w:rPr>
              <w:t>160</w:t>
            </w:r>
            <w:r>
              <w:rPr>
                <w:rFonts w:ascii="仿宋_GB2312" w:hAnsi="仿宋_GB2312" w:cs="仿宋_GB2312" w:eastAsia="仿宋_GB2312"/>
                <w:sz w:val="21"/>
              </w:rPr>
              <w:t>所高中</w:t>
            </w:r>
            <w:r>
              <w:rPr>
                <w:rFonts w:ascii="仿宋_GB2312" w:hAnsi="仿宋_GB2312" w:cs="仿宋_GB2312" w:eastAsia="仿宋_GB2312"/>
                <w:sz w:val="21"/>
              </w:rPr>
              <w:t>/中职学校。通过图片，文字，视频等多种形式，发布院校宣传信息、尤其是在招生宣传的各重要时间节点，需及时利用网络更新宣传内容，并在显示器上滚动播放。</w:t>
            </w:r>
          </w:p>
          <w:p>
            <w:pPr>
              <w:pStyle w:val="null3"/>
              <w:ind w:firstLine="422"/>
              <w:jc w:val="both"/>
            </w:pPr>
            <w:r>
              <w:rPr>
                <w:rFonts w:ascii="仿宋_GB2312" w:hAnsi="仿宋_GB2312" w:cs="仿宋_GB2312" w:eastAsia="仿宋_GB2312"/>
                <w:sz w:val="21"/>
                <w:b/>
              </w:rPr>
              <w:t>四</w:t>
            </w:r>
            <w:r>
              <w:rPr>
                <w:rFonts w:ascii="仿宋_GB2312" w:hAnsi="仿宋_GB2312" w:cs="仿宋_GB2312" w:eastAsia="仿宋_GB2312"/>
                <w:sz w:val="21"/>
                <w:b/>
              </w:rPr>
              <w:t>、商务要求</w:t>
            </w:r>
          </w:p>
          <w:p>
            <w:pPr>
              <w:pStyle w:val="null3"/>
              <w:ind w:firstLine="420"/>
              <w:jc w:val="both"/>
            </w:pPr>
            <w:r>
              <w:rPr>
                <w:rFonts w:ascii="仿宋_GB2312" w:hAnsi="仿宋_GB2312" w:cs="仿宋_GB2312" w:eastAsia="仿宋_GB2312"/>
                <w:sz w:val="21"/>
              </w:rPr>
              <w:t>（一）服务期限：一年</w:t>
            </w:r>
          </w:p>
          <w:p>
            <w:pPr>
              <w:pStyle w:val="null3"/>
              <w:ind w:firstLine="420"/>
              <w:jc w:val="both"/>
            </w:pPr>
            <w:r>
              <w:rPr>
                <w:rFonts w:ascii="仿宋_GB2312" w:hAnsi="仿宋_GB2312" w:cs="仿宋_GB2312" w:eastAsia="仿宋_GB2312"/>
                <w:sz w:val="21"/>
              </w:rPr>
              <w:t>（二）款项结算：</w:t>
            </w:r>
            <w:r>
              <w:rPr>
                <w:rFonts w:ascii="仿宋_GB2312" w:hAnsi="仿宋_GB2312" w:cs="仿宋_GB2312" w:eastAsia="仿宋_GB2312"/>
                <w:sz w:val="21"/>
              </w:rPr>
              <w:t>合同签订后</w:t>
            </w:r>
            <w:r>
              <w:rPr>
                <w:rFonts w:ascii="仿宋_GB2312" w:hAnsi="仿宋_GB2312" w:cs="仿宋_GB2312" w:eastAsia="仿宋_GB2312"/>
                <w:sz w:val="21"/>
              </w:rPr>
              <w:t>30天内预付</w:t>
            </w:r>
            <w:r>
              <w:rPr>
                <w:rFonts w:ascii="仿宋_GB2312" w:hAnsi="仿宋_GB2312" w:cs="仿宋_GB2312" w:eastAsia="仿宋_GB2312"/>
                <w:sz w:val="21"/>
              </w:rPr>
              <w:t>4</w:t>
            </w:r>
            <w:r>
              <w:rPr>
                <w:rFonts w:ascii="仿宋_GB2312" w:hAnsi="仿宋_GB2312" w:cs="仿宋_GB2312" w:eastAsia="仿宋_GB2312"/>
                <w:sz w:val="21"/>
              </w:rPr>
              <w:t>0%，交付验收后30天内付剩余</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五</w:t>
            </w:r>
            <w:r>
              <w:rPr>
                <w:rFonts w:ascii="仿宋_GB2312" w:hAnsi="仿宋_GB2312" w:cs="仿宋_GB2312" w:eastAsia="仿宋_GB2312"/>
                <w:sz w:val="21"/>
                <w:b/>
              </w:rPr>
              <w:t>、其他</w:t>
            </w:r>
          </w:p>
          <w:p>
            <w:pPr>
              <w:pStyle w:val="null3"/>
              <w:ind w:firstLine="420"/>
              <w:jc w:val="both"/>
            </w:pPr>
            <w:r>
              <w:rPr>
                <w:rFonts w:ascii="仿宋_GB2312" w:hAnsi="仿宋_GB2312" w:cs="仿宋_GB2312" w:eastAsia="仿宋_GB2312"/>
                <w:sz w:val="21"/>
              </w:rPr>
              <w:t>（一）进度要求</w:t>
            </w:r>
          </w:p>
          <w:p>
            <w:pPr>
              <w:pStyle w:val="null3"/>
              <w:ind w:firstLine="420"/>
              <w:jc w:val="both"/>
            </w:pPr>
            <w:r>
              <w:rPr>
                <w:rFonts w:ascii="仿宋_GB2312" w:hAnsi="仿宋_GB2312" w:cs="仿宋_GB2312" w:eastAsia="仿宋_GB2312"/>
                <w:sz w:val="21"/>
              </w:rPr>
              <w:t>宣传信息更新每月＞</w:t>
            </w:r>
            <w:r>
              <w:rPr>
                <w:rFonts w:ascii="仿宋_GB2312" w:hAnsi="仿宋_GB2312" w:cs="仿宋_GB2312" w:eastAsia="仿宋_GB2312"/>
                <w:sz w:val="21"/>
              </w:rPr>
              <w:t>2次。</w:t>
            </w:r>
          </w:p>
          <w:p>
            <w:pPr>
              <w:pStyle w:val="null3"/>
              <w:ind w:firstLine="420"/>
              <w:jc w:val="both"/>
            </w:pPr>
            <w:r>
              <w:rPr>
                <w:rFonts w:ascii="仿宋_GB2312" w:hAnsi="仿宋_GB2312" w:cs="仿宋_GB2312" w:eastAsia="仿宋_GB2312"/>
                <w:sz w:val="21"/>
              </w:rPr>
              <w:t>（二）质量验收标准或规范</w:t>
            </w:r>
          </w:p>
          <w:p>
            <w:pPr>
              <w:pStyle w:val="null3"/>
              <w:ind w:firstLine="420"/>
              <w:jc w:val="both"/>
            </w:pPr>
            <w:r>
              <w:rPr>
                <w:rFonts w:ascii="仿宋_GB2312" w:hAnsi="仿宋_GB2312" w:cs="仿宋_GB2312" w:eastAsia="仿宋_GB2312"/>
                <w:sz w:val="21"/>
              </w:rPr>
              <w:t>以系统后台数据和视频截图等为验收依据，在总计不少于</w:t>
            </w:r>
            <w:r>
              <w:rPr>
                <w:rFonts w:ascii="仿宋_GB2312" w:hAnsi="仿宋_GB2312" w:cs="仿宋_GB2312" w:eastAsia="仿宋_GB2312"/>
                <w:sz w:val="21"/>
              </w:rPr>
              <w:t>160</w:t>
            </w:r>
            <w:r>
              <w:rPr>
                <w:rFonts w:ascii="仿宋_GB2312" w:hAnsi="仿宋_GB2312" w:cs="仿宋_GB2312" w:eastAsia="仿宋_GB2312"/>
                <w:sz w:val="21"/>
              </w:rPr>
              <w:t>所高中</w:t>
            </w:r>
            <w:r>
              <w:rPr>
                <w:rFonts w:ascii="仿宋_GB2312" w:hAnsi="仿宋_GB2312" w:cs="仿宋_GB2312" w:eastAsia="仿宋_GB2312"/>
                <w:sz w:val="21"/>
              </w:rPr>
              <w:t>/中职学校，通过图片，文字，视频等多种形式，在招生宣传的各重要时间节点，通过网络及时更新宣传内容，并在显示器上滚动播放。</w:t>
            </w:r>
          </w:p>
          <w:p>
            <w:pPr>
              <w:pStyle w:val="null3"/>
              <w:ind w:firstLine="420"/>
              <w:jc w:val="both"/>
            </w:pPr>
            <w:r>
              <w:rPr>
                <w:rFonts w:ascii="仿宋_GB2312" w:hAnsi="仿宋_GB2312" w:cs="仿宋_GB2312" w:eastAsia="仿宋_GB2312"/>
                <w:sz w:val="21"/>
              </w:rPr>
              <w:t>（三）违约责任</w:t>
            </w:r>
          </w:p>
          <w:p>
            <w:pPr>
              <w:pStyle w:val="null3"/>
            </w:pPr>
            <w:r>
              <w:rPr>
                <w:rFonts w:ascii="仿宋_GB2312" w:hAnsi="仿宋_GB2312" w:cs="仿宋_GB2312" w:eastAsia="仿宋_GB2312"/>
                <w:sz w:val="21"/>
              </w:rPr>
              <w:t>按《中华人民共和国民法典》《政府采购法》中的相关条款执行。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以系统后台数据和视频截图等为验收依据，在总计不少于160所高中/中职学校，通过图片，文字，视频等多种形式，在招生宣传的各重要时间节点，通过网络及时更新宣传内容，并在显示器上滚动播放。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其他，交付验收后，达到付款条件起30个工作日内，支付合同总金额的60.0%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1.向有管辖权的人民法院提起诉讼 2.按《中华人民共和国民法典》《政府采购法》中的相关条款执行。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（1）供应商应自响应文件递交截止时间起至评标结束保持在线状态、如因自身原因导致未及时在系统中响应相关内容，供应商自行承担责任。 （2）成交人在领取成交通知书前将纸质版响应文件正本1份、副本1份、电子版2份（U盘）打印后提交至采购代理公司处，成交人应保持响应文件纸质版内容与线上提交的响应文件保持一致，否则将承担一切法律责任。 （3）定标环节采购人有权对响应文件承诺响应的内容进行复核，如有虚假响应，一经发现，取消成交资格并上报财政主管部门，列入政府采购黑名单。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供应商为合法注册的法人、其他组织或自然人，具有独立承担民事责任的能力，提供统一社会信用代码的营业执照（或事业法人证）等证明文件，供应商为自然人的提供身份证。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供应商应授权合法的人员参加投标全过程，其中法定代表人直接参加投标的，须出具身份证，并与营业执照上信息一致。法定代表人授权代表参加采购活动的，须出具法定代表人授权书及授权代表身份证。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供应商未被列入信用中国失信被执行人、重大税收违法案件当事人名单及中国政府采购网政府采购严重违法失信行为记录名单。</w:t>
            </w:r>
          </w:p>
        </w:tc>
        <w:tc>
          <w:tcPr>
            <w:tcW w:type="dxa" w:w="3322"/>
          </w:tcPr>
          <w:p>
            <w:pPr>
              <w:pStyle w:val="null3"/>
            </w:pPr>
            <w:r>
              <w:rPr>
                <w:rFonts w:ascii="仿宋_GB2312" w:hAnsi="仿宋_GB2312" w:cs="仿宋_GB2312" w:eastAsia="仿宋_GB2312"/>
              </w:rPr>
              <w:t>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供应商具有良好的商业信誉和健全的财务会计制度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本项目不接受联合体磋商（响应主体为单一供应商，无需提供证明材料）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商务及技术偏离表.docx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90个日历天</w:t>
            </w:r>
          </w:p>
        </w:tc>
        <w:tc>
          <w:tcPr>
            <w:tcW w:type="dxa" w:w="1661"/>
          </w:tcPr>
          <w:p>
            <w:pPr>
              <w:pStyle w:val="null3"/>
            </w:pPr>
            <w:r>
              <w:rPr>
                <w:rFonts w:ascii="仿宋_GB2312" w:hAnsi="仿宋_GB2312" w:cs="仿宋_GB2312" w:eastAsia="仿宋_GB2312"/>
              </w:rPr>
              <w:t>响应函 商务及技术偏离表.docx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2023年1月1日起至本项目响应文件递交截止时间止，承接过类似业绩，每提供一个得3分，最高得12分。未提供不得分。 注： ①类似业绩以中标通知书或合同为准； ②时间以中标通知书落款时间或合同签订日期为准。 ③合同需提供关键页（必须含封面、内容、签订时间、盖章签字页等信息）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投放资源及实施方案（1.投放学校数量）</w:t>
            </w:r>
          </w:p>
        </w:tc>
        <w:tc>
          <w:tcPr>
            <w:tcW w:type="dxa" w:w="2492"/>
          </w:tcPr>
          <w:p>
            <w:pPr>
              <w:pStyle w:val="null3"/>
            </w:pPr>
            <w:r>
              <w:rPr>
                <w:rFonts w:ascii="仿宋_GB2312" w:hAnsi="仿宋_GB2312" w:cs="仿宋_GB2312" w:eastAsia="仿宋_GB2312"/>
              </w:rPr>
              <w:t>在满足“不少于160所”基础上，承诺在陕西省内投放的学校总数量： ①数量≥210所，得10分； ②190所≤数量≤209所，得8分； ③160所＜数量≤189所，得6分； ④完全满足160所学校数量，得4分。 （须提供包含学校全称、所在地市的拟投放学校名单承诺函，否则该项不得分）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投放资源及实施方案（2.学校覆盖广度）</w:t>
            </w:r>
          </w:p>
        </w:tc>
        <w:tc>
          <w:tcPr>
            <w:tcW w:type="dxa" w:w="2492"/>
          </w:tcPr>
          <w:p>
            <w:pPr>
              <w:pStyle w:val="null3"/>
            </w:pPr>
            <w:r>
              <w:rPr>
                <w:rFonts w:ascii="仿宋_GB2312" w:hAnsi="仿宋_GB2312" w:cs="仿宋_GB2312" w:eastAsia="仿宋_GB2312"/>
              </w:rPr>
              <w:t>对所承诺投放学校覆盖的陕西省地级市数量进行评分： ①覆盖全部10个地级市，得8分； ②覆盖8-9个地级市，得5分； ③覆盖5-7个地级市，得2分； ④覆盖地级市少于5个，不得分。 （须提供按地级市分类的学校名单，否则不得分）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投放资源及实施方案（3.大屏位置显著性）</w:t>
            </w:r>
          </w:p>
        </w:tc>
        <w:tc>
          <w:tcPr>
            <w:tcW w:type="dxa" w:w="2492"/>
          </w:tcPr>
          <w:p>
            <w:pPr>
              <w:pStyle w:val="null3"/>
            </w:pPr>
            <w:r>
              <w:rPr>
                <w:rFonts w:ascii="仿宋_GB2312" w:hAnsi="仿宋_GB2312" w:cs="仿宋_GB2312" w:eastAsia="仿宋_GB2312"/>
              </w:rPr>
              <w:t>供应商需提供学校投大屏位于教学区、食堂、宿舍等人流密集通道得证明材料。根据提供的有效佐证材料及承诺完整性评分： ①提供不少于20所学校的下列材料，得7分： ②提供10-19所学校的上述材料及承诺书，得5分 ③提供5-9所学校的上述材料及承诺书，得2分 ④提供材料不足5所学校，或未附承诺书，不得分 （每所学校至少1个点位的位置描述（建筑名称、安装区域等））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内容制作与更新方案（1.常规内容更新频率）</w:t>
            </w:r>
          </w:p>
        </w:tc>
        <w:tc>
          <w:tcPr>
            <w:tcW w:type="dxa" w:w="2492"/>
          </w:tcPr>
          <w:p>
            <w:pPr>
              <w:pStyle w:val="null3"/>
            </w:pPr>
            <w:r>
              <w:rPr>
                <w:rFonts w:ascii="仿宋_GB2312" w:hAnsi="仿宋_GB2312" w:cs="仿宋_GB2312" w:eastAsia="仿宋_GB2312"/>
              </w:rPr>
              <w:t>在满足每月更新多于2次的基础上，承诺的常规宣传内容月更新次数： ①每月更新次数≥4次，得10分； ②每月更新次数=3次，得6分； ③每月更新次数=2次，得2分。 （须提供明确承诺及年度更新计划表，否则不得分）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内容制作与更新方案（2.重要节点响应速度）</w:t>
            </w:r>
          </w:p>
        </w:tc>
        <w:tc>
          <w:tcPr>
            <w:tcW w:type="dxa" w:w="2492"/>
          </w:tcPr>
          <w:p>
            <w:pPr>
              <w:pStyle w:val="null3"/>
            </w:pPr>
            <w:r>
              <w:rPr>
                <w:rFonts w:ascii="仿宋_GB2312" w:hAnsi="仿宋_GB2312" w:cs="仿宋_GB2312" w:eastAsia="仿宋_GB2312"/>
              </w:rPr>
              <w:t>针对招生宣传重要时间节点，承诺自接到学院更新通知起，完成内容编辑、审核、上线并送达全部160所学校大屏滚动播放的所需时间： ①承诺响应时间≤2小时，得10分； ②承诺响应时间在2-4小时（含），得6分； ③承诺响应时间在4-8小时（含），得2分； ④承诺响应时间超过8小时，不得分。 （须提供加盖公章的承诺书及应急响应预案，否则不得分）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内容制作与更新方案（3.内容制作质量保障）</w:t>
            </w:r>
          </w:p>
        </w:tc>
        <w:tc>
          <w:tcPr>
            <w:tcW w:type="dxa" w:w="2492"/>
          </w:tcPr>
          <w:p>
            <w:pPr>
              <w:pStyle w:val="null3"/>
            </w:pPr>
            <w:r>
              <w:rPr>
                <w:rFonts w:ascii="仿宋_GB2312" w:hAnsi="仿宋_GB2312" w:cs="仿宋_GB2312" w:eastAsia="仿宋_GB2312"/>
              </w:rPr>
              <w:t>①提供针对学院特色的图片宣传样稿版式，每有一种得1分，总计3分； ②提供完整的“专人编辑制作→学院指定老师审核→审核通过后发布”的闭环工作流程图及文字说明，得2分。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信息监测与应急预案</w:t>
            </w:r>
          </w:p>
        </w:tc>
        <w:tc>
          <w:tcPr>
            <w:tcW w:type="dxa" w:w="2492"/>
          </w:tcPr>
          <w:p>
            <w:pPr>
              <w:pStyle w:val="null3"/>
            </w:pPr>
            <w:r>
              <w:rPr>
                <w:rFonts w:ascii="仿宋_GB2312" w:hAnsi="仿宋_GB2312" w:cs="仿宋_GB2312" w:eastAsia="仿宋_GB2312"/>
              </w:rPr>
              <w:t>1.监测与验收依据获取方案（6分） 供应商需详细阐述如何获取符合采购需求中“以系统后台数据和视频截图等为验收依据”的过程记录，不强制要求统一联网监控平台，可采用多样化手段，根据方案的可信度与可执行性逐项评分： ①承诺每次内容更新后，通过现场人员拍摄或大屏自带定时截图功能等方式，对所有学校的大屏播放画面进行逐一截图留证，并建立包含时间、地点、内容的电子台账，得3分； ②提供不少于2所学校的模拟验收证据链样本（包含更新指令发出记录、现场播放照片/截图、带有时间戳的播放数据记录），得3分。 2.应急预案（2分） 针对大屏断电、网络中断、设备损坏、内容审核延迟等至少4种常见突发状况，分别制定了具体的应对流程和责任人，得2分。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服务保障措施（1.重要时间节点保障方案）</w:t>
            </w:r>
          </w:p>
        </w:tc>
        <w:tc>
          <w:tcPr>
            <w:tcW w:type="dxa" w:w="2492"/>
          </w:tcPr>
          <w:p>
            <w:pPr>
              <w:pStyle w:val="null3"/>
            </w:pPr>
            <w:r>
              <w:rPr>
                <w:rFonts w:ascii="仿宋_GB2312" w:hAnsi="仿宋_GB2312" w:cs="仿宋_GB2312" w:eastAsia="仿宋_GB2312"/>
              </w:rPr>
              <w:t>供应商需针对“招生宣传各重要时间节点”制定专项保障方案，根据方案的全面性与可行性逐项评分： ①提供至少3个重要招生时间节点（如分类考试招生报名前、高考志愿填报期间、录取补录阶段等）的明确工作清单及对应时间表，得2分； ②针对每个重要节点，制定了提前3天完成内容储备、提前1天完成预加载推送的“零延时”操作预案，得2分；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服务保障措施（2.故障处理与应急保障）</w:t>
            </w:r>
          </w:p>
        </w:tc>
        <w:tc>
          <w:tcPr>
            <w:tcW w:type="dxa" w:w="2492"/>
          </w:tcPr>
          <w:p>
            <w:pPr>
              <w:pStyle w:val="null3"/>
            </w:pPr>
            <w:r>
              <w:rPr>
                <w:rFonts w:ascii="仿宋_GB2312" w:hAnsi="仿宋_GB2312" w:cs="仿宋_GB2312" w:eastAsia="仿宋_GB2312"/>
              </w:rPr>
              <w:t>对供应商承诺的故障响应机制及保障措施进行逐项评分： ①承诺大屏或网络故障的修复时间≤12小时，得3分；承诺修复时间在12-24小时（含）的，得1分；超过24小时不得分；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服务保障措施（3.专职对接与审核机制）</w:t>
            </w:r>
          </w:p>
        </w:tc>
        <w:tc>
          <w:tcPr>
            <w:tcW w:type="dxa" w:w="2492"/>
          </w:tcPr>
          <w:p>
            <w:pPr>
              <w:pStyle w:val="null3"/>
            </w:pPr>
            <w:r>
              <w:rPr>
                <w:rFonts w:ascii="仿宋_GB2312" w:hAnsi="仿宋_GB2312" w:cs="仿宋_GB2312" w:eastAsia="仿宋_GB2312"/>
              </w:rPr>
              <w:t>①承诺指定至少1名专人作为学院对接人，并提供其7×24小时联系电话，得1分； ②提供包含内容编辑、提交审核、修改反馈、定稿发布等各环节责任人的工作流程图，得1分； ③出具专项承诺函，承诺所有发布内容均须经学院指定负责老师书面或在线确认审核通过后方可发布，得1分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服务保障措施（4.巡检与数据报告）</w:t>
            </w:r>
          </w:p>
        </w:tc>
        <w:tc>
          <w:tcPr>
            <w:tcW w:type="dxa" w:w="2492"/>
          </w:tcPr>
          <w:p>
            <w:pPr>
              <w:pStyle w:val="null3"/>
            </w:pPr>
            <w:r>
              <w:rPr>
                <w:rFonts w:ascii="仿宋_GB2312" w:hAnsi="仿宋_GB2312" w:cs="仿宋_GB2312" w:eastAsia="仿宋_GB2312"/>
              </w:rPr>
              <w:t>①承诺服务期内每季度对全部在投大屏完成至少1次线下或远程巡检，并每月出具包含设备状态、播放内容的巡检报告，得1分； ②承诺每季度结束后10个工作日内，向采购人提供一份包含所有学校播放总次数、总时长、典型播放截图等信息的季度综合分析报告，得1分。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1.项目负责人（4分） ①项目负责人具有本科及以上学历，且具有5年及以上项目工作经验，得4分； ②项目负责人具有专科学历，且具有3年及以上项目工作经验，得2分； ③不符合上述条件或未提供有效证明，得0分。 （工作经验证明材料包括不限于劳动合同或承诺说明等） 2.服务团队配置（不包含项目负责人）（4分） ①人员数量不少于2人，得1分 ②平均年龄不超过40岁，得1分 ②所有团队人员具有3年以上工作经验，得2分 （工作经验证明材料包括不限于劳动合同或承诺说明等）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响应报价为评标基准价，其价格分为满分。其他供应商的价格分统一按照下列公式计算：响应报价得分=(评标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