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版本号：SXZCZB2026-ZCCS--052820260526002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小操场提升改造项目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SXZCZB2026-ZCCS--0528</w:t>
      </w:r>
      <w:r>
        <w:br/>
      </w:r>
      <w:r>
        <w:br/>
      </w:r>
      <w:r>
        <w:br/>
      </w:r>
    </w:p>
    <w:p>
      <w:pPr>
        <w:pStyle w:val="null3"/>
        <w:jc w:val="center"/>
        <w:outlineLvl w:val="2"/>
      </w:pPr>
      <w:r>
        <w:rPr>
          <w:rFonts w:ascii="仿宋_GB2312" w:hAnsi="仿宋_GB2312" w:cs="仿宋_GB2312" w:eastAsia="仿宋_GB2312"/>
          <w:sz w:val="28"/>
          <w:b/>
        </w:rPr>
        <w:t>陕西交通技师学院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陕西交通技师学院</w:t>
      </w:r>
      <w:r>
        <w:rPr>
          <w:rFonts w:ascii="仿宋_GB2312" w:hAnsi="仿宋_GB2312" w:cs="仿宋_GB2312" w:eastAsia="仿宋_GB2312"/>
        </w:rPr>
        <w:t>委托，拟对</w:t>
      </w:r>
      <w:r>
        <w:rPr>
          <w:rFonts w:ascii="仿宋_GB2312" w:hAnsi="仿宋_GB2312" w:cs="仿宋_GB2312" w:eastAsia="仿宋_GB2312"/>
        </w:rPr>
        <w:t>小操场提升改造项目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SXZCZB2026-ZCCS--0528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小操场提升改造项目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对小操场实施改造，改造后可实现校园内人车分流，改造后学生校内活动场地增加2000多平方。改造后可以停车120多辆，改造面积3000多平方，主体结构采用混凝土浇筑。(具体内容详见工程量清单)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磋商响应文件截止之日前两年内（2024年和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9、企业资质：供应商须具备【建筑工程施工总承包三级】及以上资质，并提供有效的安全生产许可证；</w:t>
      </w:r>
    </w:p>
    <w:p>
      <w:pPr>
        <w:pStyle w:val="null3"/>
      </w:pPr>
      <w:r>
        <w:rPr>
          <w:rFonts w:ascii="仿宋_GB2312" w:hAnsi="仿宋_GB2312" w:cs="仿宋_GB2312" w:eastAsia="仿宋_GB2312"/>
        </w:rPr>
        <w:t>10、项目经理：供应商拟派项目经理须具备建筑工程专业二级及以上注册建造师资质、具有安全生产考核合格证（B证），且无在建工程（提供无在建承诺书）；</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12、非联合体承诺：本项目不接受联合体磋商（需提供承诺书）。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陕西交通技师学院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泾河新城泾阳县永乐镇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713702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18829789989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说明：须在合同签订前将履约保证金转入发包人账户，逾期未缴视为自动放弃中标资格。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代理服务费收费标准：按照国家计委计价格[2002]1980号文件、国家发改委发改办价格[2003]857号文件、国家发改委发改价格[2011]534号文件规定标准x80%计取。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陕西交通技师学院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陕西交通技师学院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陕西交通技师学院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3,950,000.00</w:t>
      </w:r>
    </w:p>
    <w:p>
      <w:pPr>
        <w:pStyle w:val="null3"/>
      </w:pPr>
      <w:r>
        <w:rPr>
          <w:rFonts w:ascii="仿宋_GB2312" w:hAnsi="仿宋_GB2312" w:cs="仿宋_GB2312" w:eastAsia="仿宋_GB2312"/>
        </w:rPr>
        <w:t>采购包最高限价（元）: 3,949,227.01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小操场提升改造项目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标的名称：小操场提升改造项目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一、工程概况及编制范围：</w:t>
            </w:r>
          </w:p>
          <w:p>
            <w:pPr>
              <w:pStyle w:val="null3"/>
              <w:ind w:firstLine="480"/>
            </w:pPr>
            <w:r>
              <w:rPr>
                <w:rFonts w:ascii="仿宋_GB2312" w:hAnsi="仿宋_GB2312" w:cs="仿宋_GB2312" w:eastAsia="仿宋_GB2312"/>
                <w:sz w:val="24"/>
              </w:rPr>
              <w:t>编制范围：本项目为陕西交通技师学院小操场提升改造项目。具体范围包括：拆除原小操场的悬浮地面基层、新建一层钢筋混凝土框架停车场建筑、结构、消防水、电气及消防应急照明、自流平环氧砂浆停车场地面及标识标线，屋面运动场周边使用成品高防护铁丝网、停车场画标识标线等所有内容。</w:t>
            </w:r>
          </w:p>
          <w:p>
            <w:pPr>
              <w:pStyle w:val="null3"/>
              <w:ind w:firstLine="482"/>
            </w:pPr>
            <w:r>
              <w:rPr>
                <w:rFonts w:ascii="仿宋_GB2312" w:hAnsi="仿宋_GB2312" w:cs="仿宋_GB2312" w:eastAsia="仿宋_GB2312"/>
                <w:sz w:val="24"/>
                <w:b/>
              </w:rPr>
              <w:t>二、编制依据：</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、本工程依据陕西交通技师学院小操场提升改造项目施工图；</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、《陕西省房屋建筑与装饰工程工程工程量计算标准》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、《陕西省通用安装工程工程量计算标准》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、《陕西省建筑工程费用清单》</w:t>
            </w:r>
            <w:r>
              <w:rPr>
                <w:rFonts w:ascii="仿宋_GB2312" w:hAnsi="仿宋_GB2312" w:cs="仿宋_GB2312" w:eastAsia="仿宋_GB2312"/>
                <w:sz w:val="24"/>
              </w:rPr>
              <w:t>(2025)</w:t>
            </w:r>
            <w:r>
              <w:rPr>
                <w:rFonts w:ascii="仿宋_GB2312" w:hAnsi="仿宋_GB2312" w:cs="仿宋_GB2312" w:eastAsia="仿宋_GB2312"/>
                <w:sz w:val="24"/>
              </w:rPr>
              <w:t>及现行造价政策及相关法律法规编制。</w:t>
            </w:r>
          </w:p>
          <w:p>
            <w:pPr>
              <w:pStyle w:val="null3"/>
              <w:ind w:firstLine="482"/>
            </w:pPr>
            <w:r>
              <w:rPr>
                <w:rFonts w:ascii="仿宋_GB2312" w:hAnsi="仿宋_GB2312" w:cs="仿宋_GB2312" w:eastAsia="仿宋_GB2312"/>
                <w:sz w:val="24"/>
                <w:b/>
              </w:rPr>
              <w:t>三、其他说明：</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、本项目预留金</w:t>
            </w:r>
            <w:r>
              <w:rPr>
                <w:rFonts w:ascii="仿宋_GB2312" w:hAnsi="仿宋_GB2312" w:cs="仿宋_GB2312" w:eastAsia="仿宋_GB2312"/>
                <w:sz w:val="24"/>
              </w:rPr>
              <w:t>18</w:t>
            </w:r>
            <w:r>
              <w:rPr>
                <w:rFonts w:ascii="仿宋_GB2312" w:hAnsi="仿宋_GB2312" w:cs="仿宋_GB2312" w:eastAsia="仿宋_GB2312"/>
                <w:sz w:val="24"/>
              </w:rPr>
              <w:t>万元，列入其他项目费中；</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、原小操场悬浮地面拆除及恢复、原场地运动器材拆安、移植乔木、柱面抹灰均不在本次招标范围。</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、本工程量清单及计价采用广联达云计价平台</w:t>
            </w:r>
            <w:r>
              <w:rPr>
                <w:rFonts w:ascii="仿宋_GB2312" w:hAnsi="仿宋_GB2312" w:cs="仿宋_GB2312" w:eastAsia="仿宋_GB2312"/>
                <w:sz w:val="24"/>
              </w:rPr>
              <w:t>GCCP7.0</w:t>
            </w:r>
            <w:r>
              <w:rPr>
                <w:rFonts w:ascii="仿宋_GB2312" w:hAnsi="仿宋_GB2312" w:cs="仿宋_GB2312" w:eastAsia="仿宋_GB2312"/>
                <w:sz w:val="24"/>
              </w:rPr>
              <w:t>（</w:t>
            </w:r>
            <w:r>
              <w:rPr>
                <w:rFonts w:ascii="仿宋_GB2312" w:hAnsi="仿宋_GB2312" w:cs="仿宋_GB2312" w:eastAsia="仿宋_GB2312"/>
                <w:sz w:val="24"/>
              </w:rPr>
              <w:t>7.5000.23.2</w:t>
            </w:r>
            <w:r>
              <w:rPr>
                <w:rFonts w:ascii="仿宋_GB2312" w:hAnsi="仿宋_GB2312" w:cs="仿宋_GB2312" w:eastAsia="仿宋_GB2312"/>
                <w:sz w:val="24"/>
              </w:rPr>
              <w:t>）编制。</w:t>
            </w:r>
          </w:p>
          <w:p>
            <w:pPr>
              <w:pStyle w:val="null3"/>
            </w:pPr>
            <w:r>
              <w:rPr>
                <w:rFonts w:ascii="仿宋_GB2312" w:hAnsi="仿宋_GB2312" w:cs="仿宋_GB2312" w:eastAsia="仿宋_GB2312"/>
                <w:sz w:val="24"/>
                <w:b/>
              </w:rPr>
              <w:t>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1、本项目工期:90天； 2、工程建设地点:采购人指定地点: 3、合同支付约定:(1)付款条件说明:第一次支付:合同签订后，主材到货进场，乙方提供合规发票，达到付款条件起10日内，支付合同总金额的40.00%。(2)付款条件说明:第二次支付:工程量达到80%，甲方对已完成工程量进行确认，乙方提供合规发票，达到付款条件起10日内，支付合同总金额的30.00%。(3)付款条件说明:第三次支付:工程量达到100%，甲方对已完成工程量进行确认，达到付款条件起10日内，支付合同总金额的20.00%。(4)付款条件说明:第四次支付:工程通过竣工验收，结算完成后，乙方提供合规发票，达到付款条件起10日内，支付合同总金额的10.00%。4、供应商在施工中应妥善处理好与施工相关的各方面关系，自行解决施工遇到的各项问题及发生的纠纷，并承担由此产生的法律责任及费用。5、供应商应具有协调当地建设管理部门的能力和解决问题的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和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供应商拟派项目经理须具备建筑工程专业二级及以上注册建造师资质、具有安全生产考核合格证（B证），且无在建工程（提供无在建承诺书）；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竞争性磋商响应文件构成是否有重大缺项，是否按照竞争性磋商文件要求的格式编写竟争性磋商响应文件。</w:t>
            </w:r>
          </w:p>
        </w:tc>
        <w:tc>
          <w:tcPr>
            <w:tcW w:type="dxa" w:w="1661"/>
          </w:tcPr>
          <w:p>
            <w:pPr>
              <w:pStyle w:val="null3"/>
            </w:pPr>
            <w:r>
              <w:rPr>
                <w:rFonts w:ascii="仿宋_GB2312" w:hAnsi="仿宋_GB2312" w:cs="仿宋_GB2312" w:eastAsia="仿宋_GB2312"/>
              </w:rPr>
              <w:t>响应文件封面 已标价工程量清单 1、特定资格证明文件.docx 5、其它.docx 项目管理机构组成表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已标价工程量清单 1、特定资格证明文件.docx 5、其它.docx 项目管理机构组成表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已标价工程量清单 1、特定资格证明文件.docx 5、其它.docx 项目管理机构组成表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收入口管理、交通组织安排、消防及道路安排。 二、评审标准 1、完整性：方案必须全面，对评审内容中的各项要求有详细描述；2、可实施性：切合本项目实际情况，提出步骤清晰、合理的方案；3、针对性：方案能够紧扣项目实际情况，内容科学合理。 三、赋分标准（满分9分） ①施工目标：每完全满足一个评审标准得1分，满分3分；②施工准备：每完全满足一个评审标准得1分，满分3分；③施工平面布置与安排：每完全满足一个评审标准得1分，满分3分。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1、完整性：方案必须全面，对评审内容中的各项要求有详细描述；2、可实施性：切合本项目实际情况，提出步骤清晰、合理的方案；3、针对性：方案能够紧扣项目实际情况，内容科学合理。 三、赋分标准（满分9分） ①施工进度计划图：每完全满足一个评审标准得1分，满分3分； ②进度计划保证措施：每完全满足一个评审标准得1分，满分3分；③工期保证措施：每完全满足一个评审标准得1分，满分3分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三、赋分标准（12分） ①工程重难点及解决措施：每完全满足一个评审标准得1.5分，满分4.5分；②工程施工方法：每完全满足一个评审标准得1.5分，满分4.5分；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2、可实施性：切合本项目实际情况，提出步骤清晰、合理的方案；3、针对性：方案能够紧扣项目实际情况，内容科学合理。 三、赋分标准（满分3分）①新材料：每完全满足一个评审标准得0.5分，满分1.5分；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复印件），每提供一项上述业绩的得2分，最高得6分。不提供或缺项不得分。（合同至少包括首页、采购内容页、金额页、甲乙双方签字盖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满足磋商文件要求且最后报价最低的供应商的价格为磋商基准价得35分，其他各供应商的最后报价得分按下列公式计算：（磋商基准价/最后磋商报价）×35％×100。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详见附件：2、磋商项目技术、服务、商务及其他要求条款偏离表.docx</w:t>
      </w:r>
    </w:p>
    <w:p>
      <w:pPr>
        <w:pStyle w:val="null3"/>
        <w:ind w:firstLine="960"/>
      </w:pPr>
      <w:r>
        <w:rPr>
          <w:rFonts w:ascii="仿宋_GB2312" w:hAnsi="仿宋_GB2312" w:cs="仿宋_GB2312" w:eastAsia="仿宋_GB2312"/>
        </w:rPr>
        <w:t>详见附件：3、磋商方案.docx</w:t>
      </w:r>
    </w:p>
    <w:p>
      <w:pPr>
        <w:pStyle w:val="null3"/>
        <w:ind w:firstLine="960"/>
      </w:pPr>
      <w:r>
        <w:rPr>
          <w:rFonts w:ascii="仿宋_GB2312" w:hAnsi="仿宋_GB2312" w:cs="仿宋_GB2312" w:eastAsia="仿宋_GB2312"/>
        </w:rPr>
        <w:t>详见附件：4、陕西省政府采购供应商拒绝政府采购领域商业贿赂承诺书.docx</w:t>
      </w:r>
    </w:p>
    <w:p>
      <w:pPr>
        <w:pStyle w:val="null3"/>
        <w:ind w:firstLine="960"/>
      </w:pPr>
      <w:r>
        <w:rPr>
          <w:rFonts w:ascii="仿宋_GB2312" w:hAnsi="仿宋_GB2312" w:cs="仿宋_GB2312" w:eastAsia="仿宋_GB2312"/>
        </w:rPr>
        <w:t>详见附件：5、其它.docx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