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版本号：CGZC-2026-064、XACH2026-05520260614001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2026年度各员工餐厅厨余垃圾清运服务项目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CGZC-2026-064、XACH2026-055</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2026年度各员工餐厅厨余垃圾清运服务项目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CGZC-2026-064、XACH2026-055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2026年度各员工餐厅厨余垃圾清运服务项目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2026年度各员工餐厅厨余垃圾清运服务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采购包1（2026年度各员工餐厅厨余垃圾清运服务项目）：属于专门面向中小企业采购。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4、资质证书：供应商应具有城市生活垃圾经营性清扫、收集、运输服务许可证；供应商需在项目电子化交易系统中按要求上传相应证明文件并进行电子签章。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029-88082857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2026年度各员工餐厅厨余垃圾清运服务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2026年度各员工餐厅厨余垃圾清运服务项目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标的名称：2026年度各员工餐厅厨余垃圾清运服务项目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1、项目名称：2026年度各员工餐厅厨余垃圾清运服务项目</w:t>
            </w:r>
            <w:r>
              <w:br/>
            </w:r>
            <w:r>
              <w:rPr>
                <w:rFonts w:ascii="仿宋_GB2312" w:hAnsi="仿宋_GB2312" w:cs="仿宋_GB2312" w:eastAsia="仿宋_GB2312"/>
              </w:rPr>
              <w:t xml:space="preserve"> 2、服务期限：自合同签订之日起1年，具体起止日期以合同约定为准。</w:t>
            </w:r>
            <w:r>
              <w:br/>
            </w:r>
            <w:r>
              <w:rPr>
                <w:rFonts w:ascii="仿宋_GB2312" w:hAnsi="仿宋_GB2312" w:cs="仿宋_GB2312" w:eastAsia="仿宋_GB2312"/>
              </w:rPr>
              <w:t xml:space="preserve"> 3、服务地点及厨余垃圾量：各员工餐厅，地点分别为综合楼餐厅约为1吨/天、城市管理和综合执法局（梦想公社）约为0.84吨/天、城市管理和综合执法局（环卫基地）约为0.36吨/天、金融商务产业园约为0.24吨/天、数字商贸产业园约为0.24吨/天、湿地文旅产业园约为0.24吨/天、总部创意产业园约为0.36吨/天、雁鸣生态产业园约为0.36吨/天、世园会展产业园约为0.24吨/天、交警一中队约为0.24吨/天、交警二中队约为0.24吨/天、税务局约为0.36吨/天、商务中心约为0.7吨/天。</w:t>
            </w:r>
            <w:r>
              <w:br/>
            </w:r>
            <w:r>
              <w:rPr>
                <w:rFonts w:ascii="仿宋_GB2312" w:hAnsi="仿宋_GB2312" w:cs="仿宋_GB2312" w:eastAsia="仿宋_GB2312"/>
              </w:rPr>
              <w:t xml:space="preserve"> 4、以上服务地点厨余垃圾量仅作为报价参考，最终服务地点固定单价结算，不因服务地点的厨余垃圾量增减改变固定单价。</w:t>
            </w:r>
            <w:r>
              <w:br/>
            </w:r>
            <w:r>
              <w:rPr>
                <w:rFonts w:ascii="仿宋_GB2312" w:hAnsi="仿宋_GB2312" w:cs="仿宋_GB2312" w:eastAsia="仿宋_GB2312"/>
              </w:rPr>
              <w:t xml:space="preserve"> 二、服务内容</w:t>
            </w:r>
            <w:r>
              <w:br/>
            </w:r>
            <w:r>
              <w:rPr>
                <w:rFonts w:ascii="仿宋_GB2312" w:hAnsi="仿宋_GB2312" w:cs="仿宋_GB2312" w:eastAsia="仿宋_GB2312"/>
              </w:rPr>
              <w:t xml:space="preserve"> 1、负责西安浐灞国际港各员工餐厅产生的厨余垃圾（含剩菜剩饭、食材边角料等）上门收集、密闭清运，据统计，浐灞国际港每天产生的厨余垃圾量约为 5.42 吨。</w:t>
            </w:r>
            <w:r>
              <w:br/>
            </w:r>
            <w:r>
              <w:rPr>
                <w:rFonts w:ascii="仿宋_GB2312" w:hAnsi="仿宋_GB2312" w:cs="仿宋_GB2312" w:eastAsia="仿宋_GB2312"/>
              </w:rPr>
              <w:t xml:space="preserve"> 2、负责清运过程中防渗漏、防遗撒、防异味扩散，避免造成二次污染。</w:t>
            </w:r>
            <w:r>
              <w:br/>
            </w:r>
            <w:r>
              <w:rPr>
                <w:rFonts w:ascii="仿宋_GB2312" w:hAnsi="仿宋_GB2312" w:cs="仿宋_GB2312" w:eastAsia="仿宋_GB2312"/>
              </w:rPr>
              <w:t xml:space="preserve"> 3、负责厨余垃圾暂存容器的日常清洗、维护，保持暂存点及周边环境整洁。</w:t>
            </w:r>
            <w:r>
              <w:br/>
            </w:r>
            <w:r>
              <w:rPr>
                <w:rFonts w:ascii="仿宋_GB2312" w:hAnsi="仿宋_GB2312" w:cs="仿宋_GB2312" w:eastAsia="仿宋_GB2312"/>
              </w:rPr>
              <w:t xml:space="preserve"> 三、技术要求</w:t>
            </w:r>
            <w:r>
              <w:br/>
            </w:r>
            <w:r>
              <w:rPr>
                <w:rFonts w:ascii="仿宋_GB2312" w:hAnsi="仿宋_GB2312" w:cs="仿宋_GB2312" w:eastAsia="仿宋_GB2312"/>
              </w:rPr>
              <w:t xml:space="preserve"> 1、服务标准</w:t>
            </w:r>
            <w:r>
              <w:br/>
            </w:r>
            <w:r>
              <w:rPr>
                <w:rFonts w:ascii="仿宋_GB2312" w:hAnsi="仿宋_GB2312" w:cs="仿宋_GB2312" w:eastAsia="仿宋_GB2312"/>
              </w:rPr>
              <w:t xml:space="preserve"> 严格按照《西安市生活垃圾分类管理条例》、《关于统一全市生活垃圾清运车辆外观有关事宜工作的通知》（市城管发〔2019〕309号）、《西安市厨余垃圾收运工作安排意见》（市垃圾分类小组发〔2021〕1号）等有关规定规范作业，并符合西安市厨余垃圾收运工作的相关标准及要求。</w:t>
            </w:r>
            <w:r>
              <w:br/>
            </w:r>
            <w:r>
              <w:rPr>
                <w:rFonts w:ascii="仿宋_GB2312" w:hAnsi="仿宋_GB2312" w:cs="仿宋_GB2312" w:eastAsia="仿宋_GB2312"/>
              </w:rPr>
              <w:t xml:space="preserve"> 2、项目管理团队</w:t>
            </w:r>
            <w:r>
              <w:br/>
            </w:r>
            <w:r>
              <w:rPr>
                <w:rFonts w:ascii="仿宋_GB2312" w:hAnsi="仿宋_GB2312" w:cs="仿宋_GB2312" w:eastAsia="仿宋_GB2312"/>
              </w:rPr>
              <w:t xml:space="preserve"> 各供应商应将管理人员、宣传人员、司机、收运工等人员配备齐全（司机还需提供符合准驾车型的驾驶证），收运作业培训、安全生产记录、日常管理方案等。</w:t>
            </w:r>
            <w:r>
              <w:br/>
            </w:r>
            <w:r>
              <w:rPr>
                <w:rFonts w:ascii="仿宋_GB2312" w:hAnsi="仿宋_GB2312" w:cs="仿宋_GB2312" w:eastAsia="仿宋_GB2312"/>
              </w:rPr>
              <w:t xml:space="preserve"> 3、设备条件</w:t>
            </w:r>
            <w:r>
              <w:br/>
            </w:r>
            <w:r>
              <w:rPr>
                <w:rFonts w:ascii="仿宋_GB2312" w:hAnsi="仿宋_GB2312" w:cs="仿宋_GB2312" w:eastAsia="仿宋_GB2312"/>
              </w:rPr>
              <w:t xml:space="preserve"> （1）应具备本项目所需的餐厨垃圾收运车辆（符合厨余垃圾处理厂进厂要求）车辆。</w:t>
            </w:r>
            <w:r>
              <w:br/>
            </w:r>
            <w:r>
              <w:rPr>
                <w:rFonts w:ascii="仿宋_GB2312" w:hAnsi="仿宋_GB2312" w:cs="仿宋_GB2312" w:eastAsia="仿宋_GB2312"/>
              </w:rPr>
              <w:t xml:space="preserve"> （2）符合西安市关于垃圾清运车辆要求，鼓励使用新能源清运车（2021年3月以后新购垃圾收运车辆必须为新能源车辆）。</w:t>
            </w:r>
            <w:r>
              <w:br/>
            </w:r>
            <w:r>
              <w:rPr>
                <w:rFonts w:ascii="仿宋_GB2312" w:hAnsi="仿宋_GB2312" w:cs="仿宋_GB2312" w:eastAsia="仿宋_GB2312"/>
              </w:rPr>
              <w:t xml:space="preserve"> 4、车辆管理</w:t>
            </w:r>
            <w:r>
              <w:br/>
            </w:r>
            <w:r>
              <w:rPr>
                <w:rFonts w:ascii="仿宋_GB2312" w:hAnsi="仿宋_GB2312" w:cs="仿宋_GB2312" w:eastAsia="仿宋_GB2312"/>
              </w:rPr>
              <w:t xml:space="preserve"> （1）从事厨余垃圾清运的车辆必须符合国家标准及行业规范的相关规定，并到相关部门备案登记，取得信息采集卡后方可进出厨余厂。厨余垃圾清运车辆应按照西安市城市管理和综合执法局要求统一颜色、标识、编号，做到定人、定车、定路线，不得擅自改变车辆用途。</w:t>
            </w:r>
            <w:r>
              <w:br/>
            </w:r>
            <w:r>
              <w:rPr>
                <w:rFonts w:ascii="仿宋_GB2312" w:hAnsi="仿宋_GB2312" w:cs="仿宋_GB2312" w:eastAsia="仿宋_GB2312"/>
              </w:rPr>
              <w:t xml:space="preserve"> （2）厨余垃圾收运车辆应落实每日清洗，定期消杀及维护保养制度，做到外观整洁、标识清晰、装备齐全，箱体密闭，无臭味扩散、无遗撒、滴漏和超载。</w:t>
            </w:r>
            <w:r>
              <w:br/>
            </w:r>
            <w:r>
              <w:rPr>
                <w:rFonts w:ascii="仿宋_GB2312" w:hAnsi="仿宋_GB2312" w:cs="仿宋_GB2312" w:eastAsia="仿宋_GB2312"/>
              </w:rPr>
              <w:t xml:space="preserve"> （3）厨余垃圾收运车辆应定期进行外观、功能、液压、密封性能等项目的强制检测。</w:t>
            </w:r>
            <w:r>
              <w:br/>
            </w:r>
            <w:r>
              <w:rPr>
                <w:rFonts w:ascii="仿宋_GB2312" w:hAnsi="仿宋_GB2312" w:cs="仿宋_GB2312" w:eastAsia="仿宋_GB2312"/>
              </w:rPr>
              <w:t xml:space="preserve"> （4）新增备案车辆必须选用绿色、节能、环保的新能源清运车辆。</w:t>
            </w:r>
            <w:r>
              <w:br/>
            </w:r>
            <w:r>
              <w:rPr>
                <w:rFonts w:ascii="仿宋_GB2312" w:hAnsi="仿宋_GB2312" w:cs="仿宋_GB2312" w:eastAsia="仿宋_GB2312"/>
              </w:rPr>
              <w:t xml:space="preserve"> （5）厨余垃圾收运车辆信息采集卡及车辆行驶证等资料应随车携带。</w:t>
            </w:r>
            <w:r>
              <w:br/>
            </w:r>
            <w:r>
              <w:rPr>
                <w:rFonts w:ascii="仿宋_GB2312" w:hAnsi="仿宋_GB2312" w:cs="仿宋_GB2312" w:eastAsia="仿宋_GB2312"/>
              </w:rPr>
              <w:t xml:space="preserve"> （6）厨余垃圾清运车辆均应安装监控设备，车辆信息、清运路线及区域等相关信息应录入厨余垃圾监控管理平台。</w:t>
            </w:r>
            <w:r>
              <w:br/>
            </w:r>
            <w:r>
              <w:rPr>
                <w:rFonts w:ascii="仿宋_GB2312" w:hAnsi="仿宋_GB2312" w:cs="仿宋_GB2312" w:eastAsia="仿宋_GB2312"/>
              </w:rPr>
              <w:t xml:space="preserve"> （7）厨余垃圾清运车辆应按相关标准配备消防灭火器、安全警示标识等安全设备。</w:t>
            </w:r>
            <w:r>
              <w:br/>
            </w:r>
            <w:r>
              <w:rPr>
                <w:rFonts w:ascii="仿宋_GB2312" w:hAnsi="仿宋_GB2312" w:cs="仿宋_GB2312" w:eastAsia="仿宋_GB2312"/>
              </w:rPr>
              <w:t xml:space="preserve"> （8）厨余垃圾清运车辆，不得使用非法套牌车辆，或将备案车辆号牌使用在非备案清运车辆上。</w:t>
            </w:r>
            <w:r>
              <w:br/>
            </w:r>
            <w:r>
              <w:rPr>
                <w:rFonts w:ascii="仿宋_GB2312" w:hAnsi="仿宋_GB2312" w:cs="仿宋_GB2312" w:eastAsia="仿宋_GB2312"/>
              </w:rPr>
              <w:t xml:space="preserve"> 5、安全生产</w:t>
            </w:r>
            <w:r>
              <w:br/>
            </w:r>
            <w:r>
              <w:rPr>
                <w:rFonts w:ascii="仿宋_GB2312" w:hAnsi="仿宋_GB2312" w:cs="仿宋_GB2312" w:eastAsia="仿宋_GB2312"/>
              </w:rPr>
              <w:t xml:space="preserve"> （1）供应商应制定厨余垃圾收运应急预案，并报采购人备案。当发生突发事件导致厨余垃圾无法正常收运时，应向采购人报备，并立即启动应急预案。</w:t>
            </w:r>
            <w:r>
              <w:br/>
            </w:r>
            <w:r>
              <w:rPr>
                <w:rFonts w:ascii="仿宋_GB2312" w:hAnsi="仿宋_GB2312" w:cs="仿宋_GB2312" w:eastAsia="仿宋_GB2312"/>
              </w:rPr>
              <w:t xml:space="preserve"> （2）供应商应按照国家、省、市安全生产相关法律法规要求，认真履行安全生产主体责任，建立并严格执行安全管理制度和应急保障机制，发生安全事故或应急事件时应及时处理并上报相关部门。</w:t>
            </w:r>
            <w:r>
              <w:br/>
            </w:r>
            <w:r>
              <w:rPr>
                <w:rFonts w:ascii="仿宋_GB2312" w:hAnsi="仿宋_GB2312" w:cs="仿宋_GB2312" w:eastAsia="仿宋_GB2312"/>
              </w:rPr>
              <w:t xml:space="preserve"> （3）厨余垃圾收运车辆驾驶员和其他作业人员应严格遵守出车前、行驶中及收车后的检查制度，认真检查车辆和专用设备，确保车况良好后方可出车，车辆发生故障时及时报修。</w:t>
            </w:r>
            <w:r>
              <w:br/>
            </w:r>
            <w:r>
              <w:rPr>
                <w:rFonts w:ascii="仿宋_GB2312" w:hAnsi="仿宋_GB2312" w:cs="仿宋_GB2312" w:eastAsia="仿宋_GB2312"/>
              </w:rPr>
              <w:t xml:space="preserve"> （4）供应商应定期组织收运车辆驾驶员及收运作业人员进行安全培训，落实日常安全生产及突发事件应急处置的演练。</w:t>
            </w:r>
            <w:r>
              <w:br/>
            </w:r>
            <w:r>
              <w:rPr>
                <w:rFonts w:ascii="仿宋_GB2312" w:hAnsi="仿宋_GB2312" w:cs="仿宋_GB2312" w:eastAsia="仿宋_GB2312"/>
              </w:rPr>
              <w:t xml:space="preserve"> 四、服务要求</w:t>
            </w:r>
            <w:r>
              <w:br/>
            </w:r>
            <w:r>
              <w:rPr>
                <w:rFonts w:ascii="仿宋_GB2312" w:hAnsi="仿宋_GB2312" w:cs="仿宋_GB2312" w:eastAsia="仿宋_GB2312"/>
              </w:rPr>
              <w:t xml:space="preserve"> 1、收运频次</w:t>
            </w:r>
            <w:r>
              <w:br/>
            </w:r>
            <w:r>
              <w:rPr>
                <w:rFonts w:ascii="仿宋_GB2312" w:hAnsi="仿宋_GB2312" w:cs="仿宋_GB2312" w:eastAsia="仿宋_GB2312"/>
              </w:rPr>
              <w:t xml:space="preserve"> 厨余垃圾应做到日产日清,在容器中存放时间夏季不得超过12个小时，冬季不得超过24小时。存放、运输过程中应采取防止发生霉变的措施。</w:t>
            </w:r>
            <w:r>
              <w:br/>
            </w:r>
            <w:r>
              <w:rPr>
                <w:rFonts w:ascii="仿宋_GB2312" w:hAnsi="仿宋_GB2312" w:cs="仿宋_GB2312" w:eastAsia="仿宋_GB2312"/>
              </w:rPr>
              <w:t xml:space="preserve"> 2、服务质量</w:t>
            </w:r>
            <w:r>
              <w:br/>
            </w:r>
            <w:r>
              <w:rPr>
                <w:rFonts w:ascii="仿宋_GB2312" w:hAnsi="仿宋_GB2312" w:cs="仿宋_GB2312" w:eastAsia="仿宋_GB2312"/>
              </w:rPr>
              <w:t xml:space="preserve"> （1）厨余垃圾供应商应严格按照审批的收运范围、收运路线、收运去向进行收运。不得跨标段、跨区域收运（发生应急事件，经采购人调配的除外）。</w:t>
            </w:r>
            <w:r>
              <w:br/>
            </w:r>
            <w:r>
              <w:rPr>
                <w:rFonts w:ascii="仿宋_GB2312" w:hAnsi="仿宋_GB2312" w:cs="仿宋_GB2312" w:eastAsia="仿宋_GB2312"/>
              </w:rPr>
              <w:t xml:space="preserve"> （2）供应商做到厨余垃圾产生单位产生的厨余垃圾日产日清(含法定节假日)，收集的厨余垃圾应当天运送至 末端厨余厂（西安市高陵区康润环保工程有限公司）进行处置。严禁出现因收运不及时造成盛装容器满溢现象。</w:t>
            </w:r>
            <w:r>
              <w:br/>
            </w:r>
            <w:r>
              <w:rPr>
                <w:rFonts w:ascii="仿宋_GB2312" w:hAnsi="仿宋_GB2312" w:cs="仿宋_GB2312" w:eastAsia="仿宋_GB2312"/>
              </w:rPr>
              <w:t xml:space="preserve"> （3）供应商不得无故停止收运，因此产生的问题，按有关规定进行处理。</w:t>
            </w:r>
            <w:r>
              <w:br/>
            </w:r>
            <w:r>
              <w:rPr>
                <w:rFonts w:ascii="仿宋_GB2312" w:hAnsi="仿宋_GB2312" w:cs="仿宋_GB2312" w:eastAsia="仿宋_GB2312"/>
              </w:rPr>
              <w:t xml:space="preserve"> （4）厨余垃圾应采用定时定点的方式进行收集。</w:t>
            </w:r>
            <w:r>
              <w:br/>
            </w:r>
            <w:r>
              <w:rPr>
                <w:rFonts w:ascii="仿宋_GB2312" w:hAnsi="仿宋_GB2312" w:cs="仿宋_GB2312" w:eastAsia="仿宋_GB2312"/>
              </w:rPr>
              <w:t xml:space="preserve"> （5）厨余垃圾收运车辆驾驶员和其他作业人员应严格遵守交通安全法规和单位各项规章制度，服从并配合相关管理部门的监督检查。</w:t>
            </w:r>
            <w:r>
              <w:br/>
            </w:r>
            <w:r>
              <w:rPr>
                <w:rFonts w:ascii="仿宋_GB2312" w:hAnsi="仿宋_GB2312" w:cs="仿宋_GB2312" w:eastAsia="仿宋_GB2312"/>
              </w:rPr>
              <w:t xml:space="preserve"> （6）进出厨余垃圾处理设施时，驾驶员和其他作业人员应当服从现场工作人员的指挥调度，遵守相关作业及管理规定。</w:t>
            </w:r>
            <w:r>
              <w:br/>
            </w:r>
            <w:r>
              <w:rPr>
                <w:rFonts w:ascii="仿宋_GB2312" w:hAnsi="仿宋_GB2312" w:cs="仿宋_GB2312" w:eastAsia="仿宋_GB2312"/>
              </w:rPr>
              <w:t xml:space="preserve"> 五、付款方式及依据：</w:t>
            </w:r>
            <w:r>
              <w:br/>
            </w:r>
            <w:r>
              <w:rPr>
                <w:rFonts w:ascii="仿宋_GB2312" w:hAnsi="仿宋_GB2312" w:cs="仿宋_GB2312" w:eastAsia="仿宋_GB2312"/>
              </w:rPr>
              <w:t xml:space="preserve"> 1、付款方式：按季度为结算周期，上季度服务完成经采购人确认后支付供应商上季度的服务费。</w:t>
            </w:r>
            <w:r>
              <w:br/>
            </w:r>
            <w:r>
              <w:rPr>
                <w:rFonts w:ascii="仿宋_GB2312" w:hAnsi="仿宋_GB2312" w:cs="仿宋_GB2312" w:eastAsia="仿宋_GB2312"/>
              </w:rPr>
              <w:t xml:space="preserve"> ②付款依据：采购合同、经双方确认的清运确认单、供应商提供的等额增值税发票。</w:t>
            </w:r>
            <w:r>
              <w:br/>
            </w:r>
            <w:r>
              <w:rPr>
                <w:rFonts w:ascii="仿宋_GB2312" w:hAnsi="仿宋_GB2312" w:cs="仿宋_GB2312" w:eastAsia="仿宋_GB2312"/>
              </w:rPr>
              <w:t xml:space="preserve"> 六、其他要求</w:t>
            </w:r>
            <w:r>
              <w:br/>
            </w:r>
            <w:r>
              <w:rPr>
                <w:rFonts w:ascii="仿宋_GB2312" w:hAnsi="仿宋_GB2312" w:cs="仿宋_GB2312" w:eastAsia="仿宋_GB2312"/>
              </w:rPr>
              <w:t xml:space="preserve"> 供应商在清运过程中发生的设备或人员损害，或因违章、交通事故发生的损害以及对第三方造成的损害，由供应商相应责任，承担相应赔偿责任。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自合同签订之日起1年，具体起止日期以合同约定为准。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详见服务要求内容。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进度款，按季度为结算周期，上季度服务完成经采购人确认后支付供应商上季度的服务费，达到付款条件起15个工作日内，支付合同总金额的25.0%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进度款，按季度为结算周期，上季度服务完成经采购人确认后支付供应商上季度的服务费，达到付款条件起15个工作日内，支付合同总金额的25.0%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进度款，按季度为结算周期，上季度服务完成经采购人确认后支付供应商上季度的服务费，达到付款条件起15个工作日内，支付合同总金额的25.0%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进度款，按季度为结算周期，上季度服务完成经采购人确认后支付供应商上季度的服务费，达到付款条件起15个工作日内，支付合同总金额的25.0%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为完成本项目磋商文件中所提出的工作范围及要求的全部内容，并达到国家及采购人验收标准而产生的所有费用，合同总价包括服务费、管理费、食宿通讯费、设备费及设备维护费、消杀费、工器具费、人员工资（含社保、补助和奖金）、检修费、收运费、垃圾处置费、交通费、清运车辆需办理的各种证件费、招标代理服务费、保险、利润、税金、风险及完成工作准备阶段、实施阶段、验收阶段等所需的全部费用，任何错报、漏报由乙方自行负责。 2、采购标的对应的中小企业划分标准所属行业：其他未列明行业。从业人员300人以下的为中小微型企业。其中，从业人员100人及以上的为中型企业；从业人员10人及以上的为小型企业；从业人员10人以下的为微型企业。 3、成交人领取成交通知书时须向代理机构提交纸质版磋商响应文件：正本壹份、副本贰份、电子版（U盘）贰份。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 采购标的对应的中小企业划分标准所属行业：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供应商应具有城市生活垃圾经营性清扫、收集、运输服务许可证；供应商需在项目电子化交易系统中按要求上传相应证明文件并进行电子签章。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报价一览表及分项报价表 中小企业声明函 商务应答表 承诺书 服务内容及服务要求应答表 报价表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报价一览表及分项报价表 中小企业声明函 商务应答表 承诺书 服务内容及服务要求应答表 报价表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报价一览表及分项报价表 中小企业声明函 商务应答表 承诺书 服务内容及服务要求应答表 报价表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报价一览表及分项报价表 中小企业声明函 商务应答表 承诺书 服务内容及服务要求应答表 报价表 业绩证明文件及响应方案说明 响应文件封面 资格证明文件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提供2023年以来类似项目业绩合同（以合同签订时间为准），每份计1分，满分4分。 （注：以上证明文件在磋商响应文件中附业绩合同扫描件并加盖公司公章）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包括但不限于：①项目概述与需求理解；②针对本项目的总体服务方案；③服务工作计划安排④投诉处理、问题整改方案；⑤清运台账数据报送方案；⑥突发应急处置保障方案； 二、评审标准 1.完整性：方案须全面，对评审内容中的各项要求有详细描述； 2.可实施性：切合本项目实际情况，实施步骤清晰、合理； 3.针对性：方案能够紧扣项目实际情况，内容科学合理。 三、赋分标准 ①项目概述与需求理解：每完全满足一项评审标准计1分，满分3分。 ②针对本项目的总体服务方案：每完全满足一项评审标准计1分，满分3分。 ③服务工作计划安排：每完全满足一项评审标准计1分，满分3分。 ④投诉处理、问题整改方案：每完全满足一项评审标准计1分，满分3分。 ⑤清运台账数据报送方案：每完全满足一项评审标准计1分，满分3分。 ⑥突发应急处置保障方案：每完全满足一项评审标准计1分，满分3分。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包括但不限于：①设施设备数量投入方案；②设施设备检修、维保措施；③车辆密闭环保技术配置。 二、评审标准 1.完整性：方案须全面，对评审内容中的各项要求有详细描述； 2.可实施性：切合本项目实际情况，实施步骤清晰、合理； 3.针对性：方案能够紧扣项目实际情况，内容科学合理。 三、赋分标准 ①设施设备数量投入方案：每完全满足一项评审标准计1分，满分3分。 ②设施设备检修、维保措施：每完全满足一项评审标准计1分，满分3分。 ③车辆密闭环保技术配置：每完全满足一项评审标准计1分，满分3分。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拟派项目人员配置</w:t>
            </w:r>
          </w:p>
        </w:tc>
        <w:tc>
          <w:tcPr>
            <w:tcW w:type="dxa" w:w="2492"/>
          </w:tcPr>
          <w:p>
            <w:pPr>
              <w:pStyle w:val="null3"/>
            </w:pPr>
            <w:r>
              <w:rPr>
                <w:rFonts w:ascii="仿宋_GB2312" w:hAnsi="仿宋_GB2312" w:cs="仿宋_GB2312" w:eastAsia="仿宋_GB2312"/>
              </w:rPr>
              <w:t>一、评审内容 包括但不限于：①人员配置计划（包括但不限于管理人员、司机、收运工等）；②人员培训方案；③人员专业能力、同类型项目管理经验（提供身份证、健康证、无犯罪证明等相关证明材料）。 注：司机除提供以上证明资料外，还需提供符合准驾车型的驾驶证并加盖公章。 二、评审标准 1.完整性：方案须全面，对评审内容中的各项要求有详细描述； 2.可实施性：切合本项目实际情况，实施步骤清晰、合理； 3.针对性：方案能够紧扣项目实际情况，内容科学合理。 三、赋分标准 ①人员配置计划：每完全满足一项评审标准计1分，满分3分。 ②人员培训方案：每完全满足一项评审标准计1分，满分3分。 ③人员专业能力、同类型项目管理经验：每完全满足一项评审标准计1分，满分3分。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 包括但不限于：①运输车辆安全保障方案；②收运现场作业安全防护方案；③全员安全教育与持证管理。 二、评审标准 1.完整性：方案须全面，对评审内容中的各项要求有详细描述； 2.可实施性：切合本项目实际情况，实施步骤清晰、合理； 3.针对性：方案能够紧扣项目实际情况，内容科学合理。 三、赋分标准 ①运输车辆安全保障方案：每完全满足一项评审标准计1分，满分3分。 ②收运现场作业安全防护方案：每完全满足一项评审标准计1分，满分3分。 ③全员安全教育与持证管理：每完全满足一项评审标准1分，满分3分。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包括但不限于：①质量目标管理体系；②清运服务质量保障方案；③收运作业全过程管控措施；④环保防控措施。 二、评审标准 1.完整性：方案须全面，对评审内容中的各项要求有详细描述； 2.可实施性：切合本项目实际情况，实施步骤清晰、合理； 3.针对性：方案能够紧扣项目实际情况，内容科学合理。 三、赋分标准 ①质量目标管理体系：每完全满足一项评审标准计1分，满分3分。 ②清运服务质量保障方案：每完全满足一项评审标准计1分，满分3分。 ③收运作业全过程管控措施：每完全满足一项评审标准计1分，满分3分。 ④环保防控措施：每完全满足一项评审标准计1分，满分3分。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服务承诺及建议</w:t>
            </w:r>
          </w:p>
        </w:tc>
        <w:tc>
          <w:tcPr>
            <w:tcW w:type="dxa" w:w="2492"/>
          </w:tcPr>
          <w:p>
            <w:pPr>
              <w:pStyle w:val="null3"/>
            </w:pPr>
            <w:r>
              <w:rPr>
                <w:rFonts w:ascii="仿宋_GB2312" w:hAnsi="仿宋_GB2312" w:cs="仿宋_GB2312" w:eastAsia="仿宋_GB2312"/>
              </w:rPr>
              <w:t>一、评审内容 包括但不限于：①承诺完全响应磋商文件和合同条款的要求；②人员配备响应承诺；③服务质量承诺及进度保证；④承诺在合同履行中采购人若提出意见，供应商全力配合整改；⑤合理化建议。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①承诺完全响应磋商文件和合同条款的要求：每完全满足一项评审标准计1分，满分3分。 ②人员配备响应承诺：每完全满足一项评审标准计1分，满分3分。 ③服务质量承诺及进度保证：每完全满足一项评审标准计1分，满分3分。 ④承诺在合同履行中采购人若提出意见，供应商全力配合整改：每完全满足一项评审标准计1分，满分3分。 ⑤合理化建议：每完全满足一项评审标准计1分，满分3分。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重难点问题解决方案</w:t>
            </w:r>
          </w:p>
        </w:tc>
        <w:tc>
          <w:tcPr>
            <w:tcW w:type="dxa" w:w="2492"/>
          </w:tcPr>
          <w:p>
            <w:pPr>
              <w:pStyle w:val="null3"/>
            </w:pPr>
            <w:r>
              <w:rPr>
                <w:rFonts w:ascii="仿宋_GB2312" w:hAnsi="仿宋_GB2312" w:cs="仿宋_GB2312" w:eastAsia="仿宋_GB2312"/>
              </w:rPr>
              <w:t>一、评审内容 包括但不限于：①极端天气与节假日运力保障方案；②渗滤液泄漏、异味防控难点处理方案；③突发运力不足调配方案。 二、评审标准 1.完整性：方案须全面，对评审内容中的各项要求有详细描述； 2.可实施性：切合本项目实际情况，实施步骤清晰、合理； 3.针对性：方案能够紧扣项目实际情况，内容科学合理。 三、赋分标准 ①极端天气与节假日运力保障方案：每完全满足一项评审标准计1分，满分3分。 ②渗滤液泄漏、异味防控难点处理方案：每完全满足一项评审标准计1分，满分3分。 ③突发运力不足调配方案：每完全满足一项评审标准计1分，满分3分。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 （5）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磋商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