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596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仿宋" w:hAnsi="仿宋" w:eastAsia="仿宋" w:cs="仿宋"/>
          <w:b/>
          <w:bCs/>
          <w:i w:val="0"/>
          <w:iCs w:val="0"/>
          <w:caps w:val="0"/>
          <w:color w:val="auto"/>
          <w:spacing w:val="0"/>
          <w:sz w:val="32"/>
          <w:szCs w:val="32"/>
          <w:highlight w:val="none"/>
        </w:rPr>
      </w:pPr>
      <w:r>
        <w:rPr>
          <w:rFonts w:ascii="仿宋" w:hAnsi="仿宋" w:eastAsia="仿宋" w:cs="宋体"/>
          <w:color w:val="auto"/>
          <w:sz w:val="32"/>
          <w:szCs w:val="32"/>
          <w:highlight w:val="none"/>
          <w:lang w:eastAsia="zh-CN"/>
        </w:rPr>
        <w:t>拟签订采购合同文本</w:t>
      </w:r>
    </w:p>
    <w:p w14:paraId="3BE86DE2">
      <w:pPr>
        <w:pStyle w:val="3"/>
        <w:rPr>
          <w:color w:val="auto"/>
          <w:highlight w:val="none"/>
          <w:lang w:eastAsia="zh-CN"/>
        </w:rPr>
      </w:pPr>
    </w:p>
    <w:p w14:paraId="6B5A8B92">
      <w:pPr>
        <w:spacing w:line="360" w:lineRule="auto"/>
        <w:jc w:val="both"/>
        <w:rPr>
          <w:rFonts w:hint="eastAsia" w:ascii="仿宋" w:hAnsi="仿宋" w:eastAsia="仿宋" w:cs="仿宋"/>
          <w:b/>
          <w:bCs/>
          <w:color w:val="auto"/>
          <w:sz w:val="40"/>
          <w:szCs w:val="40"/>
          <w:highlight w:val="none"/>
          <w:lang w:eastAsia="zh-CN"/>
        </w:rPr>
      </w:pPr>
      <w:bookmarkStart w:id="0" w:name="_GoBack"/>
      <w:bookmarkEnd w:id="0"/>
    </w:p>
    <w:p w14:paraId="53B196A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b/>
          <w:bCs/>
          <w:color w:val="auto"/>
          <w:sz w:val="40"/>
          <w:szCs w:val="40"/>
          <w:highlight w:val="none"/>
          <w:lang w:eastAsia="zh-CN"/>
        </w:rPr>
      </w:pPr>
    </w:p>
    <w:p w14:paraId="0609ADA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rPr>
          <w:rFonts w:hint="default" w:ascii="仿宋" w:hAnsi="仿宋" w:eastAsia="仿宋" w:cs="仿宋"/>
          <w:b/>
          <w:bCs/>
          <w:color w:val="auto"/>
          <w:sz w:val="40"/>
          <w:szCs w:val="40"/>
          <w:highlight w:val="none"/>
          <w:lang w:val="en-US" w:eastAsia="zh-CN"/>
        </w:rPr>
      </w:pPr>
      <w:r>
        <w:rPr>
          <w:rFonts w:hint="eastAsia" w:ascii="仿宋" w:hAnsi="仿宋" w:eastAsia="仿宋" w:cs="仿宋"/>
          <w:b/>
          <w:bCs/>
          <w:color w:val="auto"/>
          <w:sz w:val="40"/>
          <w:szCs w:val="40"/>
          <w:highlight w:val="none"/>
          <w:lang w:eastAsia="zh-CN"/>
        </w:rPr>
        <w:t>2026年度各员工餐厅厨余垃圾清运服务</w:t>
      </w:r>
      <w:r>
        <w:rPr>
          <w:rFonts w:hint="eastAsia" w:ascii="仿宋" w:hAnsi="仿宋" w:eastAsia="仿宋" w:cs="仿宋"/>
          <w:b/>
          <w:bCs/>
          <w:color w:val="auto"/>
          <w:sz w:val="40"/>
          <w:szCs w:val="40"/>
          <w:highlight w:val="none"/>
          <w:lang w:val="en-US" w:eastAsia="zh-CN"/>
        </w:rPr>
        <w:t>项目</w:t>
      </w:r>
    </w:p>
    <w:p w14:paraId="722A66EE">
      <w:pPr>
        <w:spacing w:line="360" w:lineRule="auto"/>
        <w:ind w:firstLine="560" w:firstLineChars="200"/>
        <w:jc w:val="center"/>
        <w:rPr>
          <w:rFonts w:hint="eastAsia" w:ascii="仿宋" w:hAnsi="仿宋" w:eastAsia="仿宋" w:cs="仿宋"/>
          <w:color w:val="auto"/>
          <w:sz w:val="28"/>
          <w:szCs w:val="28"/>
          <w:highlight w:val="none"/>
          <w:lang w:eastAsia="zh-CN"/>
        </w:rPr>
      </w:pPr>
    </w:p>
    <w:p w14:paraId="6D0CD946">
      <w:pPr>
        <w:spacing w:line="540" w:lineRule="exact"/>
        <w:jc w:val="center"/>
        <w:rPr>
          <w:rFonts w:hint="eastAsia" w:ascii="仿宋" w:hAnsi="仿宋" w:eastAsia="仿宋" w:cs="仿宋"/>
          <w:b/>
          <w:color w:val="auto"/>
          <w:kern w:val="0"/>
          <w:sz w:val="52"/>
          <w:szCs w:val="52"/>
        </w:rPr>
      </w:pPr>
    </w:p>
    <w:p w14:paraId="32CF4464">
      <w:pPr>
        <w:spacing w:line="540" w:lineRule="exact"/>
        <w:jc w:val="center"/>
        <w:rPr>
          <w:rFonts w:hint="eastAsia" w:ascii="仿宋" w:hAnsi="仿宋" w:eastAsia="仿宋" w:cs="仿宋"/>
          <w:b/>
          <w:color w:val="auto"/>
          <w:kern w:val="0"/>
          <w:sz w:val="52"/>
          <w:szCs w:val="52"/>
        </w:rPr>
      </w:pPr>
    </w:p>
    <w:p w14:paraId="24830329">
      <w:pPr>
        <w:spacing w:line="540" w:lineRule="exact"/>
        <w:jc w:val="center"/>
        <w:rPr>
          <w:rFonts w:hint="eastAsia" w:ascii="仿宋" w:hAnsi="仿宋" w:eastAsia="仿宋" w:cs="仿宋"/>
          <w:b/>
          <w:color w:val="auto"/>
          <w:kern w:val="0"/>
          <w:sz w:val="52"/>
          <w:szCs w:val="52"/>
          <w:lang w:val="en-US" w:eastAsia="zh-CN"/>
        </w:rPr>
      </w:pPr>
      <w:r>
        <w:rPr>
          <w:rFonts w:hint="eastAsia" w:ascii="仿宋" w:hAnsi="仿宋" w:eastAsia="仿宋" w:cs="仿宋"/>
          <w:b/>
          <w:color w:val="auto"/>
          <w:kern w:val="0"/>
          <w:sz w:val="52"/>
          <w:szCs w:val="52"/>
        </w:rPr>
        <w:t xml:space="preserve">合 同 </w:t>
      </w:r>
      <w:r>
        <w:rPr>
          <w:rFonts w:hint="eastAsia" w:ascii="仿宋" w:hAnsi="仿宋" w:eastAsia="仿宋" w:cs="仿宋"/>
          <w:b/>
          <w:color w:val="auto"/>
          <w:kern w:val="0"/>
          <w:sz w:val="52"/>
          <w:szCs w:val="52"/>
          <w:lang w:val="en-US" w:eastAsia="zh-CN"/>
        </w:rPr>
        <w:t>条 款</w:t>
      </w:r>
    </w:p>
    <w:p w14:paraId="15917786">
      <w:pPr>
        <w:spacing w:line="540" w:lineRule="exact"/>
        <w:jc w:val="center"/>
        <w:rPr>
          <w:rFonts w:hint="eastAsia" w:ascii="仿宋" w:hAnsi="仿宋" w:eastAsia="仿宋" w:cs="仿宋"/>
          <w:b/>
          <w:color w:val="auto"/>
          <w:kern w:val="0"/>
          <w:sz w:val="52"/>
          <w:szCs w:val="52"/>
        </w:rPr>
      </w:pPr>
      <w:r>
        <w:rPr>
          <w:rFonts w:hint="eastAsia" w:ascii="仿宋" w:hAnsi="仿宋" w:eastAsia="仿宋" w:cs="仿宋"/>
          <w:b/>
          <w:color w:val="auto"/>
          <w:kern w:val="0"/>
          <w:szCs w:val="21"/>
        </w:rPr>
        <w:t>（本格式条款供双方签订合同参考，采购人可根据项目的实际情况增加条款和内容）</w:t>
      </w:r>
    </w:p>
    <w:p w14:paraId="138ADF1B">
      <w:pPr>
        <w:spacing w:line="560" w:lineRule="exact"/>
        <w:jc w:val="center"/>
        <w:rPr>
          <w:rFonts w:hint="eastAsia" w:ascii="仿宋" w:hAnsi="仿宋" w:eastAsia="仿宋" w:cs="仿宋"/>
          <w:b/>
          <w:color w:val="auto"/>
          <w:kern w:val="0"/>
          <w:sz w:val="36"/>
          <w:szCs w:val="36"/>
        </w:rPr>
      </w:pPr>
    </w:p>
    <w:p w14:paraId="26DDD6D8">
      <w:pPr>
        <w:spacing w:line="560" w:lineRule="exact"/>
        <w:jc w:val="center"/>
        <w:rPr>
          <w:rFonts w:hint="eastAsia" w:ascii="仿宋" w:hAnsi="仿宋" w:eastAsia="仿宋" w:cs="仿宋"/>
          <w:b/>
          <w:color w:val="auto"/>
          <w:kern w:val="0"/>
          <w:sz w:val="36"/>
          <w:szCs w:val="36"/>
        </w:rPr>
      </w:pPr>
      <w:r>
        <w:rPr>
          <w:rFonts w:hint="eastAsia" w:ascii="仿宋" w:hAnsi="仿宋" w:eastAsia="仿宋" w:cs="仿宋"/>
          <w:b/>
          <w:color w:val="auto"/>
          <w:kern w:val="0"/>
          <w:sz w:val="36"/>
          <w:szCs w:val="36"/>
        </w:rPr>
        <w:t>合同编号：XXXX</w:t>
      </w:r>
    </w:p>
    <w:p w14:paraId="364369B1">
      <w:pPr>
        <w:pStyle w:val="4"/>
        <w:rPr>
          <w:rFonts w:hint="eastAsia"/>
          <w:color w:val="auto"/>
          <w:lang w:eastAsia="zh-CN"/>
        </w:rPr>
      </w:pPr>
    </w:p>
    <w:p w14:paraId="25BE2079">
      <w:pPr>
        <w:spacing w:line="360" w:lineRule="auto"/>
        <w:ind w:firstLine="560" w:firstLineChars="200"/>
        <w:rPr>
          <w:rFonts w:hint="eastAsia" w:ascii="仿宋" w:hAnsi="仿宋" w:eastAsia="仿宋" w:cs="仿宋"/>
          <w:color w:val="auto"/>
          <w:sz w:val="28"/>
          <w:szCs w:val="28"/>
          <w:highlight w:val="none"/>
          <w:lang w:eastAsia="zh-CN"/>
        </w:rPr>
      </w:pPr>
    </w:p>
    <w:p w14:paraId="2A2D143E">
      <w:pPr>
        <w:pStyle w:val="4"/>
        <w:rPr>
          <w:rFonts w:hint="eastAsia" w:ascii="仿宋" w:hAnsi="仿宋" w:eastAsia="仿宋" w:cs="仿宋"/>
          <w:color w:val="auto"/>
          <w:sz w:val="28"/>
          <w:szCs w:val="28"/>
          <w:highlight w:val="none"/>
          <w:lang w:eastAsia="zh-CN"/>
        </w:rPr>
      </w:pPr>
    </w:p>
    <w:p w14:paraId="72A4FAEF">
      <w:pPr>
        <w:pStyle w:val="4"/>
        <w:rPr>
          <w:rFonts w:hint="eastAsia" w:ascii="仿宋" w:hAnsi="仿宋" w:eastAsia="仿宋" w:cs="仿宋"/>
          <w:color w:val="auto"/>
          <w:sz w:val="28"/>
          <w:szCs w:val="28"/>
          <w:highlight w:val="none"/>
          <w:lang w:eastAsia="zh-CN"/>
        </w:rPr>
      </w:pPr>
    </w:p>
    <w:p w14:paraId="2B71F562">
      <w:pPr>
        <w:pStyle w:val="4"/>
        <w:rPr>
          <w:rFonts w:hint="eastAsia" w:ascii="仿宋" w:hAnsi="仿宋" w:eastAsia="仿宋" w:cs="仿宋"/>
          <w:color w:val="auto"/>
          <w:sz w:val="28"/>
          <w:szCs w:val="28"/>
          <w:highlight w:val="none"/>
          <w:lang w:eastAsia="zh-CN"/>
        </w:rPr>
      </w:pPr>
    </w:p>
    <w:p w14:paraId="3F590F85">
      <w:pPr>
        <w:pStyle w:val="4"/>
        <w:rPr>
          <w:rFonts w:hint="eastAsia" w:ascii="仿宋" w:hAnsi="仿宋" w:eastAsia="仿宋" w:cs="仿宋"/>
          <w:color w:val="auto"/>
          <w:sz w:val="28"/>
          <w:szCs w:val="28"/>
          <w:highlight w:val="none"/>
          <w:lang w:eastAsia="zh-CN"/>
        </w:rPr>
      </w:pPr>
    </w:p>
    <w:p w14:paraId="48B7660A">
      <w:pPr>
        <w:pStyle w:val="4"/>
        <w:rPr>
          <w:rFonts w:hint="eastAsia" w:ascii="仿宋" w:hAnsi="仿宋" w:eastAsia="仿宋" w:cs="仿宋"/>
          <w:color w:val="auto"/>
          <w:sz w:val="28"/>
          <w:szCs w:val="28"/>
          <w:highlight w:val="none"/>
          <w:lang w:eastAsia="zh-CN"/>
        </w:rPr>
      </w:pPr>
    </w:p>
    <w:p w14:paraId="477FD8F1">
      <w:pPr>
        <w:pStyle w:val="4"/>
        <w:rPr>
          <w:rFonts w:hint="eastAsia" w:ascii="仿宋" w:hAnsi="仿宋" w:eastAsia="仿宋" w:cs="仿宋"/>
          <w:color w:val="auto"/>
          <w:sz w:val="28"/>
          <w:szCs w:val="28"/>
          <w:highlight w:val="none"/>
          <w:lang w:eastAsia="zh-CN"/>
        </w:rPr>
      </w:pPr>
    </w:p>
    <w:p w14:paraId="00FCAB97">
      <w:pPr>
        <w:pStyle w:val="4"/>
        <w:rPr>
          <w:rFonts w:hint="eastAsia" w:ascii="仿宋" w:hAnsi="仿宋" w:eastAsia="仿宋" w:cs="仿宋"/>
          <w:color w:val="auto"/>
          <w:sz w:val="28"/>
          <w:szCs w:val="28"/>
          <w:highlight w:val="none"/>
          <w:lang w:eastAsia="zh-CN"/>
        </w:rPr>
      </w:pPr>
    </w:p>
    <w:p w14:paraId="53E0F0A0">
      <w:pPr>
        <w:pStyle w:val="4"/>
        <w:rPr>
          <w:rFonts w:hint="eastAsia" w:ascii="仿宋" w:hAnsi="仿宋" w:eastAsia="仿宋" w:cs="仿宋"/>
          <w:color w:val="auto"/>
          <w:sz w:val="28"/>
          <w:szCs w:val="28"/>
          <w:highlight w:val="none"/>
          <w:lang w:eastAsia="zh-CN"/>
        </w:rPr>
      </w:pPr>
    </w:p>
    <w:p w14:paraId="0D4ED7C3">
      <w:pPr>
        <w:pStyle w:val="4"/>
        <w:rPr>
          <w:rFonts w:hint="eastAsia" w:ascii="仿宋" w:hAnsi="仿宋" w:eastAsia="仿宋" w:cs="仿宋"/>
          <w:color w:val="auto"/>
          <w:sz w:val="28"/>
          <w:szCs w:val="28"/>
          <w:highlight w:val="none"/>
          <w:lang w:eastAsia="zh-CN"/>
        </w:rPr>
      </w:pPr>
    </w:p>
    <w:p w14:paraId="4F5153B9">
      <w:pPr>
        <w:spacing w:line="360" w:lineRule="auto"/>
        <w:ind w:firstLine="560" w:firstLineChars="200"/>
        <w:rPr>
          <w:rFonts w:hint="eastAsia" w:ascii="仿宋" w:hAnsi="仿宋" w:eastAsia="仿宋" w:cs="仿宋"/>
          <w:color w:val="auto"/>
          <w:sz w:val="28"/>
          <w:szCs w:val="28"/>
          <w:highlight w:val="none"/>
          <w:lang w:eastAsia="zh-CN"/>
        </w:rPr>
      </w:pPr>
    </w:p>
    <w:p w14:paraId="4CF00E95">
      <w:pPr>
        <w:spacing w:line="360" w:lineRule="auto"/>
        <w:ind w:firstLine="560" w:firstLineChars="200"/>
        <w:rPr>
          <w:rFonts w:hint="eastAsia" w:ascii="仿宋" w:hAnsi="仿宋" w:eastAsia="仿宋" w:cs="仿宋"/>
          <w:color w:val="auto"/>
          <w:sz w:val="28"/>
          <w:szCs w:val="28"/>
          <w:highlight w:val="none"/>
          <w:lang w:eastAsia="zh-CN"/>
        </w:rPr>
      </w:pPr>
    </w:p>
    <w:p w14:paraId="77C3281D">
      <w:pPr>
        <w:keepNext w:val="0"/>
        <w:keepLines w:val="0"/>
        <w:pageBreakBefore w:val="0"/>
        <w:widowControl/>
        <w:wordWrap/>
        <w:overflowPunct/>
        <w:topLinePunct w:val="0"/>
        <w:bidi w:val="0"/>
        <w:adjustRightInd w:val="0"/>
        <w:snapToGrid w:val="0"/>
        <w:spacing w:beforeAutospacing="0" w:afterAutospacing="0" w:line="360" w:lineRule="auto"/>
        <w:ind w:firstLine="2938" w:firstLineChars="800"/>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rPr>
        <w:fldChar w:fldCharType="separate"/>
      </w:r>
      <w:r>
        <w:rPr>
          <w:rStyle w:val="9"/>
          <w:rFonts w:hint="default"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b/>
          <w:color w:val="auto"/>
          <w:spacing w:val="23"/>
          <w:sz w:val="32"/>
          <w:szCs w:val="32"/>
          <w:u w:val="single"/>
        </w:rPr>
        <w:t xml:space="preserve">          </w:t>
      </w:r>
    </w:p>
    <w:p w14:paraId="147F9372">
      <w:pPr>
        <w:keepNext w:val="0"/>
        <w:keepLines w:val="0"/>
        <w:pageBreakBefore w:val="0"/>
        <w:widowControl/>
        <w:wordWrap/>
        <w:overflowPunct/>
        <w:topLinePunct w:val="0"/>
        <w:bidi w:val="0"/>
        <w:adjustRightInd w:val="0"/>
        <w:snapToGrid w:val="0"/>
        <w:spacing w:beforeAutospacing="0" w:afterAutospacing="0" w:line="360" w:lineRule="auto"/>
        <w:ind w:firstLine="2940" w:firstLineChars="1400"/>
        <w:rPr>
          <w:rFonts w:hint="eastAsia" w:ascii="仿宋" w:hAnsi="仿宋" w:eastAsia="仿宋" w:cs="仿宋"/>
          <w:b/>
          <w:color w:val="auto"/>
          <w:spacing w:val="23"/>
          <w:sz w:val="32"/>
          <w:szCs w:val="32"/>
        </w:rPr>
      </w:pP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rPr>
        <w:fldChar w:fldCharType="separate"/>
      </w:r>
      <w:r>
        <w:rPr>
          <w:rStyle w:val="9"/>
          <w:rFonts w:hint="default"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b/>
          <w:color w:val="auto"/>
          <w:spacing w:val="23"/>
          <w:sz w:val="32"/>
          <w:szCs w:val="32"/>
          <w:u w:val="single"/>
        </w:rPr>
        <w:t xml:space="preserve">          </w:t>
      </w:r>
    </w:p>
    <w:p w14:paraId="743825E0">
      <w:pPr>
        <w:pStyle w:val="6"/>
        <w:keepNext w:val="0"/>
        <w:keepLines w:val="0"/>
        <w:pageBreakBefore w:val="0"/>
        <w:widowControl/>
        <w:wordWrap/>
        <w:overflowPunct/>
        <w:topLinePunct w:val="0"/>
        <w:bidi w:val="0"/>
        <w:adjustRightInd w:val="0"/>
        <w:snapToGrid w:val="0"/>
        <w:spacing w:before="0" w:beforeAutospacing="0" w:after="0" w:afterAutospacing="0" w:line="360" w:lineRule="auto"/>
        <w:ind w:firstLine="2938" w:firstLineChars="800"/>
        <w:rPr>
          <w:rFonts w:hint="eastAsia" w:ascii="仿宋" w:hAnsi="仿宋" w:eastAsia="仿宋" w:cs="仿宋"/>
          <w:b/>
          <w:color w:val="auto"/>
          <w:spacing w:val="23"/>
          <w:kern w:val="0"/>
          <w:sz w:val="32"/>
          <w:szCs w:val="32"/>
        </w:rPr>
      </w:pPr>
      <w:r>
        <w:rPr>
          <w:rFonts w:hint="eastAsia" w:ascii="仿宋" w:hAnsi="仿宋" w:eastAsia="仿宋" w:cs="仿宋"/>
          <w:b/>
          <w:color w:val="auto"/>
          <w:spacing w:val="23"/>
          <w:kern w:val="0"/>
          <w:sz w:val="32"/>
          <w:szCs w:val="32"/>
        </w:rPr>
        <w:t>签订时间：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月</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日</w:t>
      </w:r>
    </w:p>
    <w:p w14:paraId="21C1AA1D">
      <w:pPr>
        <w:rPr>
          <w:rFonts w:hint="eastAsia" w:ascii="仿宋" w:hAnsi="仿宋" w:eastAsia="仿宋" w:cs="仿宋"/>
          <w:b/>
          <w:color w:val="FF0000"/>
          <w:spacing w:val="23"/>
          <w:kern w:val="0"/>
          <w:sz w:val="32"/>
          <w:szCs w:val="32"/>
        </w:rPr>
      </w:pPr>
      <w:r>
        <w:rPr>
          <w:rFonts w:hint="eastAsia" w:ascii="仿宋" w:hAnsi="仿宋" w:eastAsia="仿宋" w:cs="仿宋"/>
          <w:b/>
          <w:color w:val="FF0000"/>
          <w:spacing w:val="23"/>
          <w:kern w:val="0"/>
          <w:sz w:val="32"/>
          <w:szCs w:val="32"/>
        </w:rPr>
        <w:br w:type="page"/>
      </w:r>
    </w:p>
    <w:p w14:paraId="044EBAA0">
      <w:pPr>
        <w:keepNext w:val="0"/>
        <w:keepLines w:val="0"/>
        <w:pageBreakBefore w:val="0"/>
        <w:kinsoku/>
        <w:wordWrap/>
        <w:overflowPunct/>
        <w:topLinePunct w:val="0"/>
        <w:autoSpaceDE/>
        <w:autoSpaceDN/>
        <w:bidi w:val="0"/>
        <w:spacing w:line="560" w:lineRule="exact"/>
        <w:ind w:firstLine="560" w:firstLineChars="20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采购人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1B54F4C4">
      <w:pPr>
        <w:keepNext w:val="0"/>
        <w:keepLines w:val="0"/>
        <w:pageBreakBefore w:val="0"/>
        <w:kinsoku/>
        <w:wordWrap/>
        <w:overflowPunct/>
        <w:topLinePunct w:val="0"/>
        <w:autoSpaceDE/>
        <w:autoSpaceDN/>
        <w:bidi w:val="0"/>
        <w:spacing w:line="56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lang w:val="en-US" w:eastAsia="zh-CN"/>
        </w:rPr>
        <w:t xml:space="preserve">                     </w:t>
      </w:r>
    </w:p>
    <w:p w14:paraId="7273C0AE">
      <w:pPr>
        <w:pStyle w:val="10"/>
        <w:keepNext w:val="0"/>
        <w:keepLines w:val="0"/>
        <w:pageBreakBefore w:val="0"/>
        <w:widowControl/>
        <w:kinsoku/>
        <w:wordWrap/>
        <w:overflowPunct/>
        <w:topLinePunct w:val="0"/>
        <w:autoSpaceDE/>
        <w:autoSpaceDN/>
        <w:bidi w:val="0"/>
        <w:spacing w:before="0" w:after="0" w:line="560" w:lineRule="exact"/>
        <w:ind w:left="0" w:leftChars="0" w:firstLine="560" w:firstLineChars="200"/>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甲乙双方根据</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月2026年度各员工餐厅厨余垃圾清运服务</w:t>
      </w:r>
      <w:r>
        <w:rPr>
          <w:rFonts w:hint="eastAsia" w:ascii="仿宋" w:hAnsi="仿宋" w:eastAsia="仿宋" w:cs="仿宋"/>
          <w:color w:val="auto"/>
          <w:sz w:val="28"/>
          <w:szCs w:val="28"/>
          <w:highlight w:val="none"/>
          <w:lang w:eastAsia="zh-CN"/>
        </w:rPr>
        <w:t>项目</w:t>
      </w:r>
      <w:r>
        <w:rPr>
          <w:rFonts w:hint="eastAsia" w:ascii="仿宋" w:hAnsi="仿宋" w:eastAsia="仿宋" w:cs="仿宋"/>
          <w:color w:val="auto"/>
          <w:sz w:val="28"/>
          <w:szCs w:val="28"/>
          <w:highlight w:val="none"/>
        </w:rPr>
        <w:t>第</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采购结果及相关竞争性磋商文件及竞争性磋商响应文件，本合同经双方友好协商平等、诚信、协作的原则，按照《中华人民共和国政府采购法》和《中华人民共和国民法典》，经协商一致，订立本合同，供双方共同遵守：</w:t>
      </w:r>
    </w:p>
    <w:p w14:paraId="09F1A831">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第一条  服务内容</w:t>
      </w:r>
    </w:p>
    <w:p w14:paraId="2AA80AD9">
      <w:pPr>
        <w:keepNext w:val="0"/>
        <w:keepLines w:val="0"/>
        <w:pageBreakBefore w:val="0"/>
        <w:kinsoku/>
        <w:wordWrap/>
        <w:overflowPunct/>
        <w:topLinePunct w:val="0"/>
        <w:autoSpaceDE/>
        <w:autoSpaceDN/>
        <w:bidi w:val="0"/>
        <w:spacing w:line="560" w:lineRule="exact"/>
        <w:ind w:firstLine="560" w:firstLineChars="200"/>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1、服务地点：</w:t>
      </w:r>
      <w:r>
        <w:rPr>
          <w:rFonts w:hint="eastAsia" w:ascii="仿宋" w:hAnsi="仿宋" w:eastAsia="仿宋"/>
          <w:color w:val="auto"/>
          <w:sz w:val="28"/>
          <w:szCs w:val="28"/>
          <w:highlight w:val="none"/>
          <w:lang w:val="en-US" w:eastAsia="zh-CN"/>
        </w:rPr>
        <w:t>各员工餐厅，地点分别为各员工餐厅，地点分别为综合楼餐厅、城市管理和综合执法局（梦想公社）、城市管理和综合执法局（环卫基地）、金融商务产业园、数字商贸产业园、湿地文旅产业园、总部创意产业园、雁鸣生态产业园、世园会展产业园、交警一中队、交警二中队、税务局、商务中心。</w:t>
      </w:r>
    </w:p>
    <w:p w14:paraId="131B8C4F">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2、服务标准</w:t>
      </w:r>
    </w:p>
    <w:p w14:paraId="37149E38">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olor w:val="auto"/>
          <w:sz w:val="28"/>
          <w:szCs w:val="28"/>
          <w:highlight w:val="none"/>
          <w:lang w:val="en-US" w:eastAsia="zh-CN"/>
        </w:rPr>
        <w:t>严格按照《西安市生活垃圾分类管理条例》、《关于统一全市生活垃圾清运车辆外观有关事宜工作的通知》（市城管发〔2019〕309号）、《西安市厨余垃圾收运工作安排意见》（市垃圾分类小组发〔2021〕1号）等有关规定规范作业，并符合西安市厨余垃圾收运工作的相关标准及要求。</w:t>
      </w:r>
    </w:p>
    <w:p w14:paraId="42E26859">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3、其他要求详见本项目磋商文件采购内容。</w:t>
      </w:r>
    </w:p>
    <w:p w14:paraId="69A232BA">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第二条  服务期限和验收</w:t>
      </w:r>
    </w:p>
    <w:p w14:paraId="0F77006B">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1、服务期限：</w:t>
      </w:r>
      <w:r>
        <w:rPr>
          <w:rFonts w:hint="eastAsia" w:ascii="仿宋" w:hAnsi="仿宋" w:eastAsia="仿宋" w:cs="Arial"/>
          <w:snapToGrid w:val="0"/>
          <w:color w:val="auto"/>
          <w:sz w:val="28"/>
          <w:szCs w:val="28"/>
          <w:highlight w:val="none"/>
          <w:lang w:val="en-US" w:eastAsia="zh-CN" w:bidi="ar-SA"/>
        </w:rPr>
        <w:t>自合同签订之日起1年，具体起止日期以合同约定为准。</w:t>
      </w:r>
    </w:p>
    <w:p w14:paraId="74792211">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2、验收标准</w:t>
      </w:r>
    </w:p>
    <w:p w14:paraId="1A233E91">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2.1</w:t>
      </w:r>
      <w:r>
        <w:rPr>
          <w:rFonts w:hint="eastAsia" w:ascii="仿宋" w:hAnsi="仿宋" w:eastAsia="仿宋" w:cs="仿宋"/>
          <w:bCs/>
          <w:color w:val="auto"/>
          <w:sz w:val="28"/>
          <w:szCs w:val="28"/>
          <w:highlight w:val="none"/>
        </w:rPr>
        <w:t>符合国家法律法规规定的标准、竞争性磋商文件和</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color w:val="auto"/>
          <w:sz w:val="28"/>
          <w:szCs w:val="28"/>
          <w:highlight w:val="none"/>
        </w:rPr>
        <w:t>乙方</w:t>
      </w:r>
      <w:r>
        <w:rPr>
          <w:rFonts w:hint="eastAsia" w:ascii="仿宋" w:hAnsi="仿宋" w:eastAsia="仿宋" w:cs="仿宋"/>
          <w:bCs/>
          <w:color w:val="auto"/>
          <w:sz w:val="28"/>
          <w:szCs w:val="28"/>
          <w:highlight w:val="none"/>
        </w:rPr>
        <w:fldChar w:fldCharType="end"/>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"http://set2.mail.qq.com/cgi-bin/mail_spam?action=check_link&amp;spam=0&amp;url=http%3A%2F%2Fwww%2Ebaidu%2Ecom%2Fs%3Fwd%3D%25E6%258A%2595%25E6%25A0%2587%25E6%2596%2587%25E4%25BB%25B6%26hl_tag%3Dtextlink%26tn%3DSE_hldp01350_v6v6zkg6"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color w:val="auto"/>
          <w:sz w:val="28"/>
          <w:szCs w:val="28"/>
          <w:highlight w:val="none"/>
        </w:rPr>
        <w:t>竞争性磋商响应文件</w:t>
      </w:r>
      <w:r>
        <w:rPr>
          <w:rFonts w:hint="eastAsia" w:ascii="仿宋" w:hAnsi="仿宋" w:eastAsia="仿宋" w:cs="仿宋"/>
          <w:bCs/>
          <w:color w:val="auto"/>
          <w:sz w:val="28"/>
          <w:szCs w:val="28"/>
          <w:highlight w:val="none"/>
        </w:rPr>
        <w:fldChar w:fldCharType="end"/>
      </w:r>
      <w:r>
        <w:rPr>
          <w:rFonts w:hint="eastAsia" w:ascii="仿宋" w:hAnsi="仿宋" w:eastAsia="仿宋" w:cs="仿宋"/>
          <w:bCs/>
          <w:color w:val="auto"/>
          <w:sz w:val="28"/>
          <w:szCs w:val="28"/>
          <w:highlight w:val="none"/>
        </w:rPr>
        <w:t>所要求的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color w:val="auto"/>
          <w:sz w:val="28"/>
          <w:szCs w:val="28"/>
          <w:highlight w:val="none"/>
        </w:rPr>
        <w:t>技术标准</w:t>
      </w:r>
      <w:r>
        <w:rPr>
          <w:rFonts w:hint="eastAsia" w:ascii="仿宋" w:hAnsi="仿宋" w:eastAsia="仿宋" w:cs="仿宋"/>
          <w:bCs/>
          <w:color w:val="auto"/>
          <w:sz w:val="28"/>
          <w:szCs w:val="28"/>
          <w:highlight w:val="none"/>
        </w:rPr>
        <w:fldChar w:fldCharType="end"/>
      </w:r>
      <w:r>
        <w:rPr>
          <w:rFonts w:hint="eastAsia" w:ascii="仿宋" w:hAnsi="仿宋" w:eastAsia="仿宋" w:cs="仿宋"/>
          <w:bCs/>
          <w:color w:val="auto"/>
          <w:sz w:val="28"/>
          <w:szCs w:val="28"/>
          <w:highlight w:val="none"/>
        </w:rPr>
        <w:t>。</w:t>
      </w:r>
    </w:p>
    <w:p w14:paraId="30DEEBF1">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第三条  合同价款</w:t>
      </w:r>
    </w:p>
    <w:p w14:paraId="7C351429">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1、合同</w:t>
      </w:r>
      <w:r>
        <w:rPr>
          <w:rFonts w:hint="eastAsia" w:ascii="仿宋" w:hAnsi="仿宋" w:eastAsia="仿宋" w:cs="仿宋"/>
          <w:bCs/>
          <w:color w:val="auto"/>
          <w:sz w:val="28"/>
          <w:szCs w:val="28"/>
          <w:highlight w:val="none"/>
          <w:lang w:val="en-US" w:eastAsia="zh-CN"/>
        </w:rPr>
        <w:t>暂定总</w:t>
      </w:r>
      <w:r>
        <w:rPr>
          <w:rFonts w:hint="eastAsia" w:ascii="仿宋" w:hAnsi="仿宋" w:eastAsia="仿宋" w:cs="仿宋"/>
          <w:bCs/>
          <w:color w:val="auto"/>
          <w:sz w:val="28"/>
          <w:szCs w:val="28"/>
          <w:highlight w:val="none"/>
        </w:rPr>
        <w:t>价款：大写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人民币</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rPr>
        <w:t>，小写:￥</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 xml:space="preserve"> 。</w:t>
      </w:r>
    </w:p>
    <w:p w14:paraId="436AA187">
      <w:pPr>
        <w:keepNext w:val="0"/>
        <w:keepLines w:val="0"/>
        <w:pageBreakBefore w:val="0"/>
        <w:kinsoku/>
        <w:wordWrap/>
        <w:overflowPunct/>
        <w:topLinePunct w:val="0"/>
        <w:autoSpaceDE/>
        <w:autoSpaceDN/>
        <w:bidi w:val="0"/>
        <w:spacing w:line="560" w:lineRule="exact"/>
        <w:ind w:firstLine="560" w:firstLineChars="200"/>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2、最终根据服务地点据实结算，不因服务地点的厨余垃圾量增减改变固定单价，合同单价详见附件。</w:t>
      </w:r>
    </w:p>
    <w:p w14:paraId="7A186A9C">
      <w:pPr>
        <w:pStyle w:val="11"/>
        <w:widowControl/>
        <w:spacing w:line="540" w:lineRule="exact"/>
        <w:ind w:firstLine="560"/>
        <w:rPr>
          <w:rFonts w:ascii="仿宋" w:hAnsi="仿宋" w:cs="仿宋"/>
          <w:color w:val="auto"/>
          <w:szCs w:val="28"/>
          <w:highlight w:val="none"/>
        </w:rPr>
      </w:pPr>
      <w:r>
        <w:rPr>
          <w:rFonts w:hint="eastAsia" w:ascii="仿宋" w:hAnsi="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、合同价款包括</w:t>
      </w:r>
      <w:r>
        <w:rPr>
          <w:rFonts w:ascii="仿宋" w:hAnsi="仿宋" w:cs="仿宋"/>
          <w:color w:val="auto"/>
          <w:szCs w:val="28"/>
          <w:highlight w:val="none"/>
        </w:rPr>
        <w:t>并达到国家及</w:t>
      </w:r>
      <w:r>
        <w:rPr>
          <w:rFonts w:hint="eastAsia" w:ascii="仿宋" w:hAnsi="仿宋" w:cs="仿宋"/>
          <w:color w:val="auto"/>
          <w:szCs w:val="28"/>
          <w:highlight w:val="none"/>
          <w:lang w:val="en-US" w:eastAsia="zh-CN"/>
        </w:rPr>
        <w:t>甲方</w:t>
      </w:r>
      <w:r>
        <w:rPr>
          <w:rFonts w:ascii="仿宋" w:hAnsi="仿宋" w:cs="仿宋"/>
          <w:color w:val="auto"/>
          <w:szCs w:val="28"/>
          <w:highlight w:val="none"/>
        </w:rPr>
        <w:t>验收标准而产生的所有费用，包括服务费、管理费、食宿通讯费、设备费</w:t>
      </w:r>
      <w:r>
        <w:rPr>
          <w:rFonts w:hint="eastAsia" w:ascii="仿宋" w:hAnsi="仿宋" w:cs="仿宋"/>
          <w:color w:val="auto"/>
          <w:szCs w:val="28"/>
          <w:highlight w:val="none"/>
          <w:lang w:val="en-US" w:eastAsia="zh-CN"/>
        </w:rPr>
        <w:t>及设备维护费、消杀费</w:t>
      </w:r>
      <w:r>
        <w:rPr>
          <w:rFonts w:ascii="仿宋" w:hAnsi="仿宋" w:cs="仿宋"/>
          <w:color w:val="auto"/>
          <w:szCs w:val="28"/>
          <w:highlight w:val="none"/>
        </w:rPr>
        <w:t>、工器具费、人员工资（含社保、补助和奖金）、检修费、</w:t>
      </w:r>
      <w:r>
        <w:rPr>
          <w:rFonts w:hint="eastAsia" w:ascii="仿宋" w:hAnsi="仿宋" w:cs="仿宋"/>
          <w:color w:val="auto"/>
          <w:szCs w:val="28"/>
          <w:highlight w:val="none"/>
          <w:lang w:val="en-US" w:eastAsia="zh-CN"/>
        </w:rPr>
        <w:t>收运费、垃圾处置费、</w:t>
      </w:r>
      <w:r>
        <w:rPr>
          <w:rFonts w:ascii="仿宋" w:hAnsi="仿宋" w:cs="仿宋"/>
          <w:color w:val="auto"/>
          <w:szCs w:val="28"/>
          <w:highlight w:val="none"/>
        </w:rPr>
        <w:t>交通费、</w:t>
      </w:r>
      <w:r>
        <w:rPr>
          <w:rFonts w:hint="eastAsia" w:ascii="仿宋" w:hAnsi="仿宋" w:eastAsia="仿宋" w:cs="仿宋"/>
          <w:color w:val="auto"/>
          <w:sz w:val="28"/>
          <w:szCs w:val="28"/>
          <w:highlight w:val="none"/>
          <w:lang w:val="en-US" w:eastAsia="zh-CN"/>
        </w:rPr>
        <w:t>清运车辆需办理的各种证件费、</w:t>
      </w:r>
      <w:r>
        <w:rPr>
          <w:rFonts w:ascii="仿宋" w:hAnsi="仿宋" w:cs="仿宋"/>
          <w:color w:val="auto"/>
          <w:szCs w:val="28"/>
          <w:highlight w:val="none"/>
        </w:rPr>
        <w:t>招标代理服务费、保险、利润、税金、风险及完成工作准备阶段、实施阶段、验收阶段等所需的全部费用，任何错报、漏报由乙方自行负责。</w:t>
      </w:r>
    </w:p>
    <w:p w14:paraId="5F1C6C3C">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第四条  付款方式及依据</w:t>
      </w:r>
    </w:p>
    <w:p w14:paraId="09814790">
      <w:pPr>
        <w:keepNext w:val="0"/>
        <w:keepLines w:val="0"/>
        <w:pageBreakBefore w:val="0"/>
        <w:kinsoku/>
        <w:wordWrap/>
        <w:overflowPunct/>
        <w:topLinePunct w:val="0"/>
        <w:autoSpaceDE/>
        <w:autoSpaceDN/>
        <w:bidi w:val="0"/>
        <w:spacing w:line="560" w:lineRule="exact"/>
        <w:ind w:firstLine="560" w:firstLineChars="200"/>
        <w:textAlignment w:val="auto"/>
        <w:rPr>
          <w:rFonts w:hint="default"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付款方式：</w:t>
      </w:r>
      <w:r>
        <w:rPr>
          <w:rFonts w:hint="eastAsia" w:ascii="仿宋" w:hAnsi="仿宋" w:eastAsia="仿宋"/>
          <w:color w:val="auto"/>
          <w:sz w:val="28"/>
          <w:szCs w:val="28"/>
          <w:highlight w:val="none"/>
          <w:lang w:val="en-US" w:eastAsia="zh-CN"/>
        </w:rPr>
        <w:t>按季度为结算周期，</w:t>
      </w:r>
      <w:r>
        <w:rPr>
          <w:rFonts w:hint="eastAsia" w:ascii="仿宋" w:hAnsi="仿宋" w:eastAsia="仿宋" w:cs="仿宋"/>
          <w:bCs/>
          <w:color w:val="auto"/>
          <w:sz w:val="28"/>
          <w:szCs w:val="28"/>
          <w:highlight w:val="none"/>
          <w:lang w:val="en-US" w:eastAsia="zh-CN"/>
        </w:rPr>
        <w:t>上季度</w:t>
      </w:r>
      <w:r>
        <w:rPr>
          <w:rFonts w:hint="eastAsia" w:ascii="仿宋" w:hAnsi="仿宋" w:eastAsia="仿宋"/>
          <w:color w:val="auto"/>
          <w:sz w:val="28"/>
          <w:szCs w:val="28"/>
          <w:highlight w:val="none"/>
          <w:lang w:val="en-US" w:eastAsia="zh-CN"/>
        </w:rPr>
        <w:t>服务完成经甲方确认后</w:t>
      </w:r>
      <w:r>
        <w:rPr>
          <w:rFonts w:hint="eastAsia" w:ascii="仿宋" w:hAnsi="仿宋" w:eastAsia="仿宋" w:cs="仿宋"/>
          <w:bCs/>
          <w:color w:val="auto"/>
          <w:sz w:val="28"/>
          <w:szCs w:val="28"/>
          <w:highlight w:val="none"/>
          <w:lang w:val="en-US" w:eastAsia="zh-CN"/>
        </w:rPr>
        <w:t>支付乙方上季度的服务费</w:t>
      </w:r>
      <w:r>
        <w:rPr>
          <w:rFonts w:hint="eastAsia" w:ascii="仿宋" w:hAnsi="仿宋" w:eastAsia="仿宋"/>
          <w:color w:val="auto"/>
          <w:sz w:val="28"/>
          <w:szCs w:val="28"/>
          <w:highlight w:val="none"/>
          <w:lang w:val="en-US" w:eastAsia="zh-CN"/>
        </w:rPr>
        <w:t>。</w:t>
      </w:r>
    </w:p>
    <w:p w14:paraId="263E0B6B">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付款依据：</w:t>
      </w:r>
      <w:r>
        <w:rPr>
          <w:rFonts w:hint="eastAsia" w:ascii="仿宋" w:hAnsi="仿宋" w:eastAsia="仿宋"/>
          <w:color w:val="auto"/>
          <w:sz w:val="28"/>
          <w:szCs w:val="28"/>
          <w:highlight w:val="none"/>
          <w:lang w:val="en-US" w:eastAsia="zh-CN"/>
        </w:rPr>
        <w:t>采购合同、</w:t>
      </w:r>
      <w:r>
        <w:rPr>
          <w:rFonts w:hint="eastAsia" w:ascii="仿宋" w:hAnsi="仿宋" w:eastAsia="仿宋" w:cs="仿宋"/>
          <w:color w:val="auto"/>
          <w:sz w:val="28"/>
          <w:szCs w:val="28"/>
          <w:highlight w:val="none"/>
        </w:rPr>
        <w:t>经</w:t>
      </w:r>
      <w:r>
        <w:rPr>
          <w:rFonts w:hint="eastAsia" w:ascii="仿宋" w:hAnsi="仿宋" w:eastAsia="仿宋" w:cs="仿宋"/>
          <w:color w:val="auto"/>
          <w:sz w:val="28"/>
          <w:szCs w:val="28"/>
          <w:highlight w:val="none"/>
          <w:lang w:val="en-US" w:eastAsia="zh-CN"/>
        </w:rPr>
        <w:t>甲乙方</w:t>
      </w:r>
      <w:r>
        <w:rPr>
          <w:rFonts w:hint="eastAsia" w:ascii="仿宋" w:hAnsi="仿宋" w:eastAsia="仿宋" w:cs="仿宋"/>
          <w:color w:val="auto"/>
          <w:sz w:val="28"/>
          <w:szCs w:val="28"/>
          <w:highlight w:val="none"/>
        </w:rPr>
        <w:t>确认的</w:t>
      </w:r>
      <w:r>
        <w:rPr>
          <w:rFonts w:hint="eastAsia" w:ascii="仿宋" w:hAnsi="仿宋" w:eastAsia="仿宋" w:cs="仿宋"/>
          <w:color w:val="auto"/>
          <w:sz w:val="28"/>
          <w:szCs w:val="28"/>
          <w:highlight w:val="none"/>
          <w:lang w:val="en-US" w:eastAsia="zh-CN"/>
        </w:rPr>
        <w:t>清运</w:t>
      </w:r>
      <w:r>
        <w:rPr>
          <w:rFonts w:hint="eastAsia" w:ascii="仿宋" w:hAnsi="仿宋" w:eastAsia="仿宋" w:cs="仿宋"/>
          <w:color w:val="auto"/>
          <w:sz w:val="28"/>
          <w:szCs w:val="28"/>
          <w:highlight w:val="none"/>
        </w:rPr>
        <w:t>确认单</w:t>
      </w:r>
      <w:r>
        <w:rPr>
          <w:rFonts w:hint="eastAsia" w:ascii="仿宋" w:hAnsi="仿宋" w:eastAsia="仿宋"/>
          <w:color w:val="auto"/>
          <w:sz w:val="28"/>
          <w:szCs w:val="28"/>
          <w:highlight w:val="none"/>
          <w:lang w:val="en-US" w:eastAsia="zh-CN"/>
        </w:rPr>
        <w:t>、乙方提供的等额增值税发票。</w:t>
      </w:r>
    </w:p>
    <w:p w14:paraId="444C2EF0">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w:t>
      </w: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甲方的权利和义务</w:t>
      </w:r>
    </w:p>
    <w:p w14:paraId="5E79A70A">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1、甲方负责对乙方进行监督检查，实施检查时，有权采取下列措施：</w:t>
      </w:r>
    </w:p>
    <w:p w14:paraId="588A66DE">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①查阅复制有关文件和资料；</w:t>
      </w:r>
    </w:p>
    <w:p w14:paraId="45505608">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②要求被检查的单位和个人就有关问题做出说明；</w:t>
      </w:r>
    </w:p>
    <w:p w14:paraId="4B17835C">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③进入现场开展检查；</w:t>
      </w:r>
    </w:p>
    <w:p w14:paraId="4AFFFE29">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④责令有关单位和个人改正违法行为。</w:t>
      </w:r>
    </w:p>
    <w:p w14:paraId="1C3F962D">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2、有关单位和个人应当支持配合监督检查，不得妨碍与阻挠监督检查人员依法执行职务。</w:t>
      </w:r>
    </w:p>
    <w:p w14:paraId="2D37C36F">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3、甲方可采取定点检查、日常巡查、不定期抽查、在线监控、媒体监督等多种方式，对乙方的清运车辆、台账档案、运行作业、安全生产、环境影响、投诉举报等进行监督考核。</w:t>
      </w:r>
    </w:p>
    <w:p w14:paraId="6480A113">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val="en-US" w:eastAsia="zh-CN"/>
        </w:rPr>
        <w:t>4、甲方对运行不规范、作业质量不达标、发生重大责任事故等行为可及时进行处罚，责令其限期改正。情节严重者，可申请相关部门给予警告、吊销《城市生活垃圾经营性清扫、收集、运输服务许可证》等处罚。</w:t>
      </w:r>
    </w:p>
    <w:p w14:paraId="4FAB96C5">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rPr>
        <w:t>、甲方有权对合同规定范围内乙方的服务行为进行监督和检查，拥有监管权；有权定期核对乙方提供服务所配备的人员数量；甲方认为不合理的部分有权下达整改通知书，并要求乙方限期整改。</w:t>
      </w:r>
    </w:p>
    <w:p w14:paraId="3C0EFB13">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、甲方有权要求乙方服务人员遵守甲方的规章制度，并对甲方相关信息资料进行保密。</w:t>
      </w:r>
    </w:p>
    <w:p w14:paraId="128A4300">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7</w:t>
      </w:r>
      <w:r>
        <w:rPr>
          <w:rFonts w:hint="eastAsia" w:ascii="仿宋" w:hAnsi="仿宋" w:eastAsia="仿宋" w:cs="仿宋"/>
          <w:color w:val="auto"/>
          <w:kern w:val="0"/>
          <w:sz w:val="28"/>
          <w:szCs w:val="28"/>
          <w:highlight w:val="none"/>
        </w:rPr>
        <w:t>、甲方有权依据</w:t>
      </w:r>
      <w:r>
        <w:rPr>
          <w:rFonts w:hint="eastAsia" w:ascii="仿宋" w:hAnsi="仿宋" w:eastAsia="仿宋" w:cs="仿宋"/>
          <w:color w:val="auto"/>
          <w:kern w:val="0"/>
          <w:sz w:val="28"/>
          <w:szCs w:val="28"/>
          <w:highlight w:val="none"/>
          <w:lang w:val="en-US" w:eastAsia="zh-CN"/>
        </w:rPr>
        <w:t>本项目内容</w:t>
      </w:r>
      <w:r>
        <w:rPr>
          <w:rFonts w:hint="eastAsia" w:ascii="仿宋" w:hAnsi="仿宋" w:eastAsia="仿宋" w:cs="仿宋"/>
          <w:color w:val="auto"/>
          <w:kern w:val="0"/>
          <w:sz w:val="28"/>
          <w:szCs w:val="28"/>
          <w:highlight w:val="none"/>
        </w:rPr>
        <w:t>对乙方提供的服务进行验收考评，考评不合格时，甲方有权要求乙方限期整改。</w:t>
      </w:r>
    </w:p>
    <w:p w14:paraId="59F968C5">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8</w:t>
      </w:r>
      <w:r>
        <w:rPr>
          <w:rFonts w:hint="eastAsia" w:ascii="仿宋" w:hAnsi="仿宋" w:eastAsia="仿宋" w:cs="仿宋"/>
          <w:color w:val="auto"/>
          <w:kern w:val="0"/>
          <w:sz w:val="28"/>
          <w:szCs w:val="28"/>
          <w:highlight w:val="none"/>
        </w:rPr>
        <w:t>、负责检查监督乙方管理工作的实施及制度的执行情况。</w:t>
      </w:r>
    </w:p>
    <w:p w14:paraId="60A62B1E">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、甲方应按合同约定及时向乙方支付服务费用。</w:t>
      </w:r>
    </w:p>
    <w:p w14:paraId="12FA1289">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10</w:t>
      </w:r>
      <w:r>
        <w:rPr>
          <w:rFonts w:hint="eastAsia" w:ascii="仿宋" w:hAnsi="仿宋" w:eastAsia="仿宋" w:cs="仿宋"/>
          <w:color w:val="auto"/>
          <w:kern w:val="0"/>
          <w:sz w:val="28"/>
          <w:szCs w:val="28"/>
          <w:highlight w:val="none"/>
        </w:rPr>
        <w:t>、国家法律、法规所规定由甲方承担的其它责任。</w:t>
      </w:r>
    </w:p>
    <w:p w14:paraId="74AC773A">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六</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乙方的权利和义务</w:t>
      </w:r>
    </w:p>
    <w:p w14:paraId="34267828">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、服务期间乙方应负责</w:t>
      </w:r>
      <w:r>
        <w:rPr>
          <w:rFonts w:hint="eastAsia" w:ascii="仿宋" w:hAnsi="仿宋" w:eastAsia="仿宋" w:cs="仿宋"/>
          <w:color w:val="auto"/>
          <w:kern w:val="0"/>
          <w:sz w:val="28"/>
          <w:szCs w:val="28"/>
          <w:highlight w:val="none"/>
          <w:lang w:val="en-US" w:eastAsia="zh-CN"/>
        </w:rPr>
        <w:t>本项目项下的所有安全问题，包含违章、设备或乙方员工及第三方等造成损害、交通事故及各种不安全事故或人员伤亡，造成的责任、费用等由乙方全部承担;</w:t>
      </w:r>
    </w:p>
    <w:p w14:paraId="346EDF32">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、乙方以合同附件形式向甲方提供参加本项目的人员名单及相关资质证明。在实施服务过程中，乙方保证其参加本项目人员的相对稳定。如果因乙方人员变动导致本项目实施延误，乙方应承担相应的赔偿责任，</w:t>
      </w:r>
      <w:r>
        <w:rPr>
          <w:rFonts w:hint="eastAsia" w:ascii="仿宋" w:hAnsi="仿宋" w:eastAsia="仿宋" w:cs="仿宋"/>
          <w:color w:val="auto"/>
          <w:kern w:val="0"/>
          <w:sz w:val="28"/>
          <w:szCs w:val="28"/>
          <w:highlight w:val="none"/>
          <w:lang w:val="en-US" w:eastAsia="zh-CN"/>
        </w:rPr>
        <w:t>按照本合同第七条第一款执行。</w:t>
      </w:r>
    </w:p>
    <w:p w14:paraId="22BAE2C6">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3、国家法律、法规所规定由甲方承担的其它责任。</w:t>
      </w:r>
    </w:p>
    <w:p w14:paraId="3AB8977C">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七</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违约责任</w:t>
      </w:r>
    </w:p>
    <w:p w14:paraId="281503EC">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1、乙方未按照竞争性磋商文件、竞争性磋商响应文件及本合同要求执行的视为乙方违约，自违约之日起，每日按</w:t>
      </w:r>
      <w:r>
        <w:rPr>
          <w:rFonts w:hint="eastAsia" w:ascii="仿宋" w:hAnsi="仿宋" w:eastAsia="仿宋" w:cs="仿宋"/>
          <w:bCs/>
          <w:color w:val="auto"/>
          <w:sz w:val="28"/>
          <w:szCs w:val="28"/>
          <w:highlight w:val="none"/>
        </w:rPr>
        <w:t>合同价款</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%向甲方承担违约责任并且及时采取有效补救措施</w:t>
      </w:r>
      <w:r>
        <w:rPr>
          <w:rFonts w:hint="eastAsia" w:ascii="仿宋" w:hAnsi="仿宋" w:eastAsia="仿宋" w:cs="仿宋"/>
          <w:color w:val="auto"/>
          <w:kern w:val="0"/>
          <w:sz w:val="28"/>
          <w:szCs w:val="28"/>
          <w:highlight w:val="none"/>
          <w:lang w:eastAsia="zh-CN"/>
        </w:rPr>
        <w:t>，</w:t>
      </w:r>
      <w:r>
        <w:rPr>
          <w:rFonts w:hint="default" w:ascii="仿宋" w:hAnsi="仿宋" w:eastAsia="仿宋" w:cs="仿宋"/>
          <w:color w:val="auto"/>
          <w:kern w:val="0"/>
          <w:sz w:val="28"/>
          <w:szCs w:val="28"/>
          <w:highlight w:val="none"/>
          <w:lang w:val="en-US"/>
        </w:rPr>
        <w:t>违约金最多不超过</w:t>
      </w:r>
      <w:r>
        <w:rPr>
          <w:rFonts w:hint="default" w:ascii="仿宋" w:hAnsi="仿宋" w:eastAsia="仿宋" w:cs="仿宋"/>
          <w:bCs/>
          <w:color w:val="auto"/>
          <w:sz w:val="28"/>
          <w:szCs w:val="28"/>
          <w:highlight w:val="none"/>
          <w:lang w:val="en-US"/>
        </w:rPr>
        <w:t>合同价款</w:t>
      </w:r>
      <w:r>
        <w:rPr>
          <w:rFonts w:hint="default" w:ascii="仿宋" w:hAnsi="仿宋" w:eastAsia="仿宋" w:cs="仿宋"/>
          <w:color w:val="auto"/>
          <w:kern w:val="0"/>
          <w:sz w:val="28"/>
          <w:szCs w:val="28"/>
          <w:highlight w:val="none"/>
          <w:lang w:val="en-US"/>
        </w:rPr>
        <w:t>的20%</w:t>
      </w:r>
      <w:r>
        <w:rPr>
          <w:rFonts w:hint="eastAsia" w:ascii="仿宋" w:hAnsi="仿宋" w:eastAsia="仿宋" w:cs="仿宋"/>
          <w:color w:val="auto"/>
          <w:kern w:val="0"/>
          <w:sz w:val="28"/>
          <w:szCs w:val="28"/>
          <w:highlight w:val="none"/>
        </w:rPr>
        <w:t>。</w:t>
      </w:r>
    </w:p>
    <w:p w14:paraId="02447608">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、由于乙方原因,</w:t>
      </w:r>
      <w:r>
        <w:rPr>
          <w:rFonts w:hint="eastAsia" w:ascii="仿宋" w:hAnsi="仿宋" w:eastAsia="仿宋" w:cs="仿宋"/>
          <w:color w:val="auto"/>
          <w:kern w:val="0"/>
          <w:sz w:val="28"/>
          <w:szCs w:val="28"/>
          <w:highlight w:val="none"/>
          <w:lang w:val="en-US" w:eastAsia="zh-CN"/>
        </w:rPr>
        <w:t>若</w:t>
      </w:r>
      <w:r>
        <w:rPr>
          <w:rFonts w:hint="eastAsia" w:ascii="仿宋" w:hAnsi="仿宋" w:eastAsia="仿宋" w:cs="仿宋"/>
          <w:color w:val="auto"/>
          <w:kern w:val="0"/>
          <w:sz w:val="28"/>
          <w:szCs w:val="28"/>
          <w:highlight w:val="none"/>
        </w:rPr>
        <w:t>出现</w:t>
      </w:r>
      <w:r>
        <w:rPr>
          <w:rFonts w:hint="eastAsia" w:ascii="仿宋" w:hAnsi="仿宋" w:eastAsia="仿宋" w:cs="仿宋"/>
          <w:color w:val="auto"/>
          <w:kern w:val="0"/>
          <w:sz w:val="28"/>
          <w:szCs w:val="28"/>
          <w:highlight w:val="none"/>
          <w:lang w:val="en-US" w:eastAsia="zh-CN"/>
        </w:rPr>
        <w:t>违约</w:t>
      </w:r>
      <w:r>
        <w:rPr>
          <w:rFonts w:hint="eastAsia" w:ascii="仿宋" w:hAnsi="仿宋" w:eastAsia="仿宋" w:cs="仿宋"/>
          <w:color w:val="auto"/>
          <w:kern w:val="0"/>
          <w:sz w:val="28"/>
          <w:szCs w:val="28"/>
          <w:highlight w:val="none"/>
        </w:rPr>
        <w:t>超出</w:t>
      </w:r>
      <w:r>
        <w:rPr>
          <w:rFonts w:hint="eastAsia" w:ascii="仿宋" w:hAnsi="仿宋" w:eastAsia="仿宋" w:cs="仿宋"/>
          <w:color w:val="auto"/>
          <w:kern w:val="0"/>
          <w:sz w:val="28"/>
          <w:szCs w:val="28"/>
          <w:highlight w:val="none"/>
          <w:lang w:val="en-US" w:eastAsia="zh-CN"/>
        </w:rPr>
        <w:t>10日</w:t>
      </w:r>
      <w:r>
        <w:rPr>
          <w:rFonts w:hint="eastAsia" w:ascii="仿宋" w:hAnsi="仿宋" w:eastAsia="仿宋" w:cs="仿宋"/>
          <w:color w:val="auto"/>
          <w:kern w:val="0"/>
          <w:sz w:val="28"/>
          <w:szCs w:val="28"/>
          <w:highlight w:val="none"/>
        </w:rPr>
        <w:t>以上</w:t>
      </w:r>
      <w:r>
        <w:rPr>
          <w:rFonts w:hint="eastAsia" w:ascii="仿宋" w:hAnsi="仿宋" w:eastAsia="仿宋" w:cs="仿宋"/>
          <w:color w:val="auto"/>
          <w:kern w:val="0"/>
          <w:sz w:val="28"/>
          <w:szCs w:val="28"/>
          <w:highlight w:val="none"/>
          <w:lang w:val="en-US" w:eastAsia="zh-CN"/>
        </w:rPr>
        <w:t>或违约金达到20%</w:t>
      </w:r>
      <w:r>
        <w:rPr>
          <w:rFonts w:hint="eastAsia" w:ascii="仿宋" w:hAnsi="仿宋" w:eastAsia="仿宋" w:cs="仿宋"/>
          <w:color w:val="auto"/>
          <w:kern w:val="0"/>
          <w:sz w:val="28"/>
          <w:szCs w:val="28"/>
          <w:highlight w:val="none"/>
        </w:rPr>
        <w:t>时，甲方可解除合同，乙方</w:t>
      </w:r>
      <w:r>
        <w:rPr>
          <w:rFonts w:hint="eastAsia" w:ascii="仿宋" w:hAnsi="仿宋" w:eastAsia="仿宋" w:cs="仿宋"/>
          <w:color w:val="auto"/>
          <w:kern w:val="0"/>
          <w:sz w:val="28"/>
          <w:szCs w:val="28"/>
          <w:highlight w:val="none"/>
          <w:lang w:val="en-US" w:eastAsia="zh-CN"/>
        </w:rPr>
        <w:t>承担相应的违约责任并</w:t>
      </w:r>
      <w:r>
        <w:rPr>
          <w:rFonts w:hint="eastAsia" w:ascii="仿宋" w:hAnsi="仿宋" w:eastAsia="仿宋" w:cs="仿宋"/>
          <w:color w:val="auto"/>
          <w:kern w:val="0"/>
          <w:sz w:val="28"/>
          <w:szCs w:val="28"/>
          <w:highlight w:val="none"/>
        </w:rPr>
        <w:t>退还甲方已经支付的全部款项</w:t>
      </w:r>
      <w:r>
        <w:rPr>
          <w:rFonts w:hint="eastAsia" w:ascii="仿宋" w:hAnsi="仿宋" w:eastAsia="仿宋" w:cs="仿宋"/>
          <w:color w:val="auto"/>
          <w:kern w:val="0"/>
          <w:sz w:val="28"/>
          <w:szCs w:val="28"/>
          <w:highlight w:val="none"/>
          <w:lang w:eastAsia="zh-CN"/>
        </w:rPr>
        <w:t>。</w:t>
      </w:r>
    </w:p>
    <w:p w14:paraId="66E3900B">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八</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合同变更与终止</w:t>
      </w:r>
    </w:p>
    <w:p w14:paraId="2BFCC993">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1、合同变更</w:t>
      </w:r>
    </w:p>
    <w:p w14:paraId="5FCED70C">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1.1</w:t>
      </w:r>
      <w:r>
        <w:rPr>
          <w:rFonts w:hint="eastAsia" w:ascii="仿宋" w:hAnsi="仿宋" w:eastAsia="仿宋" w:cs="仿宋"/>
          <w:color w:val="auto"/>
          <w:kern w:val="0"/>
          <w:sz w:val="28"/>
          <w:szCs w:val="28"/>
          <w:highlight w:val="none"/>
        </w:rPr>
        <w:t>本合同签订后，由于甲方原因，使得乙方不能持续履行合同时，甲方应及时书面通知乙方暂停合同履行。当需要继续履行合同时，应当提前通知乙方。</w:t>
      </w:r>
    </w:p>
    <w:p w14:paraId="56AC01EA">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1.2</w:t>
      </w:r>
      <w:r>
        <w:rPr>
          <w:rFonts w:hint="eastAsia" w:ascii="仿宋" w:hAnsi="仿宋" w:eastAsia="仿宋" w:cs="仿宋"/>
          <w:color w:val="auto"/>
          <w:kern w:val="0"/>
          <w:sz w:val="28"/>
          <w:szCs w:val="28"/>
          <w:highlight w:val="none"/>
        </w:rPr>
        <w:t>本合同当事人一方要求变更或解除合同时，除法律、行政法规另有规定外，应与对方当事人协商一致并达成书面协议。未达成书面协议的，本合同依然有效。</w:t>
      </w:r>
    </w:p>
    <w:p w14:paraId="6AE0E1D5">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2、合同终止</w:t>
      </w:r>
    </w:p>
    <w:p w14:paraId="0D030A9B">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2.1</w:t>
      </w:r>
      <w:r>
        <w:rPr>
          <w:rFonts w:hint="eastAsia" w:ascii="仿宋" w:hAnsi="仿宋" w:eastAsia="仿宋" w:cs="仿宋"/>
          <w:color w:val="auto"/>
          <w:kern w:val="0"/>
          <w:sz w:val="28"/>
          <w:szCs w:val="28"/>
          <w:highlight w:val="none"/>
        </w:rPr>
        <w:t>合同履行期间任何一方不得随意终止合同。</w:t>
      </w:r>
    </w:p>
    <w:p w14:paraId="6E70B21E">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2.2</w:t>
      </w:r>
      <w:r>
        <w:rPr>
          <w:rFonts w:hint="eastAsia" w:ascii="仿宋" w:hAnsi="仿宋" w:eastAsia="仿宋" w:cs="仿宋"/>
          <w:color w:val="auto"/>
          <w:kern w:val="0"/>
          <w:sz w:val="28"/>
          <w:szCs w:val="28"/>
          <w:highlight w:val="none"/>
        </w:rPr>
        <w:t>乙方完成甲方委托的全部合同内容。</w:t>
      </w:r>
    </w:p>
    <w:p w14:paraId="75F1E90C">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2.3</w:t>
      </w:r>
      <w:r>
        <w:rPr>
          <w:rFonts w:hint="eastAsia" w:ascii="仿宋" w:hAnsi="仿宋" w:eastAsia="仿宋" w:cs="仿宋"/>
          <w:color w:val="auto"/>
          <w:kern w:val="0"/>
          <w:sz w:val="28"/>
          <w:szCs w:val="28"/>
          <w:highlight w:val="none"/>
        </w:rPr>
        <w:t>本合同终止并不影响各方应有的权利和应承担的义务。</w:t>
      </w:r>
    </w:p>
    <w:p w14:paraId="168D6D02">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2.4</w:t>
      </w:r>
      <w:r>
        <w:rPr>
          <w:rFonts w:hint="eastAsia" w:ascii="仿宋" w:hAnsi="仿宋" w:eastAsia="仿宋" w:cs="仿宋"/>
          <w:color w:val="auto"/>
          <w:kern w:val="0"/>
          <w:sz w:val="28"/>
          <w:szCs w:val="28"/>
          <w:highlight w:val="none"/>
        </w:rPr>
        <w:t>本合同的权利和义务终止后，甲方和乙方应当遵循诚实信用原则，履行通知、协助、保密等义务。</w:t>
      </w:r>
    </w:p>
    <w:p w14:paraId="2E16CE49">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九</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保密约定</w:t>
      </w:r>
    </w:p>
    <w:p w14:paraId="3839D33B">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1、双方有责任为对方提供的技术、资料、数据及商业秘密进行保密，不得向任何第三方透露、使用，并且不得透露任何关于获取（接触）相关信息的手段与方式。</w:t>
      </w:r>
    </w:p>
    <w:p w14:paraId="77BC722B">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2、乙方应管理和教育好服务人员遵守甲方的保密规定。如果服务人员违反甲方的保密要求，甲方有权追究乙方</w:t>
      </w:r>
      <w:r>
        <w:rPr>
          <w:rFonts w:hint="eastAsia" w:ascii="仿宋" w:hAnsi="仿宋" w:eastAsia="仿宋" w:cs="仿宋"/>
          <w:color w:val="auto"/>
          <w:kern w:val="0"/>
          <w:sz w:val="28"/>
          <w:szCs w:val="28"/>
          <w:highlight w:val="none"/>
          <w:lang w:val="en-US" w:eastAsia="zh-CN"/>
        </w:rPr>
        <w:t>相关责任</w:t>
      </w:r>
      <w:r>
        <w:rPr>
          <w:rFonts w:hint="eastAsia" w:ascii="仿宋" w:hAnsi="仿宋" w:eastAsia="仿宋" w:cs="仿宋"/>
          <w:color w:val="auto"/>
          <w:kern w:val="0"/>
          <w:sz w:val="28"/>
          <w:szCs w:val="28"/>
          <w:highlight w:val="none"/>
          <w:lang w:eastAsia="zh-CN"/>
        </w:rPr>
        <w:t>。</w:t>
      </w:r>
    </w:p>
    <w:p w14:paraId="466B5BBC">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3、保密期限不受合同有效期的限制，在合同及</w:t>
      </w:r>
      <w:r>
        <w:rPr>
          <w:rFonts w:hint="eastAsia" w:ascii="仿宋" w:hAnsi="仿宋" w:eastAsia="仿宋" w:cs="仿宋"/>
          <w:color w:val="auto"/>
          <w:kern w:val="0"/>
          <w:sz w:val="28"/>
          <w:szCs w:val="28"/>
          <w:highlight w:val="none"/>
          <w:lang w:eastAsia="zh-CN"/>
        </w:rPr>
        <w:t>磋商响应有效期</w:t>
      </w:r>
      <w:r>
        <w:rPr>
          <w:rFonts w:hint="eastAsia" w:ascii="仿宋" w:hAnsi="仿宋" w:eastAsia="仿宋" w:cs="仿宋"/>
          <w:color w:val="auto"/>
          <w:kern w:val="0"/>
          <w:sz w:val="28"/>
          <w:szCs w:val="28"/>
          <w:highlight w:val="none"/>
        </w:rPr>
        <w:t>结束后，乙方仍应承担保密义务，直至该等信息成为公开信息。</w:t>
      </w:r>
    </w:p>
    <w:p w14:paraId="05415AB8">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4、乙方如出现泄密行为应承担相关的法律责任，包括但是不限于对由此给甲方造成的经济损失进行赔偿。</w:t>
      </w:r>
    </w:p>
    <w:p w14:paraId="33CC7AF1">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不可抗力</w:t>
      </w:r>
      <w:r>
        <w:rPr>
          <w:rFonts w:hint="eastAsia" w:ascii="仿宋" w:hAnsi="仿宋" w:eastAsia="仿宋" w:cs="仿宋"/>
          <w:b/>
          <w:bCs/>
          <w:color w:val="auto"/>
          <w:kern w:val="0"/>
          <w:sz w:val="28"/>
          <w:szCs w:val="28"/>
          <w:highlight w:val="none"/>
        </w:rPr>
        <w:fldChar w:fldCharType="end"/>
      </w:r>
    </w:p>
    <w:p w14:paraId="5532711A">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不可抗力</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方通</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违约责任</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 xml:space="preserve"> </w:t>
      </w:r>
    </w:p>
    <w:p w14:paraId="271DA697">
      <w:pPr>
        <w:keepNext w:val="0"/>
        <w:keepLines w:val="0"/>
        <w:pageBreakBefore w:val="0"/>
        <w:kinsoku/>
        <w:wordWrap/>
        <w:overflowPunct/>
        <w:topLinePunct w:val="0"/>
        <w:autoSpaceDE/>
        <w:autoSpaceDN/>
        <w:bidi w:val="0"/>
        <w:adjustRightInd w:val="0"/>
        <w:snapToGrid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第十一条</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争议解决</w:t>
      </w:r>
    </w:p>
    <w:p w14:paraId="54430E80">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双方本着友好合作的态度,对合同履行过程中发生的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纠纷</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应及时协商解决,协商不成，向甲方所在地人民法院诉讼解决。</w:t>
      </w:r>
    </w:p>
    <w:p w14:paraId="596384DD">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二</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监督和管理</w:t>
      </w:r>
    </w:p>
    <w:p w14:paraId="3461E4CE">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F85FEB3">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2、甲乙双方均应自觉配合有关监督管理部门对合同履行情况的监督检查，如实反映情况，提供有关资料；否则，将对有关单位、当事人按照有关规定予以处罚。</w:t>
      </w:r>
    </w:p>
    <w:p w14:paraId="6DAECFFB">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sz w:val="28"/>
          <w:szCs w:val="28"/>
          <w:highlight w:val="none"/>
          <w:lang w:eastAsia="zh-CN"/>
        </w:rPr>
        <w:t>第十</w:t>
      </w: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lang w:eastAsia="zh-CN"/>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无效合同</w:t>
      </w:r>
      <w:r>
        <w:rPr>
          <w:rFonts w:hint="eastAsia" w:ascii="仿宋" w:hAnsi="仿宋" w:eastAsia="仿宋" w:cs="仿宋"/>
          <w:b/>
          <w:bCs/>
          <w:color w:val="auto"/>
          <w:kern w:val="0"/>
          <w:sz w:val="28"/>
          <w:szCs w:val="28"/>
          <w:highlight w:val="none"/>
        </w:rPr>
        <w:fldChar w:fldCharType="end"/>
      </w:r>
    </w:p>
    <w:p w14:paraId="6BCC02C0">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6AFDB7C4">
      <w:pPr>
        <w:keepNext w:val="0"/>
        <w:keepLines w:val="0"/>
        <w:pageBreakBefore w:val="0"/>
        <w:numPr>
          <w:ilvl w:val="0"/>
          <w:numId w:val="0"/>
        </w:numPr>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四</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附则</w:t>
      </w:r>
    </w:p>
    <w:p w14:paraId="07BE8FDC">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en-US" w:eastAsia="zh-CN"/>
        </w:rPr>
        <w:t>2026年度各员工餐厅厨余垃圾清运服务</w:t>
      </w:r>
      <w:r>
        <w:rPr>
          <w:rFonts w:hint="eastAsia" w:ascii="仿宋" w:hAnsi="仿宋" w:eastAsia="仿宋" w:cs="仿宋"/>
          <w:color w:val="auto"/>
          <w:kern w:val="0"/>
          <w:sz w:val="28"/>
          <w:szCs w:val="28"/>
          <w:highlight w:val="none"/>
          <w:lang w:eastAsia="zh-CN"/>
        </w:rPr>
        <w:t>项目</w:t>
      </w:r>
      <w:r>
        <w:rPr>
          <w:rFonts w:hint="eastAsia" w:ascii="仿宋" w:hAnsi="仿宋" w:eastAsia="仿宋" w:cs="仿宋"/>
          <w:color w:val="auto"/>
          <w:kern w:val="0"/>
          <w:sz w:val="28"/>
          <w:szCs w:val="28"/>
          <w:highlight w:val="none"/>
        </w:rPr>
        <w:t>（项目编号：</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kern w:val="0"/>
          <w:sz w:val="28"/>
          <w:szCs w:val="28"/>
          <w:highlight w:val="none"/>
        </w:rPr>
        <w:t>）</w:t>
      </w:r>
      <w:r>
        <w:rPr>
          <w:rFonts w:hint="eastAsia" w:ascii="仿宋" w:hAnsi="仿宋" w:eastAsia="仿宋" w:cs="仿宋"/>
          <w:color w:val="auto"/>
          <w:kern w:val="0"/>
          <w:sz w:val="28"/>
          <w:szCs w:val="28"/>
          <w:highlight w:val="none"/>
        </w:rPr>
        <w:t>磋商文件、成交通知书、乙方响应文件及澄清说明文件都是本合同的组成部分，甲、乙双方必须全面遵守，如有违反，应承担违约责任。</w:t>
      </w:r>
    </w:p>
    <w:p w14:paraId="68B6D84E">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2、本合同未尽事宜，双方共同协商达成补充协议，补充协议和附件与本合同具有同等法律效力。</w:t>
      </w:r>
    </w:p>
    <w:p w14:paraId="33A51AE0">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3、合同生效后，不因双方中任何一方法定代表人的变动而解除；双方任何一方发生合并、分立时，由变更后的当事人承担履行合同的义务和权利。</w:t>
      </w:r>
    </w:p>
    <w:p w14:paraId="16321337">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4、本合同一式陆份,甲乙双方各执两份,政府采购监督管理机构一份,政府采购代理机构一份。</w:t>
      </w:r>
    </w:p>
    <w:p w14:paraId="5E8A650E">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5、本合同自签订之日起生效。</w:t>
      </w:r>
    </w:p>
    <w:p w14:paraId="135E9557">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6、附件：</w:t>
      </w:r>
    </w:p>
    <w:p w14:paraId="351A0FC5">
      <w:pPr>
        <w:widowControl/>
        <w:spacing w:line="360" w:lineRule="auto"/>
        <w:ind w:firstLine="560" w:firstLineChars="200"/>
        <w:jc w:val="left"/>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采购人（甲方)：</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（公章）    供应商（乙方)：</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（公章）</w:t>
      </w:r>
    </w:p>
    <w:p w14:paraId="3DD8817D">
      <w:pPr>
        <w:widowControl/>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 xml:space="preserve">或                      </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或</w:t>
      </w:r>
    </w:p>
    <w:p w14:paraId="3002BC75">
      <w:pPr>
        <w:widowControl/>
        <w:spacing w:line="360" w:lineRule="auto"/>
        <w:ind w:firstLine="560" w:firstLineChars="200"/>
        <w:jc w:val="left"/>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委托代理人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（签字或盖章）：</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委托代理人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（签字或盖章）：</w:t>
      </w:r>
      <w:r>
        <w:rPr>
          <w:rFonts w:hint="eastAsia" w:ascii="仿宋" w:hAnsi="仿宋" w:eastAsia="仿宋" w:cs="仿宋"/>
          <w:color w:val="auto"/>
          <w:kern w:val="0"/>
          <w:sz w:val="28"/>
          <w:szCs w:val="28"/>
          <w:highlight w:val="none"/>
          <w:u w:val="single"/>
        </w:rPr>
        <w:t xml:space="preserve">   </w:t>
      </w:r>
    </w:p>
    <w:p w14:paraId="18E20599">
      <w:pPr>
        <w:widowControl/>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开户银行</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开户银行</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rPr>
        <w:t xml:space="preserve">                  </w:t>
      </w:r>
    </w:p>
    <w:p w14:paraId="1EFEAFC0">
      <w:pPr>
        <w:widowControl/>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账    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账    号：</w:t>
      </w:r>
      <w:r>
        <w:rPr>
          <w:rFonts w:hint="eastAsia" w:ascii="仿宋" w:hAnsi="仿宋" w:eastAsia="仿宋" w:cs="仿宋"/>
          <w:color w:val="auto"/>
          <w:kern w:val="0"/>
          <w:sz w:val="28"/>
          <w:szCs w:val="28"/>
          <w:highlight w:val="none"/>
          <w:u w:val="single"/>
        </w:rPr>
        <w:t xml:space="preserve">                  </w:t>
      </w:r>
    </w:p>
    <w:p w14:paraId="0DD28D66">
      <w:pPr>
        <w:widowControl/>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    话：</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电    话：</w:t>
      </w:r>
      <w:r>
        <w:rPr>
          <w:rFonts w:hint="eastAsia" w:ascii="仿宋" w:hAnsi="仿宋" w:eastAsia="仿宋" w:cs="仿宋"/>
          <w:color w:val="auto"/>
          <w:kern w:val="0"/>
          <w:sz w:val="28"/>
          <w:szCs w:val="28"/>
          <w:highlight w:val="none"/>
          <w:u w:val="single"/>
        </w:rPr>
        <w:t xml:space="preserve">                  </w:t>
      </w:r>
    </w:p>
    <w:p w14:paraId="0E5737BC">
      <w:pPr>
        <w:widowControl/>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    址：</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地    址：</w:t>
      </w:r>
      <w:r>
        <w:rPr>
          <w:rFonts w:hint="eastAsia" w:ascii="仿宋" w:hAnsi="仿宋" w:eastAsia="仿宋" w:cs="仿宋"/>
          <w:color w:val="auto"/>
          <w:kern w:val="0"/>
          <w:sz w:val="28"/>
          <w:szCs w:val="28"/>
          <w:highlight w:val="none"/>
          <w:u w:val="single"/>
        </w:rPr>
        <w:t xml:space="preserve">                  </w:t>
      </w:r>
    </w:p>
    <w:p w14:paraId="7C926953">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u w:val="single" w:color="000000"/>
          <w:lang w:val="en-US" w:eastAsia="zh-CN"/>
        </w:rPr>
      </w:pPr>
      <w:r>
        <w:rPr>
          <w:rFonts w:hint="eastAsia" w:ascii="仿宋" w:hAnsi="仿宋" w:eastAsia="仿宋" w:cs="仿宋"/>
          <w:color w:val="auto"/>
          <w:kern w:val="0"/>
          <w:sz w:val="28"/>
          <w:szCs w:val="28"/>
          <w:highlight w:val="none"/>
        </w:rPr>
        <w:t xml:space="preserve">时    间： </w:t>
      </w:r>
      <w:r>
        <w:rPr>
          <w:rFonts w:hint="eastAsia" w:ascii="仿宋" w:hAnsi="仿宋" w:eastAsia="仿宋" w:cs="仿宋"/>
          <w:color w:val="auto"/>
          <w:kern w:val="0"/>
          <w:sz w:val="28"/>
          <w:szCs w:val="28"/>
          <w:highlight w:val="none"/>
          <w:u w:val="single" w:color="000000"/>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rPr>
        <w:t>日          时    间：</w:t>
      </w:r>
      <w:r>
        <w:rPr>
          <w:rFonts w:hint="eastAsia" w:ascii="仿宋" w:hAnsi="仿宋" w:eastAsia="仿宋" w:cs="仿宋"/>
          <w:color w:val="auto"/>
          <w:kern w:val="0"/>
          <w:sz w:val="28"/>
          <w:szCs w:val="28"/>
          <w:highlight w:val="none"/>
          <w:u w:val="single" w:color="000000"/>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rPr>
        <w:t>日</w:t>
      </w:r>
    </w:p>
    <w:p w14:paraId="198FCD1D">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u w:val="single" w:color="000000"/>
          <w:lang w:val="en-US" w:eastAsia="zh-CN"/>
        </w:rPr>
      </w:pPr>
    </w:p>
    <w:p w14:paraId="45DDF342">
      <w:pPr>
        <w:keepNext w:val="0"/>
        <w:keepLines w:val="0"/>
        <w:pageBreakBefore w:val="0"/>
        <w:widowControl/>
        <w:wordWrap/>
        <w:overflowPunct/>
        <w:topLinePunct w:val="0"/>
        <w:bidi w:val="0"/>
        <w:snapToGrid w:val="0"/>
        <w:spacing w:line="360" w:lineRule="auto"/>
        <w:ind w:right="-197" w:rightChars="-94" w:firstLine="560" w:firstLineChars="200"/>
        <w:jc w:val="left"/>
        <w:rPr>
          <w:rFonts w:hint="default" w:ascii="仿宋" w:hAnsi="仿宋" w:eastAsia="仿宋" w:cs="仿宋"/>
          <w:color w:val="auto"/>
          <w:kern w:val="0"/>
          <w:sz w:val="28"/>
          <w:szCs w:val="28"/>
          <w:highlight w:val="none"/>
          <w:u w:val="none" w:color="auto"/>
          <w:lang w:val="en-US" w:eastAsia="zh-CN"/>
        </w:rPr>
      </w:pPr>
    </w:p>
    <w:p w14:paraId="25F39675"/>
    <w:sectPr>
      <w:headerReference r:id="rId3" w:type="default"/>
      <w:footerReference r:id="rId4" w:type="default"/>
      <w:pgSz w:w="11900" w:h="16840"/>
      <w:pgMar w:top="1134" w:right="1134" w:bottom="1134" w:left="1134" w:header="0" w:footer="34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33AED">
    <w:pPr>
      <w:spacing w:line="233" w:lineRule="auto"/>
      <w:ind w:right="2"/>
      <w:jc w:val="right"/>
      <w:rPr>
        <w:rFonts w:ascii="宋体" w:hAnsi="宋体" w:eastAsia="宋体" w:cs="宋体"/>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AE91B">
                          <w:pPr>
                            <w:pStyle w:val="5"/>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DAE91B">
                    <w:pPr>
                      <w:pStyle w:val="5"/>
                    </w:pPr>
                    <w:r>
                      <w:fldChar w:fldCharType="begin"/>
                    </w:r>
                    <w:r>
                      <w:instrText xml:space="preserve"> PAGE  \* MERGEFORMAT </w:instrText>
                    </w:r>
                    <w:r>
                      <w:fldChar w:fldCharType="separate"/>
                    </w:r>
                    <w:r>
                      <w:t>76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6521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37E17"/>
    <w:rsid w:val="07637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style>
  <w:style w:type="paragraph" w:styleId="4">
    <w:name w:val="Body Text Indent"/>
    <w:basedOn w:val="1"/>
    <w:qFormat/>
    <w:uiPriority w:val="0"/>
    <w:pPr>
      <w:ind w:firstLine="540" w:firstLineChars="257"/>
    </w:pPr>
  </w:style>
  <w:style w:type="paragraph" w:styleId="5">
    <w:name w:val="footer"/>
    <w:basedOn w:val="1"/>
    <w:qFormat/>
    <w:uiPriority w:val="99"/>
    <w:pPr>
      <w:tabs>
        <w:tab w:val="center" w:pos="4153"/>
        <w:tab w:val="right" w:pos="8306"/>
      </w:tabs>
    </w:pPr>
    <w:rPr>
      <w:sz w:val="18"/>
      <w:szCs w:val="18"/>
    </w:rPr>
  </w:style>
  <w:style w:type="paragraph" w:styleId="6">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character" w:styleId="9">
    <w:name w:val="Hyperlink"/>
    <w:unhideWhenUsed/>
    <w:qFormat/>
    <w:uiPriority w:val="99"/>
    <w:rPr>
      <w:rFonts w:hint="eastAsia" w:ascii="宋体" w:hAnsi="宋体" w:eastAsia="宋体" w:cs="宋体"/>
      <w:color w:val="000000"/>
      <w:sz w:val="14"/>
      <w:szCs w:val="14"/>
      <w:u w:val="none"/>
    </w:rPr>
  </w:style>
  <w:style w:type="paragraph" w:customStyle="1" w:styleId="1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1">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2026-06-14T07:25:00Z</dcterms:created>
  <dc:creator>七安</dc:creator>
  <cp:lastModifiedBy>七安</cp:lastModifiedBy>
  <dcterms:modified xsi:type="dcterms:W3CDTF">2026-06-14T07:25:55Z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58213A433A19447EBF617FFAAC64FB3D_11</vt:lpwstr>
  </property>
  <property fmtid="{D5CDD505-2E9C-101B-9397-08002B2CF9AE}" pid="4" name="KSOTemplateDocerSaveRecord">
    <vt:lpwstr>eyJoZGlkIjoiMzk0ZmQyOWM0YzhmZTA0MzUxM2QxZGZiODk3MTllMDgiLCJ1c2VySWQiOiI2ODY0MTEyNzMifQ==</vt:lpwstr>
  </property>
</Properties>
</file>