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版本号：SZT2026-SN-SC-ZC-HW-012520260507001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内镜超声设备（小超）(二次)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SZT2026-SN-SC-ZC-HW-0125</w:t>
      </w:r>
      <w:r>
        <w:br/>
      </w:r>
      <w:r>
        <w:br/>
      </w:r>
      <w:r>
        <w:br/>
      </w:r>
    </w:p>
    <w:p>
      <w:pPr>
        <w:pStyle w:val="null3"/>
        <w:jc w:val="center"/>
        <w:outlineLvl w:val="2"/>
      </w:pPr>
      <w:r>
        <w:rPr>
          <w:rFonts w:ascii="仿宋_GB2312" w:hAnsi="仿宋_GB2312" w:cs="仿宋_GB2312" w:eastAsia="仿宋_GB2312"/>
          <w:sz w:val="28"/>
          <w:b/>
        </w:rPr>
        <w:t>陕西中医药大学附属医院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陕西中医药大学附属医院</w:t>
      </w:r>
      <w:r>
        <w:rPr>
          <w:rFonts w:ascii="仿宋_GB2312" w:hAnsi="仿宋_GB2312" w:cs="仿宋_GB2312" w:eastAsia="仿宋_GB2312"/>
        </w:rPr>
        <w:t>委托，拟对</w:t>
      </w:r>
      <w:r>
        <w:rPr>
          <w:rFonts w:ascii="仿宋_GB2312" w:hAnsi="仿宋_GB2312" w:cs="仿宋_GB2312" w:eastAsia="仿宋_GB2312"/>
        </w:rPr>
        <w:t>内镜超声设备（小超）(二次)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内镜超声设备（小超）(二次)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内镜超声设备（小超）采购项目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资格证书：供应商为代理商的应出具医疗器械经营许可证（或医疗器械经营备案凭证）和制造厂商的营业执照和医疗器械生产许可证（或医疗器械生产备案凭证）；供应商为生产厂商的应出具医疗器械生产许可证（或医疗器械生产备案凭证）和医疗器械经营许可证（或医疗器械经营备案凭证）；</w:t>
      </w:r>
    </w:p>
    <w:p>
      <w:pPr>
        <w:pStyle w:val="null3"/>
      </w:pPr>
      <w:r>
        <w:rPr>
          <w:rFonts w:ascii="仿宋_GB2312" w:hAnsi="仿宋_GB2312" w:cs="仿宋_GB2312" w:eastAsia="仿宋_GB2312"/>
        </w:rPr>
        <w:t>3、所投产品医疗器械注册证或医疗器械备案凭证：所投产品应出具医疗器械注册证或医疗器械备案凭证；</w:t>
      </w:r>
    </w:p>
    <w:p>
      <w:pPr>
        <w:pStyle w:val="null3"/>
      </w:pPr>
      <w:r>
        <w:rPr>
          <w:rFonts w:ascii="仿宋_GB2312" w:hAnsi="仿宋_GB2312" w:cs="仿宋_GB2312" w:eastAsia="仿宋_GB2312"/>
        </w:rPr>
        <w:t>4、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陕西省咸阳市渭阳西路副2号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029-33320910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米成、胡婷、王哲、肖懿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代理服务费收费标准：招标代理服务费收取按照国家计委颁布的《招标代理服务收费管理暂行办法》（计价格[2002]1980号）和（发改办价格[2003]857号）货物类收费标准下浮20%收取。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方共同开箱验收。检查设备是否符合合同要求，之后由乙方负责安装调试并对使用科室进行整体培训，甲方进行技术验收（乙方协助），甲方应按照合同约定或者招投标确定的验收标准进行验收；验收地点在设备安装地。 2.经甲方验收不合格的，乙方应在 7个工作日内重新调试、维修或者换货，之后申请甲方再次进行验收。如乙方未在约定期限重新调试维修或者换货，或者经乙方重新调试维修或者换货，甲方再次验收仍然不合格的，甲方有权解除合同，乙方应向甲方支付总货款20%的违约金，违约金不足以弥补甲方损失的，乙方应继续承担赔偿责任。 3.如乙方对二次验收结果有异议的，应在7天内以书面形式提出鉴定申请，在理由充分的情况下，甲方可以和乙方共同确定第三方进行鉴定，鉴定费由乙方承担。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内镜超声设备（小超）采购项目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内镜超声设备（小超）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标的名称：内镜超声设备（小超）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rPr>
              <w:t>内镜超声设备（小超）</w:t>
            </w:r>
          </w:p>
          <w:p>
            <w:pPr>
              <w:pStyle w:val="null3"/>
            </w:pPr>
            <w:r>
              <w:rPr>
                <w:rFonts w:ascii="仿宋_GB2312" w:hAnsi="仿宋_GB2312" w:cs="仿宋_GB2312" w:eastAsia="仿宋_GB2312"/>
                <w:sz w:val="24"/>
              </w:rPr>
              <w:t>1.成像模式：B模式;</w:t>
            </w:r>
          </w:p>
          <w:p>
            <w:pPr>
              <w:pStyle w:val="null3"/>
            </w:pPr>
            <w:r>
              <w:rPr>
                <w:rFonts w:ascii="仿宋_GB2312" w:hAnsi="仿宋_GB2312" w:cs="仿宋_GB2312" w:eastAsia="仿宋_GB2312"/>
                <w:sz w:val="24"/>
              </w:rPr>
              <w:t>2.图像旋转：支持冻结图像可进行360°任意角度旋转；</w:t>
            </w:r>
          </w:p>
          <w:p>
            <w:pPr>
              <w:pStyle w:val="null3"/>
            </w:pPr>
            <w:r>
              <w:rPr>
                <w:rFonts w:ascii="仿宋_GB2312" w:hAnsi="仿宋_GB2312" w:cs="仿宋_GB2312" w:eastAsia="仿宋_GB2312"/>
                <w:sz w:val="24"/>
              </w:rPr>
              <w:t>3.小超声内镜图像回放：可实现≥700帧图像回放，支持自动回放和手动回放；</w:t>
            </w:r>
          </w:p>
          <w:p>
            <w:pPr>
              <w:pStyle w:val="null3"/>
            </w:pPr>
            <w:r>
              <w:rPr>
                <w:rFonts w:ascii="仿宋_GB2312" w:hAnsi="仿宋_GB2312" w:cs="仿宋_GB2312" w:eastAsia="仿宋_GB2312"/>
                <w:sz w:val="24"/>
              </w:rPr>
              <w:t>4.图像标注：在图像冻结状态下，支持在图像上进行箭头和文字标注操作；支持图像上任意两点之间的长度测量，单幅图像支持≥8组长度测量；</w:t>
            </w:r>
          </w:p>
          <w:p>
            <w:pPr>
              <w:pStyle w:val="null3"/>
            </w:pPr>
            <w:r>
              <w:rPr>
                <w:rFonts w:ascii="仿宋_GB2312" w:hAnsi="仿宋_GB2312" w:cs="仿宋_GB2312" w:eastAsia="仿宋_GB2312"/>
                <w:sz w:val="24"/>
              </w:rPr>
              <w:t>5.面积和周长测量：在图像冻结状态下，支持图像上任意成像区域的周长和面积测量，单幅图像支持≥8组;</w:t>
            </w:r>
          </w:p>
          <w:p>
            <w:pPr>
              <w:pStyle w:val="null3"/>
            </w:pPr>
            <w:r>
              <w:rPr>
                <w:rFonts w:ascii="仿宋_GB2312" w:hAnsi="仿宋_GB2312" w:cs="仿宋_GB2312" w:eastAsia="仿宋_GB2312"/>
                <w:sz w:val="24"/>
              </w:rPr>
              <w:t>6.▲TGC/STC分段增益：TGC分段增益，≥8段分段增益</w:t>
            </w:r>
            <w:r>
              <w:rPr>
                <w:rFonts w:ascii="仿宋_GB2312" w:hAnsi="仿宋_GB2312" w:cs="仿宋_GB2312" w:eastAsia="仿宋_GB2312"/>
                <w:sz w:val="24"/>
              </w:rPr>
              <w:t>；</w:t>
            </w:r>
          </w:p>
          <w:p>
            <w:pPr>
              <w:pStyle w:val="null3"/>
            </w:pPr>
            <w:r>
              <w:rPr>
                <w:rFonts w:ascii="仿宋_GB2312" w:hAnsi="仿宋_GB2312" w:cs="仿宋_GB2312" w:eastAsia="仿宋_GB2312"/>
                <w:sz w:val="24"/>
              </w:rPr>
              <w:t>7.▲图像增益可调；对比度：</w:t>
            </w:r>
            <w:r>
              <w:rPr>
                <w:rFonts w:ascii="仿宋_GB2312" w:hAnsi="仿宋_GB2312" w:cs="仿宋_GB2312" w:eastAsia="仿宋_GB2312"/>
                <w:sz w:val="24"/>
              </w:rPr>
              <w:t>支持多档调节</w:t>
            </w:r>
            <w:r>
              <w:rPr>
                <w:rFonts w:ascii="仿宋_GB2312" w:hAnsi="仿宋_GB2312" w:cs="仿宋_GB2312" w:eastAsia="仿宋_GB2312"/>
                <w:sz w:val="24"/>
              </w:rPr>
              <w:t>；</w:t>
            </w:r>
          </w:p>
          <w:p>
            <w:pPr>
              <w:pStyle w:val="null3"/>
            </w:pPr>
            <w:r>
              <w:rPr>
                <w:rFonts w:ascii="仿宋_GB2312" w:hAnsi="仿宋_GB2312" w:cs="仿宋_GB2312" w:eastAsia="仿宋_GB2312"/>
                <w:sz w:val="24"/>
              </w:rPr>
              <w:t>8.具有伪彩功能；</w:t>
            </w:r>
          </w:p>
          <w:p>
            <w:pPr>
              <w:pStyle w:val="null3"/>
            </w:pPr>
            <w:r>
              <w:rPr>
                <w:rFonts w:ascii="仿宋_GB2312" w:hAnsi="仿宋_GB2312" w:cs="仿宋_GB2312" w:eastAsia="仿宋_GB2312"/>
                <w:sz w:val="24"/>
              </w:rPr>
              <w:t>9.主机内置存储硬盘≥1TB，能存储手术视频录像；</w:t>
            </w:r>
          </w:p>
          <w:p>
            <w:pPr>
              <w:pStyle w:val="null3"/>
            </w:pPr>
            <w:r>
              <w:rPr>
                <w:rFonts w:ascii="仿宋_GB2312" w:hAnsi="仿宋_GB2312" w:cs="仿宋_GB2312" w:eastAsia="仿宋_GB2312"/>
                <w:sz w:val="24"/>
              </w:rPr>
              <w:t>10.具有局部放大功能；</w:t>
            </w:r>
          </w:p>
          <w:p>
            <w:pPr>
              <w:pStyle w:val="null3"/>
            </w:pPr>
            <w:r>
              <w:rPr>
                <w:rFonts w:ascii="仿宋_GB2312" w:hAnsi="仿宋_GB2312" w:cs="仿宋_GB2312" w:eastAsia="仿宋_GB2312"/>
                <w:sz w:val="24"/>
              </w:rPr>
              <w:t>11.患者检查信息库管理：具备患者检查信息库管理功能；可对患者检查信息进行检索、查看、编辑、保存、预览、报告打印；</w:t>
            </w:r>
          </w:p>
          <w:p>
            <w:pPr>
              <w:pStyle w:val="null3"/>
            </w:pPr>
            <w:r>
              <w:rPr>
                <w:rFonts w:ascii="仿宋_GB2312" w:hAnsi="仿宋_GB2312" w:cs="仿宋_GB2312" w:eastAsia="仿宋_GB2312"/>
                <w:sz w:val="24"/>
              </w:rPr>
              <w:t>12.数据接口：支持USB 3.0协议、TCP/IP协议、DIC0M协议；支持导出图像格式为：BMP、JPG、PNG、TIFF；</w:t>
            </w:r>
          </w:p>
          <w:p>
            <w:pPr>
              <w:pStyle w:val="null3"/>
            </w:pPr>
            <w:r>
              <w:rPr>
                <w:rFonts w:ascii="仿宋_GB2312" w:hAnsi="仿宋_GB2312" w:cs="仿宋_GB2312" w:eastAsia="仿宋_GB2312"/>
                <w:sz w:val="24"/>
              </w:rPr>
              <w:t>13.报告模板：可提供超声和内镜融合报告模板，并支持手动模板生成；</w:t>
            </w:r>
          </w:p>
          <w:p>
            <w:pPr>
              <w:pStyle w:val="null3"/>
            </w:pPr>
            <w:r>
              <w:rPr>
                <w:rFonts w:ascii="仿宋_GB2312" w:hAnsi="仿宋_GB2312" w:cs="仿宋_GB2312" w:eastAsia="仿宋_GB2312"/>
                <w:sz w:val="24"/>
              </w:rPr>
              <w:t>14.支持双模态显示：可支持超声和内镜的同屏同步同尺寸实时显示；</w:t>
            </w:r>
          </w:p>
          <w:p>
            <w:pPr>
              <w:pStyle w:val="null3"/>
            </w:pPr>
            <w:r>
              <w:rPr>
                <w:rFonts w:ascii="仿宋_GB2312" w:hAnsi="仿宋_GB2312" w:cs="仿宋_GB2312" w:eastAsia="仿宋_GB2312"/>
                <w:sz w:val="24"/>
              </w:rPr>
              <w:t>15.手势功能：支持图像放大缩小手势、保存图像手势、前后帧手势、测量手势功能；</w:t>
            </w:r>
          </w:p>
          <w:p>
            <w:pPr>
              <w:pStyle w:val="null3"/>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.▲兼容≥</w:t>
            </w:r>
            <w:r>
              <w:rPr>
                <w:rFonts w:ascii="仿宋_GB2312" w:hAnsi="仿宋_GB2312" w:cs="仿宋_GB2312" w:eastAsia="仿宋_GB2312"/>
                <w:sz w:val="24"/>
              </w:rPr>
              <w:t>4</w:t>
            </w:r>
            <w:r>
              <w:rPr>
                <w:rFonts w:ascii="仿宋_GB2312" w:hAnsi="仿宋_GB2312" w:cs="仿宋_GB2312" w:eastAsia="仿宋_GB2312"/>
                <w:sz w:val="24"/>
              </w:rPr>
              <w:t>种型号的消化道专用探头</w:t>
            </w:r>
          </w:p>
          <w:p>
            <w:pPr>
              <w:pStyle w:val="null3"/>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.消化超声探头满足以下条件：</w:t>
            </w:r>
          </w:p>
          <w:p>
            <w:pPr>
              <w:pStyle w:val="null3"/>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.1 ▲工作频率：12MHz+20MHz，支持两个频率切换；</w:t>
            </w:r>
          </w:p>
          <w:p>
            <w:pPr>
              <w:pStyle w:val="null3"/>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.2 ▲ 轴向分辨力：12MHz≤0.3</w:t>
            </w:r>
            <w:r>
              <w:rPr>
                <w:rFonts w:ascii="仿宋_GB2312" w:hAnsi="仿宋_GB2312" w:cs="仿宋_GB2312" w:eastAsia="仿宋_GB2312"/>
                <w:sz w:val="24"/>
              </w:rPr>
              <w:t>5</w:t>
            </w:r>
            <w:r>
              <w:rPr>
                <w:rFonts w:ascii="仿宋_GB2312" w:hAnsi="仿宋_GB2312" w:cs="仿宋_GB2312" w:eastAsia="仿宋_GB2312"/>
                <w:sz w:val="24"/>
              </w:rPr>
              <w:t>mm，20MHz≤0.2</w:t>
            </w:r>
            <w:r>
              <w:rPr>
                <w:rFonts w:ascii="仿宋_GB2312" w:hAnsi="仿宋_GB2312" w:cs="仿宋_GB2312" w:eastAsia="仿宋_GB2312"/>
                <w:sz w:val="24"/>
              </w:rPr>
              <w:t>2</w:t>
            </w:r>
            <w:r>
              <w:rPr>
                <w:rFonts w:ascii="仿宋_GB2312" w:hAnsi="仿宋_GB2312" w:cs="仿宋_GB2312" w:eastAsia="仿宋_GB2312"/>
                <w:sz w:val="24"/>
              </w:rPr>
              <w:t>mm；</w:t>
            </w:r>
          </w:p>
          <w:p>
            <w:pPr>
              <w:pStyle w:val="null3"/>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.3 扫描角度：环形360°，探头外径：≤2.5mm，工作长度≥2100mm；</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.主机使用年限≥6年。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乙方应在合同签订后30个日历日内将货送到医院并安装完毕。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验收合格并正常使用一个月后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验收合格并正常使用三个月后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验收合格、正常使用满一年后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验收合格、正常使用满三年后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方共同开箱验收。检查设备是否符合合同要求，之后由乙方负责安装调试并对使用科室进行整体培训，甲方进行技术验收（乙方协助），甲方应按照合同约定或者招投标确定的验收标准进行验收；验收地点在设备安装地。 2.经甲方验收不合格的，乙方应在 7个工作日内重新调试、维修或者换货，之后申请甲方再次进行验收。如乙方未在约定期限重新调试维修或者换货，或者经乙方重新调试维修或者换货，甲方再次验收仍然不合格的，甲方有权解除合同，乙方应向甲方支付总货款20%的违约金，违约金不足以弥补甲方损失的，乙方应继续承担赔偿责任。 3.如乙方对二次验收结果有异议的，应在7天内以书面形式提出鉴定申请，在理由充分的情况下，甲方可以和乙方共同确定第三方进行鉴定，鉴定费由乙方承担。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验收合格后进入质保期，整机质保3年。售后：电话随时响应，1小时到场，24小时之内应完成维修或者更换，并承担修理调换的费用；如经过乙方3次维修仍不能达到本合同约定的质量标准的，甲方有权退货并追究乙方的违约责任。一次不按时到场，乙方应向甲方支付1000元违约金，因乙方不按时到场给甲方造成其他损失的，还应当赔偿实际损失。质保期满后乙方应继续提供保修和保养服务，只收配件成本费，免服务费，终身免费维修维护。软件终身免费升级，每两个月巡检一次，并提供工作记录单。乙方负责为甲方提供免费培训并提供培训证明。乙方承诺，在本合同项下设备的全生命周期内，向甲方免费提供该设备配件电极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1.乙方如果未按约定时间提供货物，每迟延一天承担200元的违约金，迟延超过15天的，甲方有权解除合同，乙方应向甲方支付合同总价款20%的违约金。 2.乙方提供的货物均应符合约定，如质量不能达到招投标文件和合同约定的技术要求，乙方应立即退货，重新供应符合要求的货物，由此造成的一切损失由乙方承担。乙方收到退货通知后5日内，拒不配合退货的，或者重新供应的货物仍不符合约定的，甲方有权解除合同，乙方应向甲方支付合同总价款20%的违约金。 3.甲方无正当理由未按合同约定时间付款，且在收到乙方的书面催告通知后在五个工作日内仍未支付的，应从催告期满之日起，向乙方支付相当于应付款项同期贷款市场报价利率的违约金。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1、中标公告发布后，中标供应商须向采购代理机构提供纸质版投标文件2套、电子U盘1份，且提供的投标文件必须与在陕西省政府采购综合管理平台的项目电子化交易系统中递交的电子投标文件内容一致。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micheng@sxzjtc.com（邮件命名：项目编号）。保函必须由具有开具投标保函资格的单位开具；若供应商违约，开具保函单位承担连带责任； 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2.具有良好的商业信誉和健全的财务会计制度（提供2024年或2025年度财务审计报告或开标前6个月内银行资信证明或财政部门认可的政府采购专业担保机构出具的投标担保函）； 3.具有履行合同所必需的服务能力（格式详见附件）； 4.具有依法缴纳税收和社会保障资金的良好记录（提供开标前12个月内任一月份的社保和缴纳税收的证明，依法不需要缴纳社会保障资金、免税或无须缴纳税款的供应商，应提供相关证明文件)； 5.参加政府采购活动前三年内，在经营活动中没有重大违法记录（格式详见附件）供应商需在项目电子化交易系统中按要求上传相应证明文件并进行电子签章。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为代理商的应出具医疗器械经营许可证（或医疗器械经营备案凭证）和制造厂商的营业执照和医疗器械生产许可证（或医疗器械生产备案凭证）；供应商为生产厂商的应出具医疗器械生产许可证（或医疗器械生产备案凭证）和医疗器械经营许可证（或医疗器械经营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所投产品应出具医疗器械注册证或医疗器械备案凭证；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整机验收合格后进入质保期，整机质保3年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乙方应在合同签订后30个日历日内将货送到医院并安装完毕</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供应商认为需要提供的其他资料.docx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节能环保评审</w:t>
            </w:r>
          </w:p>
        </w:tc>
        <w:tc>
          <w:tcPr>
            <w:tcW w:type="dxa" w:w="2492"/>
          </w:tcPr>
          <w:p>
            <w:pPr>
              <w:pStyle w:val="null3"/>
            </w:pPr>
            <w:r>
              <w:rPr>
                <w:rFonts w:ascii="仿宋_GB2312" w:hAnsi="仿宋_GB2312" w:cs="仿宋_GB2312" w:eastAsia="仿宋_GB2312"/>
              </w:rPr>
              <w:t>所投产品每有一项为节能、环保、环境标志产品清单中的产品得1分，满分1分（以经国家确定的认证机构出具的、处于有效期内的节能产品、环境标志产品认证证书为准。）。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产品技术参数完全符合招标文件配置要求的,得25分。其中“▲”标注参数为重要技术参数。每负偏离一项扣2分，直至本项扣完为止；非“▲”参数为一般参数，每负偏离一项扣1分，直至本项扣完为止。 注：带“▲”参数需提供佐证材料并加盖公章。（佐证材料不限于：检测报告、功能说明书、功能截图等内容，未提供相关证明材料不得分。）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设备供货渠道正常、货物来源质量有保证，检验手续完善、合法有效，无产权纠纷，提供投标产品的合法来源渠道证明文件，不限于销售协议或代理协议或购销合同或购货发票等；提供齐全计2分，否则不计分。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针对本项目的采购需求，对所投产品的选型进行详细分析说明，分析包含：（1）设备选型的具体特点，软件兼容性、配置合理性说明；（2）设备的安全防护措施及设备维护保养等全生命周期成本控制措施等。 分析各项内容全面详细、阐述条理清晰详尽、符合本项目采购需求、能有效保障本项目实施，每有一个缺项扣2分，每有一处缺陷扣0.5分，扣完为止。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备品备件情况</w:t>
            </w:r>
          </w:p>
        </w:tc>
        <w:tc>
          <w:tcPr>
            <w:tcW w:type="dxa" w:w="2492"/>
          </w:tcPr>
          <w:p>
            <w:pPr>
              <w:pStyle w:val="null3"/>
            </w:pPr>
            <w:r>
              <w:rPr>
                <w:rFonts w:ascii="仿宋_GB2312" w:hAnsi="仿宋_GB2312" w:cs="仿宋_GB2312" w:eastAsia="仿宋_GB2312"/>
              </w:rPr>
              <w:t>根据供应商针对投标产品提供的配件、备品备件、耗材清单等配置情况，由评委进行评议：提供详细、合理、齐全的配件、备品备件、耗材清单等配置，且满足设备使用要求的得3分；提供较详细、合理、齐全的配件、备品备件、耗材清单等配置，且大部分满足设备使用要求的得2分；提供不够详细、合理一般、不够齐全的主要件和关键件配置清单，且小部分满足设备使用要求的得1分；未提供或不适用于本项目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备品备件情况.docx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供货组织安排，包括仓储、运输、派送措施等方面；（2）实施步骤和供货计划表，确保按期交货；（3）组织机构人员配置、协调能力等；（4）验收方案。 分析各项内容全面详细、阐述条理清晰详尽、符合本项目采购需求、能有效保障本项目实施，每有一个缺项扣2分，每有一处缺陷扣0.5分，扣完为止。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供应商提供针对本项目产品的安装调试方案，包括：（1）设备检查；（2）环境测试；（3）设备调试等。就其方案是否完整，针对各项内容均有详细阐述，贴合本项目特征进行评审。 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供应商针对本项目提供详细的质量保证方案，包括但不限于：（1）产品性能、使用寿命及效果；（2）质量保证措施。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提供供应商2023年3月1日至今同类设备合同，每提供1个得1分，最高得5分。（以合同签订日期为准)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培训服务计划（培训课程计划表、培训人员安排等）；（2）培训内容（设备原理和技术性能、仪器操作、仪器维护、故障排除等）；（3）确保培训效果措施。 方案及承诺各项内容全面详细、阐述条理清晰详尽、符合本项目采购需求、能有效保障本项目实施，每有一个缺项扣2分，每有一处缺陷扣0.5分，扣完为止。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3）应急补救措施或方案。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详见附件：备品备件情况.docx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详见附件：设备合同模板.docx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