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版本号：项目（采）2026-004号20260515003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2026年重点区域森林病虫害防治项目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项目（采）2026-004号</w:t>
      </w:r>
      <w:r>
        <w:br/>
      </w:r>
      <w:r>
        <w:br/>
      </w:r>
      <w:r>
        <w:br/>
      </w:r>
    </w:p>
    <w:p>
      <w:pPr>
        <w:pStyle w:val="null3"/>
        <w:jc w:val="center"/>
        <w:outlineLvl w:val="2"/>
      </w:pPr>
      <w:r>
        <w:rPr>
          <w:rFonts w:ascii="仿宋_GB2312" w:hAnsi="仿宋_GB2312" w:cs="仿宋_GB2312" w:eastAsia="仿宋_GB2312"/>
          <w:sz w:val="28"/>
          <w:b/>
        </w:rPr>
        <w:t>汉中市褒河林场</w:t>
      </w:r>
    </w:p>
    <w:p>
      <w:pPr>
        <w:pStyle w:val="null3"/>
        <w:jc w:val="center"/>
        <w:outlineLvl w:val="2"/>
      </w:pPr>
      <w:r>
        <w:rPr>
          <w:rFonts w:ascii="仿宋_GB2312" w:hAnsi="仿宋_GB2312" w:cs="仿宋_GB2312" w:eastAsia="仿宋_GB2312"/>
          <w:sz w:val="28"/>
          <w:b/>
        </w:rPr>
        <w:t>陕西省工程监理有限责任公司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陕西省工程监理有限责任公司</w:t>
      </w:r>
      <w:r>
        <w:rPr>
          <w:rFonts w:ascii="仿宋_GB2312" w:hAnsi="仿宋_GB2312" w:cs="仿宋_GB2312" w:eastAsia="仿宋_GB2312"/>
        </w:rPr>
        <w:t>（以下简称“代理机构”）受</w:t>
      </w:r>
      <w:r>
        <w:rPr>
          <w:rFonts w:ascii="仿宋_GB2312" w:hAnsi="仿宋_GB2312" w:cs="仿宋_GB2312" w:eastAsia="仿宋_GB2312"/>
        </w:rPr>
        <w:t>汉中市褒河林场</w:t>
      </w:r>
      <w:r>
        <w:rPr>
          <w:rFonts w:ascii="仿宋_GB2312" w:hAnsi="仿宋_GB2312" w:cs="仿宋_GB2312" w:eastAsia="仿宋_GB2312"/>
        </w:rPr>
        <w:t>委托，拟对</w:t>
      </w:r>
      <w:r>
        <w:rPr>
          <w:rFonts w:ascii="仿宋_GB2312" w:hAnsi="仿宋_GB2312" w:cs="仿宋_GB2312" w:eastAsia="仿宋_GB2312"/>
        </w:rPr>
        <w:t>2026年重点区域森林病虫害防治项目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项目（采）2026-004号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2026年重点区域森林病虫害防治项目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标段：开展林场病虫害全面普查，明确病死、枯死、濒死松树分布、枯死木具体位置，建立精准台账，明确伐除范围、数量、位置（含具体坐标点位）及处置方式，确保排查无遗漏、无死角，并向林场提交调查报告；调查单位对调查过程中发现疑似病株取样并送检。2标段：汉中市褒河林场42、44、45、46、50、51、52、53、54、55、56、57、58林班重点区域，确诊病死、枯死、濒死松树6000株，采伐蓄积406.22m³，涉及可作业面积30665亩，主要分布在316国道两侧、石门库区沿岸地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采购包1（2026年重点区域病虫害防治项目1标段）：属于专门面向null采购。</w:t>
      </w:r>
    </w:p>
    <w:p>
      <w:pPr>
        <w:pStyle w:val="null3"/>
      </w:pPr>
      <w:r>
        <w:rPr>
          <w:rFonts w:ascii="仿宋_GB2312" w:hAnsi="仿宋_GB2312" w:cs="仿宋_GB2312" w:eastAsia="仿宋_GB2312"/>
        </w:rPr>
        <w:t>采购包2（2026年重点区域病虫害防治项目2标段）：属于专门面向中小企业采购。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3、供应商资质要求：供应商须具备陕西省林学会颁发的林业有害生物防治(调查设计)丙级或以上资质证书；</w:t>
      </w:r>
    </w:p>
    <w:p>
      <w:pPr>
        <w:pStyle w:val="null3"/>
      </w:pPr>
      <w:r>
        <w:rPr>
          <w:rFonts w:ascii="仿宋_GB2312" w:hAnsi="仿宋_GB2312" w:cs="仿宋_GB2312" w:eastAsia="仿宋_GB2312"/>
        </w:rPr>
        <w:t>4、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5、非联合体和不分包声明：本采购项目不接受联合体响应，不允许分包，供应商应提供《非联合体和不分包声明》，视为独立响应和不分包。</w:t>
      </w:r>
    </w:p>
    <w:p>
      <w:pPr>
        <w:pStyle w:val="null3"/>
      </w:pPr>
      <w:r>
        <w:rPr>
          <w:rFonts w:ascii="仿宋_GB2312" w:hAnsi="仿宋_GB2312" w:cs="仿宋_GB2312" w:eastAsia="仿宋_GB2312"/>
        </w:rPr>
        <w:t>6、中小企业声明函：本合同包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3、供应商资质要求：供应商须具备陕西省林学会颁发的林业有害生物防治(应急防治专业队)丙级或以上资质证书；</w:t>
      </w:r>
    </w:p>
    <w:p>
      <w:pPr>
        <w:pStyle w:val="null3"/>
      </w:pPr>
      <w:r>
        <w:rPr>
          <w:rFonts w:ascii="仿宋_GB2312" w:hAnsi="仿宋_GB2312" w:cs="仿宋_GB2312" w:eastAsia="仿宋_GB2312"/>
        </w:rPr>
        <w:t>4、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5、非联合体和不分包声明：本采购项目不接受联合体响应，不允许分包，供应商应提供《非联合体和不分包声明》，视为独立响应和不分包。</w:t>
      </w:r>
    </w:p>
    <w:p>
      <w:pPr>
        <w:pStyle w:val="null3"/>
      </w:pPr>
      <w:r>
        <w:rPr>
          <w:rFonts w:ascii="仿宋_GB2312" w:hAnsi="仿宋_GB2312" w:cs="仿宋_GB2312" w:eastAsia="仿宋_GB2312"/>
        </w:rPr>
        <w:t>6、中小企业声明函：本合同包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汉中市褒河林场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汉中市汉台区河东店镇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汉中市褒河林场经办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0916-2296216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陕西省工程监理有限责任公司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陕西省汉中市汉台区兴汉路牛家桥万嘉房产五楼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0916-8810552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张森</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0916-2249355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采购包1：80,000.00元</w:t>
            </w:r>
          </w:p>
          <w:p>
            <w:pPr>
              <w:pStyle w:val="null3"/>
            </w:pPr>
            <w:r>
              <w:rPr>
                <w:rFonts w:ascii="仿宋_GB2312" w:hAnsi="仿宋_GB2312" w:cs="仿宋_GB2312" w:eastAsia="仿宋_GB2312"/>
              </w:rPr>
              <w:t>采购包2：720,000.00元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开户名称：陕西省工程监理有限责任公司汉中分公司</w:t>
            </w:r>
          </w:p>
          <w:p>
            <w:pPr>
              <w:pStyle w:val="null3"/>
            </w:pPr>
            <w:r>
              <w:rPr>
                <w:rFonts w:ascii="仿宋_GB2312" w:hAnsi="仿宋_GB2312" w:cs="仿宋_GB2312" w:eastAsia="仿宋_GB2312"/>
              </w:rPr>
              <w:t>开户银行：中国建设银行股份有限公司汉中前进东路支行</w:t>
            </w:r>
          </w:p>
          <w:p>
            <w:pPr>
              <w:pStyle w:val="null3"/>
            </w:pPr>
            <w:r>
              <w:rPr>
                <w:rFonts w:ascii="仿宋_GB2312" w:hAnsi="仿宋_GB2312" w:cs="仿宋_GB2312" w:eastAsia="仿宋_GB2312"/>
              </w:rPr>
              <w:t>银行账号：6105 0165 0042 0000 0121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汉中市褒河林场</w:t>
      </w:r>
      <w:r>
        <w:rPr>
          <w:rFonts w:ascii="仿宋_GB2312" w:hAnsi="仿宋_GB2312" w:cs="仿宋_GB2312" w:eastAsia="仿宋_GB2312"/>
        </w:rPr>
        <w:t>和</w:t>
      </w:r>
      <w:r>
        <w:rPr>
          <w:rFonts w:ascii="仿宋_GB2312" w:hAnsi="仿宋_GB2312" w:cs="仿宋_GB2312" w:eastAsia="仿宋_GB2312"/>
        </w:rPr>
        <w:t>陕西省工程监理有限责任公司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汉中市褒河林场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陕西省工程监理有限责任公司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汉中市褒河林场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陕西省工程监理有限责任公司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满足采购人工作需求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联系人：姚工</w:t>
      </w:r>
    </w:p>
    <w:p>
      <w:pPr>
        <w:pStyle w:val="null3"/>
      </w:pPr>
      <w:r>
        <w:rPr>
          <w:rFonts w:ascii="仿宋_GB2312" w:hAnsi="仿宋_GB2312" w:cs="仿宋_GB2312" w:eastAsia="仿宋_GB2312"/>
        </w:rPr>
        <w:t>联系电话：0916-8810552</w:t>
      </w:r>
    </w:p>
    <w:p>
      <w:pPr>
        <w:pStyle w:val="null3"/>
      </w:pPr>
      <w:r>
        <w:rPr>
          <w:rFonts w:ascii="仿宋_GB2312" w:hAnsi="仿宋_GB2312" w:cs="仿宋_GB2312" w:eastAsia="仿宋_GB2312"/>
        </w:rPr>
        <w:t>地址：陕西省汉中市汉台区兴汉路牛家桥万嘉房产五楼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标段：开展林场病虫害全面普查，明确病死、枯死、濒死松树分布、枯死木具体位置，建立精准台账，明确伐除范围、数量、位置（含具体坐标点位）及处置方式，确保排查无遗漏、无死角，并向林场提交调查报告；调查单位对调查过程中发现疑似病株取样并送检。2标段：汉中市褒河林场42、44、45、46、50、51、52、53、54、55、56、57、58林班重点区域，确诊病死、枯死、濒死松树6000株，采伐蓄积406.22m³，涉及可作业面积30665亩，主要分布在316国道两侧、石门库区沿岸地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病虫害调查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除治作业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标的名称：病虫害调查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采购内容要求：</w:t>
            </w:r>
          </w:p>
          <w:p>
            <w:pPr>
              <w:pStyle w:val="null3"/>
            </w:pPr>
            <w:r>
              <w:rPr>
                <w:rFonts w:ascii="仿宋_GB2312" w:hAnsi="仿宋_GB2312" w:cs="仿宋_GB2312" w:eastAsia="仿宋_GB2312"/>
                <w:sz w:val="21"/>
              </w:rPr>
              <w:t>开展林场病虫害全面普查，明确病死、枯死、濒死松树分布、枯死木具体位置，建立精准台账，明确伐除范围、数量、位置（含具体坐标点位）及处置方式，确保排查无遗漏、无死角，并向林场提交调查报告；对调查过程中发现疑似病株取样并送检。</w:t>
            </w:r>
          </w:p>
          <w:p>
            <w:pPr>
              <w:pStyle w:val="null3"/>
            </w:pPr>
            <w:r>
              <w:rPr>
                <w:rFonts w:ascii="仿宋_GB2312" w:hAnsi="仿宋_GB2312" w:cs="仿宋_GB2312" w:eastAsia="仿宋_GB2312"/>
                <w:sz w:val="21"/>
              </w:rPr>
              <w:t>对重点区域进行全面调查，需投入无人机巡查、专业队伍野外作业，最终形成正式版调查报告。</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标的名称：除治作业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1、采购内容要求：</w:t>
            </w:r>
          </w:p>
          <w:p>
            <w:pPr>
              <w:pStyle w:val="null3"/>
              <w:ind w:firstLine="640"/>
            </w:pPr>
            <w:r>
              <w:rPr>
                <w:rFonts w:ascii="仿宋_GB2312" w:hAnsi="仿宋_GB2312" w:cs="仿宋_GB2312" w:eastAsia="仿宋_GB2312"/>
                <w:sz w:val="21"/>
              </w:rPr>
              <w:t>一是设计林班内6000株病死、枯死、濒死松树及感染枝桠，做到应清尽清、即死即清，枯死木清理率100%；二是规范完成6000株病死、枯死、濒死木的伐桩无害处理，处理合格率100%，杜绝病死、枯死、濒死松树外流；三是顺利通过区、市林业部门检查验收，绩效评价达标。</w:t>
            </w:r>
          </w:p>
          <w:p>
            <w:pPr>
              <w:pStyle w:val="null3"/>
            </w:pPr>
            <w:r>
              <w:rPr>
                <w:rFonts w:ascii="仿宋_GB2312" w:hAnsi="仿宋_GB2312" w:cs="仿宋_GB2312" w:eastAsia="仿宋_GB2312"/>
                <w:sz w:val="21"/>
              </w:rPr>
              <w:t>2、病虫木处置要求</w:t>
            </w:r>
          </w:p>
          <w:p>
            <w:pPr>
              <w:pStyle w:val="null3"/>
              <w:ind w:firstLine="643"/>
            </w:pPr>
            <w:r>
              <w:rPr>
                <w:rFonts w:ascii="仿宋_GB2312" w:hAnsi="仿宋_GB2312" w:cs="仿宋_GB2312" w:eastAsia="仿宋_GB2312"/>
                <w:sz w:val="21"/>
              </w:rPr>
              <w:t>2.1 采伐作业准备</w:t>
            </w:r>
          </w:p>
          <w:p>
            <w:pPr>
              <w:pStyle w:val="null3"/>
              <w:ind w:firstLine="640"/>
            </w:pPr>
            <w:r>
              <w:rPr>
                <w:rFonts w:ascii="仿宋_GB2312" w:hAnsi="仿宋_GB2312" w:cs="仿宋_GB2312" w:eastAsia="仿宋_GB2312"/>
                <w:sz w:val="21"/>
              </w:rPr>
              <w:t>（1）林木采伐许可证。</w:t>
            </w:r>
          </w:p>
          <w:p>
            <w:pPr>
              <w:pStyle w:val="null3"/>
              <w:ind w:firstLine="640"/>
            </w:pPr>
            <w:r>
              <w:rPr>
                <w:rFonts w:ascii="仿宋_GB2312" w:hAnsi="仿宋_GB2312" w:cs="仿宋_GB2312" w:eastAsia="仿宋_GB2312"/>
                <w:sz w:val="21"/>
              </w:rPr>
              <w:t>采伐林木应按照相关法律法规办理林木采伐许可证。枯死疫木也需办理林木采伐许可证，内容包括采伐地点、起源、方式、林种、树种、面积、蓄积、材积、期限和完成更新造林的时间等。</w:t>
            </w:r>
          </w:p>
          <w:p>
            <w:pPr>
              <w:pStyle w:val="null3"/>
              <w:ind w:firstLine="640"/>
            </w:pPr>
            <w:r>
              <w:rPr>
                <w:rFonts w:ascii="仿宋_GB2312" w:hAnsi="仿宋_GB2312" w:cs="仿宋_GB2312" w:eastAsia="仿宋_GB2312"/>
                <w:sz w:val="21"/>
              </w:rPr>
              <w:t>（2）作业人员、设备筹备。</w:t>
            </w:r>
          </w:p>
          <w:p>
            <w:pPr>
              <w:pStyle w:val="null3"/>
              <w:ind w:firstLine="640"/>
            </w:pPr>
            <w:r>
              <w:rPr>
                <w:rFonts w:ascii="仿宋_GB2312" w:hAnsi="仿宋_GB2312" w:cs="仿宋_GB2312" w:eastAsia="仿宋_GB2312"/>
                <w:sz w:val="21"/>
              </w:rPr>
              <w:t>配备足够的除治所需的技术人员、物资。</w:t>
            </w:r>
          </w:p>
          <w:p>
            <w:pPr>
              <w:pStyle w:val="null3"/>
              <w:ind w:firstLine="643"/>
            </w:pPr>
            <w:r>
              <w:rPr>
                <w:rFonts w:ascii="仿宋_GB2312" w:hAnsi="仿宋_GB2312" w:cs="仿宋_GB2312" w:eastAsia="仿宋_GB2312"/>
                <w:sz w:val="21"/>
              </w:rPr>
              <w:t>2.2 采伐除治作业</w:t>
            </w:r>
          </w:p>
          <w:p>
            <w:pPr>
              <w:pStyle w:val="null3"/>
              <w:ind w:firstLine="640"/>
            </w:pPr>
            <w:r>
              <w:rPr>
                <w:rFonts w:ascii="仿宋_GB2312" w:hAnsi="仿宋_GB2312" w:cs="仿宋_GB2312" w:eastAsia="仿宋_GB2312"/>
                <w:sz w:val="21"/>
              </w:rPr>
              <w:t>（1）采伐除治公示</w:t>
            </w:r>
          </w:p>
          <w:p>
            <w:pPr>
              <w:pStyle w:val="null3"/>
              <w:ind w:firstLine="640"/>
            </w:pPr>
            <w:r>
              <w:rPr>
                <w:rFonts w:ascii="仿宋_GB2312" w:hAnsi="仿宋_GB2312" w:cs="仿宋_GB2312" w:eastAsia="仿宋_GB2312"/>
                <w:sz w:val="21"/>
              </w:rPr>
              <w:t>建立伐前公示制度，明确公示的形式、内容、期限等。采伐森林、林木的单位（个人）还应在伐区及其附近的交通要道设立公示牌。</w:t>
            </w:r>
          </w:p>
          <w:p>
            <w:pPr>
              <w:pStyle w:val="null3"/>
              <w:ind w:firstLine="640"/>
            </w:pPr>
            <w:r>
              <w:rPr>
                <w:rFonts w:ascii="仿宋_GB2312" w:hAnsi="仿宋_GB2312" w:cs="仿宋_GB2312" w:eastAsia="仿宋_GB2312"/>
                <w:sz w:val="21"/>
              </w:rPr>
              <w:t>（2）林班与除治目标</w:t>
            </w:r>
          </w:p>
          <w:p>
            <w:pPr>
              <w:pStyle w:val="null3"/>
              <w:ind w:firstLine="640"/>
            </w:pPr>
            <w:r>
              <w:rPr>
                <w:rFonts w:ascii="仿宋_GB2312" w:hAnsi="仿宋_GB2312" w:cs="仿宋_GB2312" w:eastAsia="仿宋_GB2312"/>
                <w:sz w:val="21"/>
              </w:rPr>
              <w:t>找到设计的小班位置，确认松林地块；核对所需除治枯死松树作业标号、编号。</w:t>
            </w:r>
          </w:p>
          <w:p>
            <w:pPr>
              <w:pStyle w:val="null3"/>
              <w:numPr>
                <w:ilvl w:val="0"/>
                <w:numId w:val="1"/>
              </w:numPr>
              <w:jc w:val="both"/>
            </w:pPr>
            <w:r>
              <w:rPr>
                <w:rFonts w:ascii="仿宋_GB2312" w:hAnsi="仿宋_GB2312" w:cs="仿宋_GB2312" w:eastAsia="仿宋_GB2312"/>
                <w:sz w:val="21"/>
              </w:rPr>
              <w:t>确定伐木顺序。</w:t>
            </w:r>
          </w:p>
          <w:p>
            <w:pPr>
              <w:pStyle w:val="null3"/>
              <w:numPr>
                <w:ilvl w:val="0"/>
                <w:numId w:val="1"/>
              </w:numPr>
              <w:jc w:val="both"/>
            </w:pPr>
            <w:r>
              <w:rPr>
                <w:rFonts w:ascii="仿宋_GB2312" w:hAnsi="仿宋_GB2312" w:cs="仿宋_GB2312" w:eastAsia="仿宋_GB2312"/>
                <w:sz w:val="21"/>
              </w:rPr>
              <w:t>选定树木伐倒方向。正确选定树木伐倒方向；伐除病死、枯死、濒死松树。清除被伐木周围1—2m以内的藤条、灌木和攀缘植物等障碍物。</w:t>
            </w:r>
          </w:p>
          <w:p>
            <w:pPr>
              <w:pStyle w:val="null3"/>
              <w:ind w:firstLine="643"/>
            </w:pPr>
            <w:r>
              <w:rPr>
                <w:rFonts w:ascii="仿宋_GB2312" w:hAnsi="仿宋_GB2312" w:cs="仿宋_GB2312" w:eastAsia="仿宋_GB2312"/>
                <w:sz w:val="21"/>
              </w:rPr>
              <w:t>2.3 伐桩处理</w:t>
            </w:r>
          </w:p>
          <w:p>
            <w:pPr>
              <w:pStyle w:val="null3"/>
              <w:ind w:firstLine="640"/>
            </w:pPr>
            <w:r>
              <w:rPr>
                <w:rFonts w:ascii="仿宋_GB2312" w:hAnsi="仿宋_GB2312" w:cs="仿宋_GB2312" w:eastAsia="仿宋_GB2312"/>
                <w:sz w:val="21"/>
              </w:rPr>
              <w:t>（1）伐桩平整无毛茬、采伐的伐桩不得高于地面5cm。</w:t>
            </w:r>
          </w:p>
          <w:p>
            <w:pPr>
              <w:pStyle w:val="null3"/>
              <w:ind w:firstLine="640"/>
            </w:pPr>
            <w:r>
              <w:rPr>
                <w:rFonts w:ascii="仿宋_GB2312" w:hAnsi="仿宋_GB2312" w:cs="仿宋_GB2312" w:eastAsia="仿宋_GB2312"/>
                <w:sz w:val="21"/>
              </w:rPr>
              <w:t>（2）伐桩必须于当天采用投放磷化铝片和厚度0.10mm以上农膜完整覆盖，周边农膜覆土厚度必须达到20cm以上；或采用钢丝直径≥0.17毫米，网目数≥16目的锻压钢丝网罩覆盖伐桩，并将钢丝网罩严密固定在伐桩上。</w:t>
            </w:r>
          </w:p>
          <w:p>
            <w:pPr>
              <w:pStyle w:val="null3"/>
              <w:ind w:firstLine="640"/>
            </w:pPr>
            <w:r>
              <w:rPr>
                <w:rFonts w:ascii="仿宋_GB2312" w:hAnsi="仿宋_GB2312" w:cs="仿宋_GB2312" w:eastAsia="仿宋_GB2312"/>
                <w:sz w:val="21"/>
              </w:rPr>
              <w:t>（3）在伐桩上切割凹槽放置磷化铝,使用时直径20cm以下伐桩放置1-2片磷化铝（5克/片），直径20cm以上伐桩放置2-3片磷化铝。</w:t>
            </w:r>
          </w:p>
          <w:p>
            <w:pPr>
              <w:pStyle w:val="null3"/>
              <w:ind w:firstLine="643"/>
            </w:pPr>
            <w:r>
              <w:rPr>
                <w:rFonts w:ascii="仿宋_GB2312" w:hAnsi="仿宋_GB2312" w:cs="仿宋_GB2312" w:eastAsia="仿宋_GB2312"/>
                <w:sz w:val="21"/>
              </w:rPr>
              <w:t>2.4 林地采伐木清理</w:t>
            </w:r>
          </w:p>
          <w:p>
            <w:pPr>
              <w:pStyle w:val="null3"/>
              <w:ind w:firstLine="640"/>
            </w:pPr>
            <w:r>
              <w:rPr>
                <w:rFonts w:ascii="仿宋_GB2312" w:hAnsi="仿宋_GB2312" w:cs="仿宋_GB2312" w:eastAsia="仿宋_GB2312"/>
                <w:sz w:val="21"/>
              </w:rPr>
              <w:t>（1）将砍伐的病死、枯死、濒死木主杆用油锯截短成1.2m左右小段，便于人员集中搬运。</w:t>
            </w:r>
          </w:p>
          <w:p>
            <w:pPr>
              <w:pStyle w:val="null3"/>
              <w:ind w:firstLine="640"/>
            </w:pPr>
            <w:r>
              <w:rPr>
                <w:rFonts w:ascii="仿宋_GB2312" w:hAnsi="仿宋_GB2312" w:cs="仿宋_GB2312" w:eastAsia="仿宋_GB2312"/>
                <w:sz w:val="21"/>
              </w:rPr>
              <w:t>（2）侧枝及1cm以上细枝收集至焚烧火点。</w:t>
            </w:r>
          </w:p>
          <w:p>
            <w:pPr>
              <w:pStyle w:val="null3"/>
              <w:ind w:firstLine="640"/>
            </w:pPr>
            <w:r>
              <w:rPr>
                <w:rFonts w:ascii="仿宋_GB2312" w:hAnsi="仿宋_GB2312" w:cs="仿宋_GB2312" w:eastAsia="仿宋_GB2312"/>
                <w:sz w:val="21"/>
              </w:rPr>
              <w:t>（3）平桩伐木树盘必须全部清理集中焚烧。</w:t>
            </w:r>
          </w:p>
          <w:p>
            <w:pPr>
              <w:pStyle w:val="null3"/>
              <w:ind w:firstLine="640"/>
            </w:pPr>
            <w:r>
              <w:rPr>
                <w:rFonts w:ascii="仿宋_GB2312" w:hAnsi="仿宋_GB2312" w:cs="仿宋_GB2312" w:eastAsia="仿宋_GB2312"/>
                <w:sz w:val="21"/>
              </w:rPr>
              <w:t>（4）若施工时段、地形、天气等情况影响，无法碳化病虫木，则对病虫木及侧枝进行钢丝网罩处理（山高坡陡、不通道路、人迹罕至，且不具备粉碎(削片)、旋切、烧毁等除害处理条件的疫情除治区域。）使用钢丝直径≥0.17毫米，网目数≥16目的锻压钢丝网罩严密包裹采伐清理的病死、枯死、濒死松树及直径超过1cm的枝丫，并进行严密锁边，施工单位不定期安排人员进行上山巡查。</w:t>
            </w:r>
          </w:p>
          <w:p>
            <w:pPr>
              <w:pStyle w:val="null3"/>
              <w:ind w:firstLine="643"/>
            </w:pPr>
            <w:r>
              <w:rPr>
                <w:rFonts w:ascii="仿宋_GB2312" w:hAnsi="仿宋_GB2312" w:cs="仿宋_GB2312" w:eastAsia="仿宋_GB2312"/>
                <w:sz w:val="21"/>
              </w:rPr>
              <w:t>2.5 焚烧管控</w:t>
            </w:r>
          </w:p>
          <w:p>
            <w:pPr>
              <w:pStyle w:val="null3"/>
              <w:ind w:firstLine="640"/>
            </w:pPr>
            <w:r>
              <w:rPr>
                <w:rFonts w:ascii="仿宋_GB2312" w:hAnsi="仿宋_GB2312" w:cs="仿宋_GB2312" w:eastAsia="仿宋_GB2312"/>
                <w:sz w:val="21"/>
              </w:rPr>
              <w:t>（1）用火前向汉台区林业局及上级单位报备，申请用火时间和范围。</w:t>
            </w:r>
          </w:p>
          <w:p>
            <w:pPr>
              <w:pStyle w:val="null3"/>
              <w:ind w:firstLine="640"/>
            </w:pPr>
            <w:r>
              <w:rPr>
                <w:rFonts w:ascii="仿宋_GB2312" w:hAnsi="仿宋_GB2312" w:cs="仿宋_GB2312" w:eastAsia="仿宋_GB2312"/>
                <w:sz w:val="21"/>
              </w:rPr>
              <w:t>（2）将林地中疫木搬运至林地外空地或就近割灌，形成至少方圆3-5米左右焚烧区域。清除地上枯草、灌枝使地表裸露。将集材的病死、枯死、濒死松树、侧枝集中堆放，垛高不超1.5M进行焚烧。</w:t>
            </w:r>
          </w:p>
          <w:p>
            <w:pPr>
              <w:pStyle w:val="null3"/>
              <w:ind w:firstLine="640"/>
            </w:pPr>
            <w:r>
              <w:rPr>
                <w:rFonts w:ascii="仿宋_GB2312" w:hAnsi="仿宋_GB2312" w:cs="仿宋_GB2312" w:eastAsia="仿宋_GB2312"/>
                <w:sz w:val="21"/>
              </w:rPr>
              <w:t>（3）焚烧时火源点不能离人，应有专人照看火源。</w:t>
            </w:r>
          </w:p>
          <w:p>
            <w:pPr>
              <w:pStyle w:val="null3"/>
              <w:ind w:firstLine="640"/>
            </w:pPr>
            <w:r>
              <w:rPr>
                <w:rFonts w:ascii="仿宋_GB2312" w:hAnsi="仿宋_GB2312" w:cs="仿宋_GB2312" w:eastAsia="仿宋_GB2312"/>
                <w:sz w:val="21"/>
              </w:rPr>
              <w:t>（4）焚烧要彻底，让所有病死、枯死、濒死松树、枯枝完全碳化成灰；并用周边泥土将热灰覆盖，以防发生火灾。</w:t>
            </w:r>
          </w:p>
          <w:p>
            <w:pPr>
              <w:pStyle w:val="null3"/>
              <w:ind w:firstLine="643"/>
            </w:pPr>
            <w:r>
              <w:rPr>
                <w:rFonts w:ascii="仿宋_GB2312" w:hAnsi="仿宋_GB2312" w:cs="仿宋_GB2312" w:eastAsia="仿宋_GB2312"/>
                <w:sz w:val="21"/>
              </w:rPr>
              <w:t>2.6 除治作业监督与检查验收</w:t>
            </w:r>
          </w:p>
          <w:p>
            <w:pPr>
              <w:pStyle w:val="null3"/>
              <w:ind w:firstLine="640"/>
            </w:pPr>
            <w:r>
              <w:rPr>
                <w:rFonts w:ascii="仿宋_GB2312" w:hAnsi="仿宋_GB2312" w:cs="仿宋_GB2312" w:eastAsia="仿宋_GB2312"/>
                <w:sz w:val="21"/>
              </w:rPr>
              <w:t>（1）除治作业监督</w:t>
            </w:r>
          </w:p>
          <w:p>
            <w:pPr>
              <w:pStyle w:val="null3"/>
              <w:ind w:firstLine="640"/>
            </w:pPr>
            <w:r>
              <w:rPr>
                <w:rFonts w:ascii="仿宋_GB2312" w:hAnsi="仿宋_GB2312" w:cs="仿宋_GB2312" w:eastAsia="仿宋_GB2312"/>
                <w:sz w:val="21"/>
              </w:rPr>
              <w:t>作业质量检查等日常管理工作由供应商单位负责，第三方监理员、林场管护站人员在现地监督检查本规程的执行情况并指导除治作业。林场管护站人员或监理员对发现违规作业行为，有权作出限期补救提示、限期整改并处以罚款警告和暂停采伐除治作业处理。如出现暂停除治作业，在继续作业之前应进行进一步的实地检查，以证实所有工作都按照要求的标准完成。</w:t>
            </w:r>
          </w:p>
          <w:p>
            <w:pPr>
              <w:pStyle w:val="null3"/>
              <w:ind w:firstLine="640"/>
            </w:pPr>
            <w:r>
              <w:rPr>
                <w:rFonts w:ascii="仿宋_GB2312" w:hAnsi="仿宋_GB2312" w:cs="仿宋_GB2312" w:eastAsia="仿宋_GB2312"/>
                <w:sz w:val="21"/>
              </w:rPr>
              <w:t>（2）除治检查验收</w:t>
            </w:r>
          </w:p>
          <w:p>
            <w:pPr>
              <w:pStyle w:val="null3"/>
              <w:ind w:firstLine="640"/>
            </w:pPr>
            <w:r>
              <w:rPr>
                <w:rFonts w:ascii="仿宋_GB2312" w:hAnsi="仿宋_GB2312" w:cs="仿宋_GB2312" w:eastAsia="仿宋_GB2312"/>
                <w:sz w:val="21"/>
              </w:rPr>
              <w:t>除治作业的检查验收应在除治作业结束后15日内进行检查验收。</w:t>
            </w:r>
          </w:p>
          <w:p>
            <w:pPr>
              <w:pStyle w:val="null3"/>
              <w:ind w:firstLine="640"/>
            </w:pPr>
            <w:r>
              <w:rPr>
                <w:rFonts w:ascii="仿宋_GB2312" w:hAnsi="仿宋_GB2312" w:cs="仿宋_GB2312" w:eastAsia="仿宋_GB2312"/>
                <w:sz w:val="21"/>
              </w:rPr>
              <w:t>（3）检查程序</w:t>
            </w:r>
          </w:p>
          <w:p>
            <w:pPr>
              <w:pStyle w:val="null3"/>
              <w:ind w:firstLine="640"/>
            </w:pPr>
            <w:r>
              <w:rPr>
                <w:rFonts w:ascii="仿宋_GB2312" w:hAnsi="仿宋_GB2312" w:cs="仿宋_GB2312" w:eastAsia="仿宋_GB2312"/>
                <w:sz w:val="21"/>
              </w:rPr>
              <w:t>a)施工单位应在完成除治作业后，施工单位完成自检情况下，向林场申请，林场组织人员到现地进行检查验收；</w:t>
            </w:r>
          </w:p>
          <w:p>
            <w:pPr>
              <w:pStyle w:val="null3"/>
              <w:ind w:firstLine="640"/>
            </w:pPr>
            <w:r>
              <w:rPr>
                <w:rFonts w:ascii="仿宋_GB2312" w:hAnsi="仿宋_GB2312" w:cs="仿宋_GB2312" w:eastAsia="仿宋_GB2312"/>
                <w:sz w:val="21"/>
              </w:rPr>
              <w:t>b)检查验收按作业设计小班进行实地核实；</w:t>
            </w:r>
          </w:p>
          <w:p>
            <w:pPr>
              <w:pStyle w:val="null3"/>
              <w:ind w:firstLine="640"/>
            </w:pPr>
            <w:r>
              <w:rPr>
                <w:rFonts w:ascii="仿宋_GB2312" w:hAnsi="仿宋_GB2312" w:cs="仿宋_GB2312" w:eastAsia="仿宋_GB2312"/>
                <w:sz w:val="21"/>
              </w:rPr>
              <w:t>c)检查验收小组在除治作业区检查时应有施工单位代表参与。</w:t>
            </w:r>
          </w:p>
          <w:p>
            <w:pPr>
              <w:pStyle w:val="null3"/>
              <w:ind w:firstLine="640"/>
            </w:pPr>
            <w:r>
              <w:rPr>
                <w:rFonts w:ascii="仿宋_GB2312" w:hAnsi="仿宋_GB2312" w:cs="仿宋_GB2312" w:eastAsia="仿宋_GB2312"/>
                <w:sz w:val="21"/>
              </w:rPr>
              <w:t>b)检查验收发现的所有没有按照本设计或未达到作业标准的，都应向除治单位代表说明；</w:t>
            </w:r>
          </w:p>
          <w:p>
            <w:pPr>
              <w:pStyle w:val="null3"/>
              <w:ind w:firstLine="640"/>
            </w:pPr>
            <w:r>
              <w:rPr>
                <w:rFonts w:ascii="仿宋_GB2312" w:hAnsi="仿宋_GB2312" w:cs="仿宋_GB2312" w:eastAsia="仿宋_GB2312"/>
                <w:sz w:val="21"/>
              </w:rPr>
              <w:t>c)检查结束后，应由施工单位法人签署检查单。</w:t>
            </w:r>
          </w:p>
          <w:p>
            <w:pPr>
              <w:pStyle w:val="null3"/>
              <w:ind w:firstLine="640"/>
            </w:pPr>
            <w:r>
              <w:rPr>
                <w:rFonts w:ascii="仿宋_GB2312" w:hAnsi="仿宋_GB2312" w:cs="仿宋_GB2312" w:eastAsia="仿宋_GB2312"/>
                <w:sz w:val="21"/>
              </w:rPr>
              <w:t>（4）检查对象和要求</w:t>
            </w:r>
          </w:p>
          <w:p>
            <w:pPr>
              <w:pStyle w:val="null3"/>
              <w:ind w:firstLine="640"/>
            </w:pPr>
            <w:r>
              <w:rPr>
                <w:rFonts w:ascii="仿宋_GB2312" w:hAnsi="仿宋_GB2312" w:cs="仿宋_GB2312" w:eastAsia="仿宋_GB2312"/>
                <w:sz w:val="21"/>
              </w:rPr>
              <w:t>检查清理除治区枯死树的清除率，并将各项除害措施的效果汇总。要求枯死松树的清除率达100%；枯死松树及其直径1cm以上的枝条除害处理合格率达100%；伐桩除害处理合格率达100%。如果不合格，需要重新处理，若发现伐桩非当年伐桩，发现后扣除相应伐桩数量。</w:t>
            </w:r>
          </w:p>
          <w:p>
            <w:pPr>
              <w:pStyle w:val="null3"/>
              <w:ind w:firstLine="643"/>
            </w:pPr>
            <w:r>
              <w:rPr>
                <w:rFonts w:ascii="仿宋_GB2312" w:hAnsi="仿宋_GB2312" w:cs="仿宋_GB2312" w:eastAsia="仿宋_GB2312"/>
                <w:sz w:val="21"/>
              </w:rPr>
              <w:t>3、施工要求</w:t>
            </w:r>
          </w:p>
          <w:p>
            <w:pPr>
              <w:pStyle w:val="null3"/>
              <w:ind w:firstLine="640"/>
            </w:pPr>
            <w:r>
              <w:rPr>
                <w:rFonts w:ascii="仿宋_GB2312" w:hAnsi="仿宋_GB2312" w:cs="仿宋_GB2312" w:eastAsia="仿宋_GB2312"/>
                <w:sz w:val="21"/>
              </w:rPr>
              <w:t>3.1 区域内的病死、濒死、风折、火烧等各种原因致死的松树(含各种原因造成的疫木剩余物和遗留物)全部进行伐除销毁，伐除的松树及直径超过1cm的枝垭在山场就地无害化处理。</w:t>
            </w:r>
          </w:p>
          <w:p>
            <w:pPr>
              <w:pStyle w:val="null3"/>
              <w:ind w:firstLine="640"/>
            </w:pPr>
            <w:r>
              <w:rPr>
                <w:rFonts w:ascii="仿宋_GB2312" w:hAnsi="仿宋_GB2312" w:cs="仿宋_GB2312" w:eastAsia="仿宋_GB2312"/>
                <w:sz w:val="21"/>
              </w:rPr>
              <w:t>3.2 清理过程中，地径小于10cm需要全部清理，但不计入任务总数。对伐桩进行药物处理、覆膜，烧毁清理枯死木及枝丫(碳化)，做到合同所列区域内无枯死松树，除治疫木无流失，并通过各级检查验收合格。</w:t>
            </w:r>
          </w:p>
          <w:p>
            <w:pPr>
              <w:pStyle w:val="null3"/>
              <w:ind w:firstLine="640"/>
            </w:pPr>
            <w:r>
              <w:rPr>
                <w:rFonts w:ascii="仿宋_GB2312" w:hAnsi="仿宋_GB2312" w:cs="仿宋_GB2312" w:eastAsia="仿宋_GB2312"/>
                <w:sz w:val="21"/>
              </w:rPr>
              <w:t>3.3 伐桩高度不得超过5cm，并在伐桩上切割凹槽放置磷化铝片1-2粒，用0.10毫米以上厚度的塑料薄膜覆盖，绑紧后用土将塑料薄膜四周压实，保持密闭，按要求标注伐桩编号并放置标识，标识的内容、样式送甲方审核同意后方可使用。</w:t>
            </w:r>
          </w:p>
          <w:p>
            <w:pPr>
              <w:pStyle w:val="null3"/>
              <w:ind w:firstLine="640"/>
            </w:pPr>
            <w:r>
              <w:rPr>
                <w:rFonts w:ascii="仿宋_GB2312" w:hAnsi="仿宋_GB2312" w:cs="仿宋_GB2312" w:eastAsia="仿宋_GB2312"/>
                <w:sz w:val="21"/>
              </w:rPr>
              <w:t>3.4 施工单位应充分考虑施工作业过程中的安全因素，按照安全生产的有关要求规范作业，施工期间发生的一切安全事故和第三方纠纷均由施工单位自行承担，(含施工人员人身安全、森林防火安全责任，施工单位需给施工人员购买保险)。如不按要求施工对环境造成严重影响或后果的全部由施工单位自行承担相关责任。</w:t>
            </w:r>
          </w:p>
          <w:p>
            <w:pPr>
              <w:pStyle w:val="null3"/>
              <w:ind w:firstLine="640"/>
            </w:pPr>
            <w:r>
              <w:rPr>
                <w:rFonts w:ascii="仿宋_GB2312" w:hAnsi="仿宋_GB2312" w:cs="仿宋_GB2312" w:eastAsia="仿宋_GB2312"/>
                <w:sz w:val="21"/>
              </w:rPr>
              <w:t>3.5 伐除的病枯木及枝桠无害化处置。对伐除的病枯木及枝桠、树皮，根据实际情况还可采用以下方式处理，且处置完成后及时清理现场，确保无残留。</w:t>
            </w:r>
          </w:p>
          <w:p>
            <w:pPr>
              <w:pStyle w:val="null3"/>
              <w:ind w:firstLine="640"/>
            </w:pPr>
            <w:r>
              <w:rPr>
                <w:rFonts w:ascii="仿宋_GB2312" w:hAnsi="仿宋_GB2312" w:cs="仿宋_GB2312" w:eastAsia="仿宋_GB2312"/>
                <w:sz w:val="21"/>
              </w:rPr>
              <w:t>a.钢丝网罩处理</w:t>
            </w:r>
          </w:p>
          <w:p>
            <w:pPr>
              <w:pStyle w:val="null3"/>
              <w:ind w:firstLine="640"/>
            </w:pPr>
            <w:r>
              <w:rPr>
                <w:rFonts w:ascii="仿宋_GB2312" w:hAnsi="仿宋_GB2312" w:cs="仿宋_GB2312" w:eastAsia="仿宋_GB2312"/>
                <w:sz w:val="21"/>
              </w:rPr>
              <w:t>适用范围:山高坡陡、地处偏远、交通不便、林下可燃物较多等不具备用火条件，或者持续干旱、3级风以上等不利气象条件不具备用火条件的疫情除治区域。</w:t>
            </w:r>
          </w:p>
          <w:p>
            <w:pPr>
              <w:pStyle w:val="null3"/>
              <w:ind w:firstLine="640"/>
            </w:pPr>
            <w:r>
              <w:rPr>
                <w:rFonts w:ascii="仿宋_GB2312" w:hAnsi="仿宋_GB2312" w:cs="仿宋_GB2312" w:eastAsia="仿宋_GB2312"/>
                <w:sz w:val="21"/>
              </w:rPr>
              <w:t>作业要求:采伐清理的疫木及直径超过1厘米的枝丫集中对方放置除治药物并用塑料薄膜覆盖包裹后，使用钢丝直径≥0.17毫米，网目数≥16目的锻压钢丝网罩严密包裹，并进行严密锁边，不定期安排人员进行上山巡查。</w:t>
            </w:r>
          </w:p>
          <w:p>
            <w:pPr>
              <w:pStyle w:val="null3"/>
              <w:ind w:firstLine="640"/>
            </w:pPr>
            <w:r>
              <w:rPr>
                <w:rFonts w:ascii="仿宋_GB2312" w:hAnsi="仿宋_GB2312" w:cs="仿宋_GB2312" w:eastAsia="仿宋_GB2312"/>
                <w:sz w:val="21"/>
              </w:rPr>
              <w:t>b.烧毁处理</w:t>
            </w:r>
          </w:p>
          <w:p>
            <w:pPr>
              <w:pStyle w:val="null3"/>
              <w:ind w:firstLine="640"/>
            </w:pPr>
            <w:r>
              <w:rPr>
                <w:rFonts w:ascii="仿宋_GB2312" w:hAnsi="仿宋_GB2312" w:cs="仿宋_GB2312" w:eastAsia="仿宋_GB2312"/>
                <w:sz w:val="21"/>
              </w:rPr>
              <w:t>适用范围:适用于所有区域。</w:t>
            </w:r>
          </w:p>
          <w:p>
            <w:pPr>
              <w:pStyle w:val="null3"/>
              <w:ind w:firstLine="640"/>
            </w:pPr>
            <w:r>
              <w:rPr>
                <w:rFonts w:ascii="仿宋_GB2312" w:hAnsi="仿宋_GB2312" w:cs="仿宋_GB2312" w:eastAsia="仿宋_GB2312"/>
                <w:sz w:val="21"/>
              </w:rPr>
              <w:t>作业要求:就地烧毁采伐清理的疫木及直径超过1厘米的枝丫，焚烧现场要实行全过程旁站式监管，确保用火安全。在防火期内和可能存在火灾隐患的区域，要在严格遵守当地森林防火有关要求的前提下，采取烧毁处理。</w:t>
            </w:r>
          </w:p>
          <w:p>
            <w:pPr>
              <w:pStyle w:val="null3"/>
              <w:ind w:firstLine="640"/>
            </w:pPr>
            <w:r>
              <w:rPr>
                <w:rFonts w:ascii="仿宋_GB2312" w:hAnsi="仿宋_GB2312" w:cs="仿宋_GB2312" w:eastAsia="仿宋_GB2312"/>
                <w:sz w:val="21"/>
              </w:rPr>
              <w:t>3.6 作业监管：施工单位自觉接受林场和委托的监理方对疫木清理工作的全程监督，每天伐除的死亡松树，必须如实填写登记。施工单位、监理单位安排专人现场监督伐除及处置全过程，做好作业记录，重点核查伐除数量、伐桩高度、处置方式是否符合要求，对不符合规范的作业立即叫停、限期整改，确保处置到位。</w:t>
            </w:r>
          </w:p>
          <w:p>
            <w:pPr>
              <w:pStyle w:val="null3"/>
              <w:ind w:firstLine="640"/>
            </w:pPr>
            <w:r>
              <w:rPr>
                <w:rFonts w:ascii="仿宋_GB2312" w:hAnsi="仿宋_GB2312" w:cs="仿宋_GB2312" w:eastAsia="仿宋_GB2312"/>
                <w:sz w:val="21"/>
              </w:rPr>
              <w:t>3.7 信息收集：建立疫木除治台账，规范施工单位除治跟班日志，收集整理疫木伐除、现场清理、伐桩处理的图片和影像资料(使用手机的“今日水印相机APP”拍照，要在照片上显示时间、地点、天气、经纬度（含所有除治树木经纬度列表）、施工单位、施工区域、监理单位等信息，照片内容：每株林木伐除前、伐除中、伐除后、树桩处理)。施工单位对伐桩统一编号、定位、拍照。标识的内容、样式送甲方审核同意后方可使用，标识应颜色醒目，标记信息清晰，标识包含但不限于以下内容:树木编号、项目名称、防治公司、施工年度。</w:t>
            </w:r>
          </w:p>
          <w:p>
            <w:pPr>
              <w:pStyle w:val="null3"/>
              <w:ind w:firstLine="640"/>
            </w:pPr>
            <w:r>
              <w:rPr>
                <w:rFonts w:ascii="仿宋_GB2312" w:hAnsi="仿宋_GB2312" w:cs="仿宋_GB2312" w:eastAsia="仿宋_GB2312"/>
                <w:sz w:val="21"/>
              </w:rPr>
              <w:t>3.8 宣传牌建设：公示宣传牌应建在交通便利，人员流动大区域，宣传牌内容包括：作业区名称、作业地点、作业面积、作业内容、项目负责人、建设施工单位、监理单位、施工监理人员、作业完成时间等。宣传牌采用圆钢管（钢管φ＞65mm，壁厚＞2mm）焊接支架，上用钢板喷漆喷字。规格为400（长）×250（宽）cm，或根据实际情况确定宣传牌的规格、结构。</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汉中市褒河林场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汉中市褒河林场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采购包的全部内容，符合采购人要求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达到“三彻底一规范”的目标要求，即疫木除治彻底、山场清理彻底、伐倒疫木销毁彻底、伐桩处理规范。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项目完工初步验收后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项目审计后据审计结果</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项目完工初步验收后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项目审计后据审计结果</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按照采购文件和合同等相关文件约定执行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按照采购文件和合同等相关文件约定执行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方便采购人备案留存工作，成交供应商需在成交结果公示结束后5个工作日内向采购代理机构提交签章齐全的纸质版（1正2副）及电子版U盘2份（电子版包含word版响应文件，签章后的pdf响应文件），纸质版响应文件必须采用A4纸打印，分别各自装订成册，成交供应商应保持响应文件纸质版内容、电子版内容与系统上传内容完全一致，否则将承担一切法律责任。（2）保证金若以金融机构、担保机构出具的保函形式则须在开标前1个工作日告知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本采购包专门面向中小企业采购</w:t>
            </w:r>
          </w:p>
        </w:tc>
        <w:tc>
          <w:tcPr>
            <w:tcW w:type="dxa" w:w="3322"/>
          </w:tcPr>
          <w:p>
            <w:pPr>
              <w:pStyle w:val="null3"/>
            </w:pPr>
            <w:r>
              <w:rPr>
                <w:rFonts w:ascii="仿宋_GB2312" w:hAnsi="仿宋_GB2312" w:cs="仿宋_GB2312" w:eastAsia="仿宋_GB2312"/>
              </w:rPr>
              <w:t>本合同包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合同包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供应商须具备陕西省林学会颁发的林业有害生物防治(调查设计)丙级或以上资质证书；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非联合体和不分包声明</w:t>
            </w:r>
          </w:p>
        </w:tc>
        <w:tc>
          <w:tcPr>
            <w:tcW w:type="dxa" w:w="3322"/>
          </w:tcPr>
          <w:p>
            <w:pPr>
              <w:pStyle w:val="null3"/>
            </w:pPr>
            <w:r>
              <w:rPr>
                <w:rFonts w:ascii="仿宋_GB2312" w:hAnsi="仿宋_GB2312" w:cs="仿宋_GB2312" w:eastAsia="仿宋_GB2312"/>
              </w:rPr>
              <w:t>本采购项目不接受联合体响应，不允许分包，供应商应提供《非联合体和不分包声明》，视为独立响应和不分包。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合同包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供应商须具备陕西省林学会颁发的林业有害生物防治(应急防治专业队)丙级或以上资质证书；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非联合体和不分包声明</w:t>
            </w:r>
          </w:p>
        </w:tc>
        <w:tc>
          <w:tcPr>
            <w:tcW w:type="dxa" w:w="3322"/>
          </w:tcPr>
          <w:p>
            <w:pPr>
              <w:pStyle w:val="null3"/>
            </w:pPr>
            <w:r>
              <w:rPr>
                <w:rFonts w:ascii="仿宋_GB2312" w:hAnsi="仿宋_GB2312" w:cs="仿宋_GB2312" w:eastAsia="仿宋_GB2312"/>
              </w:rPr>
              <w:t>本采购项目不接受联合体响应，不允许分包，供应商应提供《非联合体和不分包声明》，视为独立响应和不分包。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合同包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只能有一个有效报价，不得提交选择性报价，且报价没有超出采购预算或磋商文件规定的最高限价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合同签订之日起至2026年12月31日全部完成</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响应文件上法定代表人或其委托代理人的签字或盖章齐全，并加盖供应商电子公章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只能有一个有效报价，不得提交选择性报价，且报价没有超出采购预算或磋商文件规定的最高限价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合同签订之日起至2026年12月31日全部完成</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响应文件上法定代表人或其委托代理人的签字或盖章齐全，并加盖供应商电子公章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一、评审内容：针对本项目编制完善的实施方案，内容包含但不限于：①项目目标及认知；②总体作业服务方案；③具体作业思路、方法及流程；④阶段分解方案；⑤建立精准台账。 二、评审标准： 1.完整性：方案须全面，对评审内容中的各项要求有详细描述； 2.可实施性：切合本项目实际情况，提出步骤清晰、合理的方案； 3.针对性：方案能够紧扣项目实际情况，内容科学合理。 三、赋分标准（满分15分）： ①项目目标及认知：每满足一个评审标准得1分，满分3分； ②总体作业服务方案：每满足一个评审标准得1分，满分3分； ③具体作业思路、方法及流程：每满足一个评审标准得1分，满分3分； ④阶段分解方案：每满足一个评审标准得1分，满分3分； ⑤建立精准台账：每满足一个评审标准得1分，满分3分；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一、评审内容：针对本项目提出适用于本项目的质量保证方案，包括但不限于：①质量保证体系；②质量保证的具体措施。 二、评审标准： 1.完整性：方案须全面，对评审内容中的各项要求有详细描述； 2.可实施性：切合本项目实际情况，提出步骤清晰、合理的方案； 3.针对性：方案能够紧扣项目实际情况，内容科学合理。 三、赋分标准（满分6分）： ①质量保证体系：每满足一个评审标准得1分，满分3分； ②质量保证的具体措施：每满足一个评审标准得1分，满分3分；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一、评审内容：针对本项目提出适用于本项目的环境保护管理体系与措施，包括但不限于：①环境保护及保证措施；②文明施工措施； 二、评审标准： 1.完整性：方案须全面，对评审内容中的各项要求有详细描述； 2.可实施性：切合本项目实际情况，提出步骤清晰、合理的方案； 3.针对性：方案能够紧扣项目实际情况，内容科学合理。 三、赋分标准（满分6分）： ①环境保护及保证措施：每满足一个评审标准得1分，满分3分； ②文明施工措施：每满足一个评审标准得1分，满分3分；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一、评审内容：针对本项目编制完整的安全施工措施，内容包含但不限于： ①安全生产管理制度； ②安全施工措施； ③安全生产教育； 二、评审标准： 1.完整性：方案须全面，对评审内容中的各项要求有详细描述； 2.可实施性：切合本项目实际情况，提出步骤清晰、合理的方案； 3.针对性：方案能够紧扣项目实际情况，内容科学合理。 三、赋分标准（满分9分）： ①安全生产管理制度：每满足一个评审标准得1分，满分3分； ②安全施工措施：每满足一个评审标准得1分,满分3分； ③安全生产教育：每满足一个评审标准得1分，满分3分；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野外作业应急管理方案</w:t>
            </w:r>
          </w:p>
        </w:tc>
        <w:tc>
          <w:tcPr>
            <w:tcW w:type="dxa" w:w="2492"/>
          </w:tcPr>
          <w:p>
            <w:pPr>
              <w:pStyle w:val="null3"/>
            </w:pPr>
            <w:r>
              <w:rPr>
                <w:rFonts w:ascii="仿宋_GB2312" w:hAnsi="仿宋_GB2312" w:cs="仿宋_GB2312" w:eastAsia="仿宋_GB2312"/>
              </w:rPr>
              <w:t>一、评审内容：针对本项目提出适用于本项目的野外作业安全措施及应急管理方案，包括但不限于:①应急保障体系；②野外作业突发情况应对措施；③备用资源配置及应急响应流程。 二、评审标准： 1.完整性：方案须全面，对评审内容中的各项要求有详细描述； 2.可实施性：切合本项目实际情况，提出步骤清晰、合理的方案； 3.针对性：方案能够紧扣项目实际情况，内容科学合理。 三、赋分标准（满分9分）： ①应急保障体系：每满足一个评审标准得1分，满分3分； ②野外作业突发情况应对措施：每满足一个评审标准得1分，满分3分； ③备用资源配置及应急响应流程：每满足一个评审标准得1分，满分3分。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一、评审内容：根据项目实际情况及供应商自身特点，内容包括但不限于：①提供有关在本项目服务方面的优势；②针对本项目的实施合理化建议。 二、评审标准： 1.完整性：方案须全面，对评审内容中的各项要求有详细描述； 2.可实施性：切合本项目实际情况，提出步骤清晰、合理的方案； 3.针对性：方案能够紧扣项目实际情况，内容科学合理。 三、赋分标准（满分6分）： ①提供有关在本项目服务方面的优势：每满足一项评审标准得1分，满分3分。 ②针对本项目的实施合理化建议：每满足一项评审标准得1分，满分3分。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一、评审内容：针对本项目编制完善的施工进度计划，内容包含但不限于：①进度计划横道图；②进度计划保证措施 ；③工期保证措施。 二、评审标准： 1.完整性：方案须全面，对评审内容中的各项要求有详细描述； 2.可实施性：切合本项目实际情况，提出步骤清晰、合理的方案； 3.针对性：方案能够紧扣项目实际情况，内容科学合理。 三、赋分标准（满分9分）： ①施工进度计划横道图：每满足一个评审标准得1分，满分3分； ②进度计划保证措施 ：每满足一个评审标准得1分，满分3分； ③工期保证措施 ：每满足一个评审标准得1分，满分3分；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工器具配置</w:t>
            </w:r>
          </w:p>
        </w:tc>
        <w:tc>
          <w:tcPr>
            <w:tcW w:type="dxa" w:w="2492"/>
          </w:tcPr>
          <w:p>
            <w:pPr>
              <w:pStyle w:val="null3"/>
            </w:pPr>
            <w:r>
              <w:rPr>
                <w:rFonts w:ascii="仿宋_GB2312" w:hAnsi="仿宋_GB2312" w:cs="仿宋_GB2312" w:eastAsia="仿宋_GB2312"/>
              </w:rPr>
              <w:t>一、评审内容：针对本项目投入的工器具配置方案，内容包括但不限于：①工器具配置清单及供应保障措施；②工器具维护方案。 二、评审标准： 1.完整性：方案须全面，对评审内容中的各项要求有详细描述； 2.可实施性：切合本项目实际情况，提出步骤清晰、合理的方案； 3.针对性：方案能够紧扣项目实际情况，内容科学合理。 三、赋分标准（满分6分）： ①工器具配置清单及供应保障措施：每满足一个评审标准得1分，满分3分； ②工器具维护方案：每满足一个评审标准得1分，满分3分；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后期服务方案及承诺</w:t>
            </w:r>
          </w:p>
        </w:tc>
        <w:tc>
          <w:tcPr>
            <w:tcW w:type="dxa" w:w="2492"/>
          </w:tcPr>
          <w:p>
            <w:pPr>
              <w:pStyle w:val="null3"/>
            </w:pPr>
            <w:r>
              <w:rPr>
                <w:rFonts w:ascii="仿宋_GB2312" w:hAnsi="仿宋_GB2312" w:cs="仿宋_GB2312" w:eastAsia="仿宋_GB2312"/>
              </w:rPr>
              <w:t>一、评审内容：针对本项目提出适用于本项目的后期服务方案及承诺，包括但不限于：①服务网点固定场所（服务人员名单、职责和联系方式）；②后期服务方案及承诺。 二、评审标准： 1.完整性：方案须全面，对评审内容中的各项要求有详细描述； 2.可实施性：切合本项目实际情况，提出步骤清晰、合理的方案； 3.针对性：方案能够紧扣项目实际情况，内容科学合理。 三、赋分标准（满分6分）： ①服务网点固定场所（服务人员名单、职责和联系方式）：每满足一个评审标准得1分，满分3分； ②后期服务方案及承诺：每满足一个评审标准得1分，满分3分；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一、评审内容：项目负责人、项目组成员搭配合理。 二、评审标准：项目负责人：需提供相关专业中级及以上职称证书 ；项目组成员：需提供相关专业初级及以上职称证书，人员分工覆盖技术指导、安全管理、现场作业等。 三、赋分标准： ①项目负责人符合要求得2分，否则0分； ②项目组成员每1名符合要求得0.5分，最高2分。 注：未提供证明材料不得分。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一、评审内容：提供2023年1月1日至今的类似项目业绩。 二、评审标准：业绩的有效时间以合同签订时间为准，以中标（成交）通知书或协议书（合同）加盖公章的复印件为准； 三. 赋分标准：提供1份业绩得4分，满分4分，未提供证明材料不得分。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3.不享有政策优惠条件的投标人报价得分=（评审基准价/最后磋商报价）×20%。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编制完善的实施方案，内容包含但不限于：①项目目标及认知；②总体实施方案；③具体作业方法（疫木伐除、伐桩控制、疫木销毁、林地清理等）；④安全规范作业（用火安全、伐木安全、用工安全等）；⑤建立除治台账及工作图片和影像资料的档案管理。 二、评审标准： 1.完整性：方案须全面，对评审内容中的各项要求有详细描述； 2.可实施性：切合本项目实际情况，提出步骤清晰、合理的方案； 3.针对性：方案能够紧扣项目实际情况，内容科学合理。 三、赋分标准（满分15分）： ①项目目标及认知：每满足一个评审标准得1分，满分3分； ②总体实施方案：每满足一个评审标准得1分，满分3分； ③具体作业方法（疫木伐除、伐桩控制、疫木销毁、林地清理等）：每满足一个评审标准得1分，满分3分； ④安全规范作业（用火安全、伐木安全、用工安全等）：每满足一个评审标准得1分，满分3分； ⑤建立除治台账及工作图片和影像资料的的档案管理：技术准备、材料准备、机械准备、机具准备、劳动力准备等：每满足一个评审标准得1分，满分3分；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一、评审内容：针对本项目提出适用于本项目的质量保证方案，包括但不限于：①质量保证体系；②质量保证的具体措施。 二、评审标准： 1.完整性：方案须全面，对评审内容中的各项要求有详细描述； 2.可实施性：切合本项目实际情况，提出步骤清晰、合理的方案； 3.针对性：方案能够紧扣项目实际情况，内容科学合理。 三、赋分标准（满分6分）： ①质量保证体系：每满足一个评审标准得1分，满分3分； ②质量保证的具体措施：每满足一个评审标准得1分，满分3分；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一、评审内容：针对本项目提出适用于本项目的环境保护管理体系与措施，包括但不限于：①环境保护及保证措施；②文明施工措施； 二、评审标准： 1.完整性：方案须全面，对评审内容中的各项要求有详细描述； 2.可实施性：切合本项目实际情况，提出步骤清晰、合理的方案； 3.针对性：方案能够紧扣项目实际情况，内容科学合理。 三、赋分标准（满分6分）： ①环境保护及保证措施：每满足一个评审标准得1分，满分3分； ②文明施工措施：每满足一个评审标准得1分，满分3分；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一、评审内容：针对本项目编制完整的安全施工措施，内容包含但不限于： ①安全生产管理制度； ②安全施工措施； ③安全生产教育； 二、评审标准： 1.完整性：方案须全面，对评审内容中的各项要求有详细描述； 2.可实施性：切合本项目实际情况，提出步骤清晰、合理的方案； 3.针对性：方案能够紧扣项目实际情况，内容科学合理。 三、赋分标准（满分9分）： ①安全生产管理制度：每满足一个评审标准得1分，满分3分； ②安全施工措施：每满足一个评审标准得1分,满分3分； ③安全生产教育：每满足一个评审标准得1分，满分3分；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野外作业应急管理方案</w:t>
            </w:r>
          </w:p>
        </w:tc>
        <w:tc>
          <w:tcPr>
            <w:tcW w:type="dxa" w:w="2492"/>
          </w:tcPr>
          <w:p>
            <w:pPr>
              <w:pStyle w:val="null3"/>
            </w:pPr>
            <w:r>
              <w:rPr>
                <w:rFonts w:ascii="仿宋_GB2312" w:hAnsi="仿宋_GB2312" w:cs="仿宋_GB2312" w:eastAsia="仿宋_GB2312"/>
              </w:rPr>
              <w:t>一、评审内容：针对本项目提出适用于本项目的野外作业安全措施及应急管理方案，包括但不限于:①应急保障体系；②野外作业突发情况应对措施；③备用资源配置及应急响应流程。 二、评审标准： 1.完整性：方案须全面，对评审内容中的各项要求有详细描述； 2.可实施性：切合本项目实际情况，提出步骤清晰、合理的方案； 3.针对性：方案能够紧扣项目实际情况，内容科学合理。 三、赋分标准（满分9分）： ①应急保障体系：每满足一个评审标准得1分，满分3分； ②野外作业突发情况应对措施：每满足一个评审标准得1分，满分3分； ③备用资源配置及应急响应流程：每满足一个评审标准得1分，满分3分。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一、评审内容：根据项目实际情况及供应商自身特点，内容包括但不限于：①提供有关在本项目服务方面的优势；②针对本项目的实施合理化建议。 二、评审标准： 1.完整性：方案须全面，对评审内容中的各项要求有详细描述； 2.可实施性：切合本项目实际情况，提出步骤清晰、合理的方案； 3.针对性：方案能够紧扣项目实际情况，内容科学合理。 三、赋分标准（满分6分）： ①提供有关在本项目服务方面的优势：每满足一项评审标准得1分，满分3分。 ②针对本项目的实施合理化建议：每满足一项评审标准得1分，满分3分。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一、评审内容：针对本项目编制完善的施工进度计划，内容包含但不限于：①进度计划横道图；②进度计划保证措施 ；③工期保证措施。 二、评审标准： 1.完整性：方案须全面，对评审内容中的各项要求有详细描述； 2.可实施性：切合本项目实际情况，提出步骤清晰、合理的方案； 3.针对性：方案能够紧扣项目实际情况，内容科学合理。 三、赋分标准（满分9分）： ①施工进度计划横道图：每满足一个评审标准得1分，满分3分； ②进度计划保证措施 ：每满足一个评审标准得1分，满分3分； ③工期保证措施 ：每满足一个评审标准得1分，满分3分；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工器具配置</w:t>
            </w:r>
          </w:p>
        </w:tc>
        <w:tc>
          <w:tcPr>
            <w:tcW w:type="dxa" w:w="2492"/>
          </w:tcPr>
          <w:p>
            <w:pPr>
              <w:pStyle w:val="null3"/>
            </w:pPr>
            <w:r>
              <w:rPr>
                <w:rFonts w:ascii="仿宋_GB2312" w:hAnsi="仿宋_GB2312" w:cs="仿宋_GB2312" w:eastAsia="仿宋_GB2312"/>
              </w:rPr>
              <w:t>一、评审内容：针对本项目投入的工器具配置方案，内容包括但不限于：①工器具配置清单及供应保障措施；②工器具维护方案。 二、评审标准： 1.完整性：方案须全面，对评审内容中的各项要求有详细描述； 2.可实施性：切合本项目实际情况，提出步骤清晰、合理的方案； 3.针对性：方案能够紧扣项目实际情况，内容科学合理。 三、赋分标准（满分6分）： ①工器具配置清单及供应保障措施：每满足一个评审标准得1分，满分3分； ②工器具维护方案：每满足一个评审标准得1分，满分3分；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后期服务方案及承诺</w:t>
            </w:r>
          </w:p>
        </w:tc>
        <w:tc>
          <w:tcPr>
            <w:tcW w:type="dxa" w:w="2492"/>
          </w:tcPr>
          <w:p>
            <w:pPr>
              <w:pStyle w:val="null3"/>
            </w:pPr>
            <w:r>
              <w:rPr>
                <w:rFonts w:ascii="仿宋_GB2312" w:hAnsi="仿宋_GB2312" w:cs="仿宋_GB2312" w:eastAsia="仿宋_GB2312"/>
              </w:rPr>
              <w:t>一、评审内容：针对本项目提出适用于本项目的后期服务方案及承诺，包括但不限于：①服务网点固定场所（服务人员名单、职责和联系方式）；②后期服务方案及承诺。 二、评审标准： 1.完整性：方案须全面，对评审内容中的各项要求有详细描述； 2.可实施性：切合本项目实际情况，提出步骤清晰、合理的方案； 3.针对性：方案能够紧扣项目实际情况，内容科学合理。 三、赋分标准（满分6分）： ①服务网点固定场所（服务人员名单、职责和联系方式）：每满足一个评审标准得1分，满分3分； ②后期服务方案及承诺：每满足一个评审标准得1分，满分3分；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一、评审内容：项目负责人、项目组成员搭配合理。 二、评审标准：项目负责人：需提供相关专业中级及以上职称证书 ；项目组成员：需提供相关专业初级及以上职称证书，人员分工覆盖技术指导、安全管理、现场作业等。 三、赋分标准： ①项目负责人符合要求得2分，否则0分； ②项目组成员每1名符合要求得0.5分，最高2分。 注：未提供证明材料不得分。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一、评审内容：提供2023年1月1日至今的类似项目业绩。 二、评审标准：业绩的有效时间以合同签订时间为准，以中标（成交）通知书或协议书（合同）加盖公章的复印件为准； 三. 赋分标准：提供1份业绩得4分，满分4分，未提供证明材料不得分。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3.不享有政策优惠条件的投标人报价得分=（评审基准价/最后磋商报价）×20%。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