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版本号：XNW-202602820260612001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西乡县午子山及毗邻松林区域2026年森林病虫害无人机喷药防治项目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XNW-2026028</w:t>
      </w:r>
      <w:r>
        <w:br/>
      </w:r>
      <w:r>
        <w:br/>
      </w:r>
      <w:r>
        <w:br/>
      </w:r>
    </w:p>
    <w:p>
      <w:pPr>
        <w:pStyle w:val="null3"/>
        <w:jc w:val="center"/>
        <w:outlineLvl w:val="2"/>
      </w:pPr>
      <w:r>
        <w:rPr>
          <w:rFonts w:ascii="仿宋_GB2312" w:hAnsi="仿宋_GB2312" w:cs="仿宋_GB2312" w:eastAsia="仿宋_GB2312"/>
          <w:sz w:val="28"/>
          <w:b/>
        </w:rPr>
        <w:t>西乡县林业局</w:t>
      </w:r>
    </w:p>
    <w:p>
      <w:pPr>
        <w:pStyle w:val="null3"/>
        <w:jc w:val="center"/>
        <w:outlineLvl w:val="2"/>
      </w:pPr>
      <w:r>
        <w:rPr>
          <w:rFonts w:ascii="仿宋_GB2312" w:hAnsi="仿宋_GB2312" w:cs="仿宋_GB2312" w:eastAsia="仿宋_GB2312"/>
          <w:sz w:val="28"/>
          <w:b/>
        </w:rPr>
        <w:t>陕西旭诺维项目管理有限公司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陕西旭诺维项目管理有限公司</w:t>
      </w:r>
      <w:r>
        <w:rPr>
          <w:rFonts w:ascii="仿宋_GB2312" w:hAnsi="仿宋_GB2312" w:cs="仿宋_GB2312" w:eastAsia="仿宋_GB2312"/>
        </w:rPr>
        <w:t>（以下简称“代理机构”）受</w:t>
      </w:r>
      <w:r>
        <w:rPr>
          <w:rFonts w:ascii="仿宋_GB2312" w:hAnsi="仿宋_GB2312" w:cs="仿宋_GB2312" w:eastAsia="仿宋_GB2312"/>
        </w:rPr>
        <w:t>西乡县林业局</w:t>
      </w:r>
      <w:r>
        <w:rPr>
          <w:rFonts w:ascii="仿宋_GB2312" w:hAnsi="仿宋_GB2312" w:cs="仿宋_GB2312" w:eastAsia="仿宋_GB2312"/>
        </w:rPr>
        <w:t>委托，拟对</w:t>
      </w:r>
      <w:r>
        <w:rPr>
          <w:rFonts w:ascii="仿宋_GB2312" w:hAnsi="仿宋_GB2312" w:cs="仿宋_GB2312" w:eastAsia="仿宋_GB2312"/>
        </w:rPr>
        <w:t>西乡县午子山及毗邻松林区域2026年森林病虫害无人机喷药防治项目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XNW-2026028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西乡县午子山及毗邻松林区域2026年森林病虫害无人机喷药防治项目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对午子山及毗邻松林区域开展森林病虫害无人机喷药防治。</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采购包1（西乡县午子山及毗邻松林区域2026年森林病虫害无人机喷药防治项目）：属于专门面向中小企业采购。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1、主体资格：供应商应为具有独立承担民事责任能力的法人或其他组织或自然人，并出具营业执照(事业法人证)或证明文件或自然人的身份证明;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供应商应具备健全的财务会计制度、履行合同所需的设备和专业技术能力、依法缴纳税收和社会保障资金，以及参加本项目采购活动前3年内经营活动无重大违法记录;投标人未被列入”信用中国"网站(https://www.creditchina.gov.cn)"失信被执行人”"重大税收违法案件当事人名单"中，也未列入"中国政府采购网"(https://www.ccgp.gov.cn)的“政府采购严重违法失信行为记录名单";拟参与本项目的投标人应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3、法定代表人身份证明或授权委托书：法定代表人直接参加投标的，须提供法定代表人身份证明;法定代表人授权代表参加投标的，须提供法定代表人授权委托书;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4、其他要求：本项目不接受联合体投标，供应商需提供非联合体书面声明；</w:t>
      </w:r>
    </w:p>
    <w:p>
      <w:pPr>
        <w:pStyle w:val="null3"/>
      </w:pPr>
      <w:r>
        <w:rPr>
          <w:rFonts w:ascii="仿宋_GB2312" w:hAnsi="仿宋_GB2312" w:cs="仿宋_GB2312" w:eastAsia="仿宋_GB2312"/>
        </w:rPr>
        <w:t>5、本采购包专门面向中小企业采购：本项目为专门面向中小企业采购，供应商为监狱企业的，应提供监狱企业的证明文件:供应商为残疾人福利性单位的，应提供《残疾人福利性单位声明函》(监狱企业或残疾人福利性单位视同小型、微型企业）；</w:t>
      </w:r>
    </w:p>
    <w:p>
      <w:pPr>
        <w:pStyle w:val="null3"/>
      </w:pPr>
      <w:r>
        <w:rPr>
          <w:rFonts w:ascii="仿宋_GB2312" w:hAnsi="仿宋_GB2312" w:cs="仿宋_GB2312" w:eastAsia="仿宋_GB2312"/>
        </w:rPr>
        <w:t>6、资质要求：供应商须具备陕西省林学会颁发的林业有害生物防治丙级及以上资质证书。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西乡县城北街道办鹿龄路78号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0916-6321904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陕西旭诺维项目管理有限公司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汉中市汉台区石马路汉菲曼酒店17楼07室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0916-2608638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开户名称：陕西旭诺维项目管理有限公司</w:t>
            </w:r>
          </w:p>
          <w:p>
            <w:pPr>
              <w:pStyle w:val="null3"/>
            </w:pPr>
            <w:r>
              <w:rPr>
                <w:rFonts w:ascii="仿宋_GB2312" w:hAnsi="仿宋_GB2312" w:cs="仿宋_GB2312" w:eastAsia="仿宋_GB2312"/>
              </w:rPr>
              <w:t>开户银行：长安银行股份有限公司汉中莲湖东路支行</w:t>
            </w:r>
          </w:p>
          <w:p>
            <w:pPr>
              <w:pStyle w:val="null3"/>
            </w:pPr>
            <w:r>
              <w:rPr>
                <w:rFonts w:ascii="仿宋_GB2312" w:hAnsi="仿宋_GB2312" w:cs="仿宋_GB2312" w:eastAsia="仿宋_GB2312"/>
              </w:rPr>
              <w:t>银行账号：8060 6080 1421 0077 13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代理服务费收费标准：代理服务费收费标准:参照《国家发展改革委关于进一步放开建设项目专业服务价格的通知》(发改价格[2015]299号)文收费标准。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西乡县林业局</w:t>
      </w:r>
      <w:r>
        <w:rPr>
          <w:rFonts w:ascii="仿宋_GB2312" w:hAnsi="仿宋_GB2312" w:cs="仿宋_GB2312" w:eastAsia="仿宋_GB2312"/>
        </w:rPr>
        <w:t>和</w:t>
      </w:r>
      <w:r>
        <w:rPr>
          <w:rFonts w:ascii="仿宋_GB2312" w:hAnsi="仿宋_GB2312" w:cs="仿宋_GB2312" w:eastAsia="仿宋_GB2312"/>
        </w:rPr>
        <w:t>陕西旭诺维项目管理有限公司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陕西旭诺维项目管理有限公司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陕西旭诺维项目管理有限公司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陕西旭诺维项目管理有限公司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陕西旭诺维项目管理有限公司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陕西旭诺维项目管理有限公司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联系人：郑女士</w:t>
      </w:r>
    </w:p>
    <w:p>
      <w:pPr>
        <w:pStyle w:val="null3"/>
      </w:pPr>
      <w:r>
        <w:rPr>
          <w:rFonts w:ascii="仿宋_GB2312" w:hAnsi="仿宋_GB2312" w:cs="仿宋_GB2312" w:eastAsia="仿宋_GB2312"/>
        </w:rPr>
        <w:t>联系电话：0916-2608638</w:t>
      </w:r>
    </w:p>
    <w:p>
      <w:pPr>
        <w:pStyle w:val="null3"/>
      </w:pPr>
      <w:r>
        <w:rPr>
          <w:rFonts w:ascii="仿宋_GB2312" w:hAnsi="仿宋_GB2312" w:cs="仿宋_GB2312" w:eastAsia="仿宋_GB2312"/>
        </w:rPr>
        <w:t>地址：汉中市汉台区石马路汉菲曼酒店17楼07室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对午子山及毗邻松林区域开展森林病虫害无人机喷药防治。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西乡县午子山及毗邻松林区域2026年森林病虫害无人机喷药防治项目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标的名称：西乡县午子山及毗邻松林区域2026年森林病虫害无人机喷药防治项目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一、目标任务、飞防区域</w:t>
            </w:r>
          </w:p>
          <w:p>
            <w:pPr>
              <w:pStyle w:val="null3"/>
              <w:ind w:firstLine="422"/>
              <w:jc w:val="left"/>
            </w:pPr>
            <w:r>
              <w:rPr>
                <w:rFonts w:ascii="仿宋_GB2312" w:hAnsi="仿宋_GB2312" w:cs="仿宋_GB2312" w:eastAsia="仿宋_GB2312"/>
                <w:sz w:val="21"/>
                <w:b/>
                <w:color w:val="000000"/>
              </w:rPr>
              <w:t>1.目标任务</w:t>
            </w:r>
          </w:p>
          <w:p>
            <w:pPr>
              <w:pStyle w:val="null3"/>
              <w:ind w:firstLine="420"/>
              <w:jc w:val="left"/>
            </w:pPr>
            <w:r>
              <w:rPr>
                <w:rFonts w:ascii="仿宋_GB2312" w:hAnsi="仿宋_GB2312" w:cs="仿宋_GB2312" w:eastAsia="仿宋_GB2312"/>
                <w:sz w:val="21"/>
                <w:color w:val="000000"/>
              </w:rPr>
              <w:t>按照省市要求，对我县发现松材线虫病区域进行全面防控和综合防治，对于堰口镇重点天然林林区和重点生态景观林区，开展无人机飞防的方式，确保不新增蔓延疫情，为堰口镇林业生态保护奠定基础。</w:t>
            </w:r>
          </w:p>
          <w:p>
            <w:pPr>
              <w:pStyle w:val="null3"/>
              <w:ind w:firstLine="422"/>
              <w:jc w:val="left"/>
            </w:pPr>
            <w:r>
              <w:rPr>
                <w:rFonts w:ascii="仿宋_GB2312" w:hAnsi="仿宋_GB2312" w:cs="仿宋_GB2312" w:eastAsia="仿宋_GB2312"/>
                <w:sz w:val="21"/>
                <w:b/>
                <w:color w:val="000000"/>
              </w:rPr>
              <w:t>2.飞防区域</w:t>
            </w:r>
          </w:p>
          <w:p>
            <w:pPr>
              <w:pStyle w:val="null3"/>
              <w:ind w:firstLine="420"/>
              <w:jc w:val="left"/>
            </w:pPr>
            <w:r>
              <w:rPr>
                <w:rFonts w:ascii="仿宋_GB2312" w:hAnsi="仿宋_GB2312" w:cs="仿宋_GB2312" w:eastAsia="仿宋_GB2312"/>
                <w:sz w:val="21"/>
                <w:color w:val="000000"/>
              </w:rPr>
              <w:t>在堰口镇堰口社区天然林重点林区午子山及其毗邻区域，完成2次无人机喷洒化学药剂防治。飞单次有效防治面积3340亩，两次合计有效防治面积6680亩。</w:t>
            </w:r>
          </w:p>
          <w:p>
            <w:pPr>
              <w:pStyle w:val="null3"/>
              <w:jc w:val="both"/>
            </w:pPr>
            <w:r>
              <w:rPr>
                <w:rFonts w:ascii="仿宋_GB2312" w:hAnsi="仿宋_GB2312" w:cs="仿宋_GB2312" w:eastAsia="仿宋_GB2312"/>
                <w:sz w:val="21"/>
                <w:b/>
                <w:color w:val="000000"/>
              </w:rPr>
              <w:t>二、相关技术要求</w:t>
            </w:r>
          </w:p>
          <w:p>
            <w:pPr>
              <w:pStyle w:val="null3"/>
              <w:ind w:firstLine="422"/>
              <w:jc w:val="left"/>
            </w:pPr>
            <w:r>
              <w:rPr>
                <w:rFonts w:ascii="仿宋_GB2312" w:hAnsi="仿宋_GB2312" w:cs="仿宋_GB2312" w:eastAsia="仿宋_GB2312"/>
                <w:sz w:val="21"/>
                <w:b/>
                <w:color w:val="000000"/>
              </w:rPr>
              <w:t>1.无人机防治</w:t>
            </w:r>
          </w:p>
          <w:p>
            <w:pPr>
              <w:pStyle w:val="null3"/>
              <w:ind w:firstLine="420"/>
              <w:jc w:val="left"/>
            </w:pPr>
            <w:r>
              <w:rPr>
                <w:rFonts w:ascii="仿宋_GB2312" w:hAnsi="仿宋_GB2312" w:cs="仿宋_GB2312" w:eastAsia="仿宋_GB2312"/>
                <w:sz w:val="21"/>
                <w:color w:val="000000"/>
              </w:rPr>
              <w:t>针对堰口镇重点天然林区域、适当扩大防治区域面积，采用无人机精准防治。时间初定为7-8月，具体时间根据飞防技术开展实际情况而定。</w:t>
            </w:r>
          </w:p>
          <w:p>
            <w:pPr>
              <w:pStyle w:val="null3"/>
              <w:ind w:firstLine="422"/>
              <w:jc w:val="left"/>
            </w:pPr>
            <w:r>
              <w:rPr>
                <w:rFonts w:ascii="仿宋_GB2312" w:hAnsi="仿宋_GB2312" w:cs="仿宋_GB2312" w:eastAsia="仿宋_GB2312"/>
                <w:sz w:val="21"/>
                <w:b/>
                <w:color w:val="000000"/>
              </w:rPr>
              <w:t>2.无人机选定</w:t>
            </w:r>
          </w:p>
          <w:p>
            <w:pPr>
              <w:pStyle w:val="null3"/>
              <w:ind w:firstLine="420"/>
              <w:jc w:val="left"/>
            </w:pPr>
            <w:r>
              <w:rPr>
                <w:rFonts w:ascii="仿宋_GB2312" w:hAnsi="仿宋_GB2312" w:cs="仿宋_GB2312" w:eastAsia="仿宋_GB2312"/>
                <w:sz w:val="21"/>
                <w:color w:val="000000"/>
              </w:rPr>
              <w:t>选定植保作业无人机，能够采用三维数字仿地功能、自主规划航线技术。可避免人工手动操作，出现喷洒不均匀情况，确保飞防任务完成和实际效果。</w:t>
            </w:r>
          </w:p>
          <w:p>
            <w:pPr>
              <w:pStyle w:val="null3"/>
              <w:ind w:firstLine="422"/>
              <w:jc w:val="left"/>
            </w:pPr>
            <w:r>
              <w:rPr>
                <w:rFonts w:ascii="仿宋_GB2312" w:hAnsi="仿宋_GB2312" w:cs="仿宋_GB2312" w:eastAsia="仿宋_GB2312"/>
                <w:sz w:val="21"/>
                <w:b/>
                <w:color w:val="000000"/>
              </w:rPr>
              <w:t>3.最佳气象条件选定</w:t>
            </w:r>
          </w:p>
          <w:p>
            <w:pPr>
              <w:pStyle w:val="null3"/>
              <w:ind w:firstLine="420"/>
              <w:jc w:val="left"/>
            </w:pPr>
            <w:r>
              <w:rPr>
                <w:rFonts w:ascii="仿宋_GB2312" w:hAnsi="仿宋_GB2312" w:cs="仿宋_GB2312" w:eastAsia="仿宋_GB2312"/>
                <w:sz w:val="21"/>
                <w:color w:val="000000"/>
              </w:rPr>
              <w:t>飞防前应由当提前了解天气情况。根据飞机的机身结构、材料和性能，以及超低空飞行喷药的特点，确保飞机安全飞行。飞行的适宜天气条件如下：</w:t>
            </w:r>
          </w:p>
          <w:p>
            <w:pPr>
              <w:pStyle w:val="null3"/>
              <w:ind w:firstLine="422"/>
              <w:jc w:val="left"/>
            </w:pPr>
            <w:r>
              <w:rPr>
                <w:rFonts w:ascii="仿宋_GB2312" w:hAnsi="仿宋_GB2312" w:cs="仿宋_GB2312" w:eastAsia="仿宋_GB2312"/>
                <w:sz w:val="21"/>
                <w:b/>
                <w:color w:val="000000"/>
              </w:rPr>
              <w:t>无雨：</w:t>
            </w:r>
            <w:r>
              <w:rPr>
                <w:rFonts w:ascii="仿宋_GB2312" w:hAnsi="仿宋_GB2312" w:cs="仿宋_GB2312" w:eastAsia="仿宋_GB2312"/>
                <w:sz w:val="21"/>
                <w:color w:val="000000"/>
              </w:rPr>
              <w:t>飞机起落、飞行和喷药期间不得下雨。为避免飞防8小时后遇雨，加入增效剂，确保药滴快速渗透吸收，提高药效。</w:t>
            </w:r>
          </w:p>
          <w:p>
            <w:pPr>
              <w:pStyle w:val="null3"/>
              <w:ind w:firstLine="422"/>
              <w:jc w:val="left"/>
            </w:pPr>
            <w:r>
              <w:rPr>
                <w:rFonts w:ascii="仿宋_GB2312" w:hAnsi="仿宋_GB2312" w:cs="仿宋_GB2312" w:eastAsia="仿宋_GB2312"/>
                <w:sz w:val="21"/>
                <w:b/>
                <w:color w:val="000000"/>
              </w:rPr>
              <w:t>无雾或薄雾，能见度高</w:t>
            </w:r>
            <w:r>
              <w:rPr>
                <w:rFonts w:ascii="仿宋_GB2312" w:hAnsi="仿宋_GB2312" w:cs="仿宋_GB2312" w:eastAsia="仿宋_GB2312"/>
                <w:sz w:val="21"/>
                <w:color w:val="000000"/>
              </w:rPr>
              <w:t>：由于作业飞机依靠GPS卫星定位导航到达作业地点，要求飞行路线和飞行作业区视线清晰。能见度大于2km，无云雾弥漫、轮廓清晰为适宜飞行作业天气。</w:t>
            </w:r>
          </w:p>
          <w:p>
            <w:pPr>
              <w:pStyle w:val="null3"/>
              <w:ind w:firstLine="422"/>
              <w:jc w:val="left"/>
            </w:pPr>
            <w:r>
              <w:rPr>
                <w:rFonts w:ascii="仿宋_GB2312" w:hAnsi="仿宋_GB2312" w:cs="仿宋_GB2312" w:eastAsia="仿宋_GB2312"/>
                <w:sz w:val="21"/>
                <w:b/>
                <w:color w:val="000000"/>
              </w:rPr>
              <w:t>气流相对稳定，风向、风力不紊乱：</w:t>
            </w:r>
            <w:r>
              <w:rPr>
                <w:rFonts w:ascii="仿宋_GB2312" w:hAnsi="仿宋_GB2312" w:cs="仿宋_GB2312" w:eastAsia="仿宋_GB2312"/>
                <w:sz w:val="21"/>
                <w:color w:val="000000"/>
              </w:rPr>
              <w:t>风对单位面积上受药量影响较大，喷雾时一般风速低于4m/s。超过上述规定应停止作业。</w:t>
            </w:r>
          </w:p>
          <w:p>
            <w:pPr>
              <w:pStyle w:val="null3"/>
              <w:ind w:firstLine="422"/>
              <w:jc w:val="left"/>
            </w:pPr>
            <w:r>
              <w:rPr>
                <w:rFonts w:ascii="仿宋_GB2312" w:hAnsi="仿宋_GB2312" w:cs="仿宋_GB2312" w:eastAsia="仿宋_GB2312"/>
                <w:sz w:val="21"/>
                <w:b/>
                <w:color w:val="000000"/>
              </w:rPr>
              <w:t>温度：</w:t>
            </w:r>
            <w:r>
              <w:rPr>
                <w:rFonts w:ascii="仿宋_GB2312" w:hAnsi="仿宋_GB2312" w:cs="仿宋_GB2312" w:eastAsia="仿宋_GB2312"/>
                <w:sz w:val="21"/>
                <w:color w:val="000000"/>
              </w:rPr>
              <w:t>最适应的喷药气温是24—30℃，当大气温度超过35℃时，产生上升气流，影响防治效果，原则上暂停飞防。</w:t>
            </w:r>
          </w:p>
          <w:p>
            <w:pPr>
              <w:pStyle w:val="null3"/>
              <w:ind w:firstLine="422"/>
              <w:jc w:val="left"/>
            </w:pPr>
            <w:r>
              <w:rPr>
                <w:rFonts w:ascii="仿宋_GB2312" w:hAnsi="仿宋_GB2312" w:cs="仿宋_GB2312" w:eastAsia="仿宋_GB2312"/>
                <w:sz w:val="21"/>
                <w:b/>
                <w:color w:val="000000"/>
              </w:rPr>
              <w:t>湿度：</w:t>
            </w:r>
            <w:r>
              <w:rPr>
                <w:rFonts w:ascii="仿宋_GB2312" w:hAnsi="仿宋_GB2312" w:cs="仿宋_GB2312" w:eastAsia="仿宋_GB2312"/>
                <w:sz w:val="21"/>
                <w:color w:val="000000"/>
              </w:rPr>
              <w:t>喷雾时相对湿度应在30%—60%之间。</w:t>
            </w:r>
          </w:p>
          <w:p>
            <w:pPr>
              <w:pStyle w:val="null3"/>
              <w:ind w:firstLine="422"/>
              <w:jc w:val="left"/>
            </w:pPr>
            <w:r>
              <w:rPr>
                <w:rFonts w:ascii="仿宋_GB2312" w:hAnsi="仿宋_GB2312" w:cs="仿宋_GB2312" w:eastAsia="仿宋_GB2312"/>
                <w:sz w:val="21"/>
                <w:b/>
                <w:color w:val="000000"/>
              </w:rPr>
              <w:t>4.起降点选择</w:t>
            </w:r>
          </w:p>
          <w:p>
            <w:pPr>
              <w:pStyle w:val="null3"/>
              <w:ind w:firstLine="420"/>
              <w:jc w:val="left"/>
            </w:pPr>
            <w:r>
              <w:rPr>
                <w:rFonts w:ascii="仿宋_GB2312" w:hAnsi="仿宋_GB2312" w:cs="仿宋_GB2312" w:eastAsia="仿宋_GB2312"/>
                <w:sz w:val="21"/>
                <w:color w:val="000000"/>
              </w:rPr>
              <w:t>根据林木资源分布情况及飞防作业区地形地貌特点，依据就近原则和飞机的作业半径、水电路、安全保卫、起降点周围的高大建筑物、飞行设计等因素综合考虑在防治项目区建设起降点。 综合考虑飞防面积及地形特点，确定起降点位置和数量。</w:t>
            </w:r>
            <w:r>
              <w:rPr>
                <w:rFonts w:ascii="仿宋_GB2312" w:hAnsi="仿宋_GB2312" w:cs="仿宋_GB2312" w:eastAsia="仿宋_GB2312"/>
                <w:sz w:val="21"/>
                <w:color w:val="000000"/>
              </w:rPr>
              <w:t>无人机起降点要求净空条件好，四周开阔、无高大建筑物、高压线等，净空要求100平方米以上，地面平整，无易被吹起的杂物。距飞防区域近，作业半径在0.5-1km。起降点面积一般10m×10m。</w:t>
            </w:r>
          </w:p>
          <w:p>
            <w:pPr>
              <w:pStyle w:val="null3"/>
              <w:ind w:firstLine="422"/>
              <w:jc w:val="left"/>
            </w:pPr>
            <w:r>
              <w:rPr>
                <w:rFonts w:ascii="仿宋_GB2312" w:hAnsi="仿宋_GB2312" w:cs="仿宋_GB2312" w:eastAsia="仿宋_GB2312"/>
                <w:sz w:val="21"/>
                <w:b/>
                <w:color w:val="000000"/>
              </w:rPr>
              <w:t>5.药品选择及剂量</w:t>
            </w:r>
          </w:p>
          <w:p>
            <w:pPr>
              <w:pStyle w:val="null3"/>
              <w:ind w:firstLine="420"/>
              <w:jc w:val="left"/>
            </w:pPr>
            <w:r>
              <w:rPr>
                <w:rFonts w:ascii="仿宋_GB2312" w:hAnsi="仿宋_GB2312" w:cs="仿宋_GB2312" w:eastAsia="仿宋_GB2312"/>
                <w:sz w:val="21"/>
                <w:color w:val="000000"/>
              </w:rPr>
              <w:t>本次防治采用3%噻虫啉微囊悬浮剂，外加飞防专用沉降助剂喷洒。每亩用3%噻虫啉微囊悬浮剂100ML，飞防专用助剂10ML,兑水890ML配比成混合液喷撒，每亩用混合药液1000ML。</w:t>
            </w:r>
          </w:p>
          <w:p>
            <w:pPr>
              <w:pStyle w:val="null3"/>
            </w:pPr>
            <w:r>
              <w:rPr>
                <w:rFonts w:ascii="仿宋_GB2312" w:hAnsi="仿宋_GB2312" w:cs="仿宋_GB2312" w:eastAsia="仿宋_GB2312"/>
                <w:sz w:val="21"/>
                <w:color w:val="000000"/>
              </w:rPr>
              <w:t xml:space="preserve">    两次防治面积6680亩，共需3%噻虫啉668L,飞防专用助剂66.8L。</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合同签订之日起至2026年8月31日前完成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进度款，验收合格后，达到付款条件起99个工作日内，支付合同总金额的100.0%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在成交结果公⽰后，成交供应商向代理机构提交纸质响应⽂件叁份、分别胶装，加盖骑缝章，电⼦版U盘贰份，内容和通过电⼦化交易平台实施的政府采购项⽬提交的响应⽂件⼀致。2、保证⾦若以⾦融机构、担保机构出具的保函形式则须在开标前⼀个工作日告知采购代理机构（联系电话0916-2608638、邮箱3020698752@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资格承诺函(汉财办采管(2024)20号)文件要求。</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供应商应为具有独立承担民事责任能力的法人或其他组织或自然人，并出具营业执照(事业法人证)或证明文件或自然人的身份证明;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投标人未被列入”信用中国"网站(https://www.creditchina.gov.cn)"失信被执行人”"重大税收违法案件当事人名单"中，也未列入"中国政府采购网"(https://www.ccgp.gov.cn)的“政府采购严重违法失信行为记录名单";拟参与本项目的投标人应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本项目为专门面向中小企业采购，供应商为监狱企业的，应提供监狱企业的证明文件:供应商为残疾人福利性单位的，应提供《残疾人福利性单位声明函》(监狱企业或残疾人福利性单位视同小型、微型企业）；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供应商须具备陕西省林学会颁发的林业有害生物防治丙级及以上资质证书。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分项报价.docx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响应⽂件的电⼦签章</w:t>
            </w:r>
          </w:p>
        </w:tc>
        <w:tc>
          <w:tcPr>
            <w:tcW w:type="dxa" w:w="3322"/>
          </w:tcPr>
          <w:p>
            <w:pPr>
              <w:pStyle w:val="null3"/>
            </w:pPr>
            <w:r>
              <w:rPr>
                <w:rFonts w:ascii="仿宋_GB2312" w:hAnsi="仿宋_GB2312" w:cs="仿宋_GB2312" w:eastAsia="仿宋_GB2312"/>
              </w:rPr>
              <w:t>响应⽂件按磋商⽂件要求进⾏电⼦签章</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分项报价.docx 汉中市政府采购供应商资格承诺函.docx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符合磋商⽂件要求，响应⽂件内容⻬全、⽆遗漏</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分项报价.docx 汉中市政府采购供应商资格承诺函.docx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报价唯⼀，未超出采购预算或磋商⽂件规定的最⾼限价</w:t>
            </w:r>
          </w:p>
        </w:tc>
        <w:tc>
          <w:tcPr>
            <w:tcW w:type="dxa" w:w="1661"/>
          </w:tcPr>
          <w:p>
            <w:pPr>
              <w:pStyle w:val="null3"/>
            </w:pPr>
            <w:r>
              <w:rPr>
                <w:rFonts w:ascii="仿宋_GB2312" w:hAnsi="仿宋_GB2312" w:cs="仿宋_GB2312" w:eastAsia="仿宋_GB2312"/>
              </w:rPr>
              <w:t>标的清单 报价表 分项报价.docx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不存在其他不符合法律法规或磋商⽂件规定的响应⽆效条款的情形</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分项报价.docx 汉中市政府采购供应商资格承诺函.docx 响应文件封面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针对本项目提供详细的实施方案。需充分结合项目实际情况，满足采购需求，方案内容完整、具体、可行、科学合理。1.评审内容：①项目目标及认知；②总体实施方案；③无人机防治具体作业方法；④防治档案编制与管理；⑤应急管理制度。2.评审标准： （1）全面性:内容完整、全面，包括所有评审内容，无遗漏； （2）详细性:内容详细,针对每一评审内容能够有明确具体的描述和说明； （3）合理性:内容合理,准确，符合项目实际情况，有利于项目的实施。3.赋分标准：每一项评审内容满足每一项评审标准的得1分，最多得3分。每一项内容相对每一项评审标准存在一处漏洞或缺陷扣0.3-0.5分，3分扣完为止。未提供相关评审内容的，该项得0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供应商针对本项目提供详细的质量保证方案。需充分结合项目实际情况，满足采购需求，方案内容完整、具体、可行、科学合理。1.评审内容：①质量保证体系；②质量保证的具体措施。2.评审标准： （1）全面性:内容完整、全面，包括所有评审内容，无遗漏； （2）详细性:内容详细,针对每一评审内容能够有明确具体的描述和说明；（3）合理性:内容合理,准确，符合项目实际情况，有利于项目的实施。3.赋分标准：每一项评审内容满足每一项评审标准的得1分，最多得3分。每一项内容相对每一项评审标准存在一处漏洞或缺陷扣0.3-0.5分，3分扣完为止。未提供相关评审内容的，该项得0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实施进度</w:t>
            </w:r>
          </w:p>
        </w:tc>
        <w:tc>
          <w:tcPr>
            <w:tcW w:type="dxa" w:w="2492"/>
          </w:tcPr>
          <w:p>
            <w:pPr>
              <w:pStyle w:val="null3"/>
            </w:pPr>
            <w:r>
              <w:rPr>
                <w:rFonts w:ascii="仿宋_GB2312" w:hAnsi="仿宋_GB2312" w:cs="仿宋_GB2312" w:eastAsia="仿宋_GB2312"/>
              </w:rPr>
              <w:t>供应商针对本项目提供详细的实施进度方案。需充分结合项目实际情况，满足采购需求，方案内容完整、具体、可行、科学合理。1.评审内容：①项目实施进度计划；②项目进度保障措施。2.评审标准： （1）全面性:内容完整、全面，包括所有评审内容，无遗漏； （2）详细性:内容详细,针对每一评审内容能够有明确具体的描述和说明； （3）合理性:内容合理,准确，符合项目实际情况，有利于项目的实施。3.赋分标准：每一项评审内容满足每一项评审标准的得1分，最多得3分。每一项内容相对每一项评审标准存在一处漏洞或缺陷扣0.3-0.5分，3分扣完为止。未提供相关评审内容的，该项得0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详细的服务承诺。需充分结合项目实际情况，满足采购需求，方案内容完整、具体、可行、科学合理。1.评审内容：①服务质量承诺；②后期服务承诺（对防治效果的检验、以及出现特殊情况的后期补防等）。2.评审标准： （1）全面性:内容完整、全面，包括所有评审内容，无遗漏； （2）详细性:内容详细,针对每一评审内容能够有明确具体的描述和说明； （3）合理性:内容合理,准确，符合项目实际情况，有利于项目的实施。3.赋分标准：每一项评审内容满足每一项评审标准的得1分，最多得3分。每一项内容相对每一项评审标准存在一处漏洞或缺陷扣0.3-0.5分，3分扣完为止。未提供相关评审内容的，该项得0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风险控制与应急预案</w:t>
            </w:r>
          </w:p>
        </w:tc>
        <w:tc>
          <w:tcPr>
            <w:tcW w:type="dxa" w:w="2492"/>
          </w:tcPr>
          <w:p>
            <w:pPr>
              <w:pStyle w:val="null3"/>
            </w:pPr>
            <w:r>
              <w:rPr>
                <w:rFonts w:ascii="仿宋_GB2312" w:hAnsi="仿宋_GB2312" w:cs="仿宋_GB2312" w:eastAsia="仿宋_GB2312"/>
              </w:rPr>
              <w:t>供应商针对本项目提供详细的风险控制与应急预案方案。需充分结合项目实际情况，满足采购需求，方案内容完整、具体、可行、科学合理。1.评审内容：①气候风险及技术风险；②安全保障措施；2.评审标准： （1）全面性:内容完整、全面，包括所有评审内容，无遗漏； （2）详细性:内容详细,针对每一评审内容能够有明确具体的描述和说明； （3）合理性:内容合理,准确，符合项目实际情况，有利于项目的实施。3.赋分标准：每一项评审内容满足每一项评审标准的得1分，最多得3分。每一项内容相对每一项评审标准存在一处漏洞或缺陷扣0.3-0.5分，3分扣完为止。未提供相关评审内容的，该项得0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①提供团队组织人员配置明细表得3分，不提供不得分； ②提供5名及以上配置人员相关身份证明得5分；提供4名配置人员相关身份证明得4分，提供3名配置人员相关身份证明得3分，不足3人或不提供均不得分，本项最高5分； ③提供团队人员管理制度得3分，不提供不得分； ④提供人员到场及不随意更换人员承诺得3分，不提供不得分。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植保作业无人机及设备配置</w:t>
            </w:r>
          </w:p>
        </w:tc>
        <w:tc>
          <w:tcPr>
            <w:tcW w:type="dxa" w:w="2492"/>
          </w:tcPr>
          <w:p>
            <w:pPr>
              <w:pStyle w:val="null3"/>
            </w:pPr>
            <w:r>
              <w:rPr>
                <w:rFonts w:ascii="仿宋_GB2312" w:hAnsi="仿宋_GB2312" w:cs="仿宋_GB2312" w:eastAsia="仿宋_GB2312"/>
              </w:rPr>
              <w:t>①提供植保作业无人机选型得2分，不提供不得分； ②提供植保作业无人机及配套设备介绍得2分，不提供不得分； ③提供植保作业无人机实名登记证得2分，不提供不得分； ④提供植保作业无人机购买或租赁证明材料得2分，不提供不得分； ⑤提供植保作业无人机适航承诺书得2分，不提供不得分； ⑥提供植保作业无人机飞手持证上岗承诺书得2分，不提供不得分。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药品配置</w:t>
            </w:r>
          </w:p>
        </w:tc>
        <w:tc>
          <w:tcPr>
            <w:tcW w:type="dxa" w:w="2492"/>
          </w:tcPr>
          <w:p>
            <w:pPr>
              <w:pStyle w:val="null3"/>
            </w:pPr>
            <w:r>
              <w:rPr>
                <w:rFonts w:ascii="仿宋_GB2312" w:hAnsi="仿宋_GB2312" w:cs="仿宋_GB2312" w:eastAsia="仿宋_GB2312"/>
              </w:rPr>
              <w:t>①提供3%噻虫啉微囊悬浮剂产品图片得2分，不提供不得分； ②提供3%噻虫啉微囊悬浮剂产品介绍得2分，不提供不得分； ③提供3%噻虫啉微囊悬浮剂提供药剂三证（农药登记证或农药临时登记证、农药生产许可证或农药生产批准文件、农药产品标准证）每提供一个证书得2分，本项最多不超过6分； ④提供飞防专用沉降助剂产品图片得2分，不提供不得分； ⑤提供飞防专用沉降助剂产品介绍得2分，不提供不得分； ⑥提供药品配比成混合液喷撒方案得2分，不提供不得分； ⑦提供药品混合、喷洒人员安全防护措施得2分，不提供不得分； ⑧提供药品无违禁、残留达标承诺得2分，不提供不得分。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供应商提供2023年1月1日至今完成的类似业绩证明，每提供一份计2.5分，最高计5.0分 。 注：业绩须是供应商完成的类似项目，以协议书（合同）加盖公章的复印件为准。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2、以满足本次磋商文件要求的最低报价为评标基准价，其价格为满分； 3、供应商报价得分=（评标基准价/投标报价）×10 （本项目为专门面向中小企业采购项目，不再执行价格评审优惠扶持政策）。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