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版本号：HRC-ZBDL-2026-0096820260821002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2026年碑林区市政道路零星修复项目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HRC-ZBDL-2026-00968</w:t>
      </w:r>
      <w:r>
        <w:br/>
      </w:r>
      <w:r>
        <w:br/>
      </w:r>
      <w:r>
        <w:br/>
      </w:r>
    </w:p>
    <w:p>
      <w:pPr>
        <w:pStyle w:val="null3"/>
        <w:jc w:val="center"/>
        <w:outlineLvl w:val="2"/>
      </w:pPr>
      <w:r>
        <w:rPr>
          <w:rFonts w:ascii="仿宋_GB2312" w:hAnsi="仿宋_GB2312" w:cs="仿宋_GB2312" w:eastAsia="仿宋_GB2312"/>
          <w:sz w:val="28"/>
          <w:b/>
        </w:rPr>
        <w:t>西安市碑林区城市管理和综合执法局（本级）</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西安市碑林区城市管理和综合执法局（本级）</w:t>
      </w:r>
      <w:r>
        <w:rPr>
          <w:rFonts w:ascii="仿宋_GB2312" w:hAnsi="仿宋_GB2312" w:cs="仿宋_GB2312" w:eastAsia="仿宋_GB2312"/>
        </w:rPr>
        <w:t>委托，拟对</w:t>
      </w:r>
      <w:r>
        <w:rPr>
          <w:rFonts w:ascii="仿宋_GB2312" w:hAnsi="仿宋_GB2312" w:cs="仿宋_GB2312" w:eastAsia="仿宋_GB2312"/>
        </w:rPr>
        <w:t>2026年碑林区市政道路零星修复项目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HRC-ZBDL-2026-00968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2026年碑林区市政道路零星修复项目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 年碑林区市政道路零星修复项目，针对碑林区区管道路路面、人行道、人行天桥及其附属设施的破损开展零星修复。</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采购包1（2026年碑林区市政道路零星修复项目）：属于专门面向中小企业采购。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财务状况报告：提供2025年度经审计的财务会计报告，或其投标前三个月内基本存款账户开户银行出具的资信证明及基本存款账户开户证明，或财政部门认可的政府采购专业担保机构出具的投标担保函（以上三种形式的资料提供任何一种即可）。</w:t>
      </w:r>
    </w:p>
    <w:p>
      <w:pPr>
        <w:pStyle w:val="null3"/>
      </w:pPr>
      <w:r>
        <w:rPr>
          <w:rFonts w:ascii="仿宋_GB2312" w:hAnsi="仿宋_GB2312" w:cs="仿宋_GB2312" w:eastAsia="仿宋_GB2312"/>
        </w:rPr>
        <w:t>3、税收缴纳证明：提供开标截止日前一年内已缴纳的至少一个月的纳税证明或完税证明，依法免税的单位应提供相关证明材料。</w:t>
      </w:r>
    </w:p>
    <w:p>
      <w:pPr>
        <w:pStyle w:val="null3"/>
      </w:pPr>
      <w:r>
        <w:rPr>
          <w:rFonts w:ascii="仿宋_GB2312" w:hAnsi="仿宋_GB2312" w:cs="仿宋_GB2312" w:eastAsia="仿宋_GB2312"/>
        </w:rPr>
        <w:t>4、社会保障资金缴纳证明：提供投标截止日前一年内已缴存的至少一个月的社会保障资金缴存单据或社保机构开具的社会保险参保缴费情况证明，依法不需要缴纳社会保障资金的单位应提供相关证明材料。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5、履行合同所必需的设备和专业技术能力：供应商须提供具有履行合同所必需的设备和专业技术能力的承诺。</w:t>
      </w:r>
    </w:p>
    <w:p>
      <w:pPr>
        <w:pStyle w:val="null3"/>
      </w:pPr>
      <w:r>
        <w:rPr>
          <w:rFonts w:ascii="仿宋_GB2312" w:hAnsi="仿宋_GB2312" w:cs="仿宋_GB2312" w:eastAsia="仿宋_GB2312"/>
        </w:rPr>
        <w:t>6、无重大违法记录声明：参加政府采购活动前3年内，在经营活动中没有重大违法记录的书面声明。（供应商声明函）。</w:t>
      </w:r>
    </w:p>
    <w:p>
      <w:pPr>
        <w:pStyle w:val="null3"/>
      </w:pPr>
      <w:r>
        <w:rPr>
          <w:rFonts w:ascii="仿宋_GB2312" w:hAnsi="仿宋_GB2312" w:cs="仿宋_GB2312" w:eastAsia="仿宋_GB2312"/>
        </w:rPr>
        <w:t>7、法定代表人授权委托书/身份证明：法定代表人参加磋商的，须出示法定代表人身份证明和身份证复印件；法定代表人授权他人参加磋商的，须提供法定代表人授权委托书及被授权人身份证复印件。</w:t>
      </w:r>
    </w:p>
    <w:p>
      <w:pPr>
        <w:pStyle w:val="null3"/>
      </w:pPr>
      <w:r>
        <w:rPr>
          <w:rFonts w:ascii="仿宋_GB2312" w:hAnsi="仿宋_GB2312" w:cs="仿宋_GB2312" w:eastAsia="仿宋_GB2312"/>
        </w:rPr>
        <w:t>8、资质要求：供应商应具有建设部门颁发的市政公用工程施工总承包三级及以上资质;具备有效的安全生产许可证。</w:t>
      </w:r>
    </w:p>
    <w:p>
      <w:pPr>
        <w:pStyle w:val="null3"/>
      </w:pPr>
      <w:r>
        <w:rPr>
          <w:rFonts w:ascii="仿宋_GB2312" w:hAnsi="仿宋_GB2312" w:cs="仿宋_GB2312" w:eastAsia="仿宋_GB2312"/>
        </w:rPr>
        <w:t>9、项目经理：拟派项目经理具有市政公用工程专业二级及以上注册建造师证，具备有效的安全生产考核合格证书，且无在建工程。</w:t>
      </w:r>
    </w:p>
    <w:p>
      <w:pPr>
        <w:pStyle w:val="null3"/>
      </w:pPr>
      <w:r>
        <w:rPr>
          <w:rFonts w:ascii="仿宋_GB2312" w:hAnsi="仿宋_GB2312" w:cs="仿宋_GB2312" w:eastAsia="仿宋_GB2312"/>
        </w:rPr>
        <w:t>10、信用查询：供应商不得为“信用中国”网站（www.creditchina.gov.cn）中列入“失信被执行人”（中国执行信息公开网http://zxgk.court.gov.cn/shixin/）和“重大税收违法失信主体”名单的供应商，不得为中国政府采购网（www.ccgp.gov.cn）政府采购“严重违法失信行为记录名单”中被财政部门禁止参加政府采购活动的供应商。 （供应商可不提供，以代理机构现场查询为准）</w:t>
      </w:r>
    </w:p>
    <w:p>
      <w:pPr>
        <w:pStyle w:val="null3"/>
      </w:pPr>
      <w:r>
        <w:rPr>
          <w:rFonts w:ascii="仿宋_GB2312" w:hAnsi="仿宋_GB2312" w:cs="仿宋_GB2312" w:eastAsia="仿宋_GB2312"/>
        </w:rPr>
        <w:t>11、其他要求：供应商及项目经理基本信息在“陕西省住房和城乡建设厅”和“全国建筑市场监管公共服务平台”(http://jzsc.mohurd.gov.cn/home)可查询 （供应商可不提供，以代理机构现场查询为准）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西安市碑林区城市管理和综合执法局（本级）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碑林区雁塔北路23号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邢培宁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029-83238303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韩雄飞、张静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13092952687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郝天峰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代理服务费收费标准：（1）招标代理服务费以中标价为基数，参照国家计委颁发的《招标代理服务收费管理暂行办法》（计价格[2002]1980号）的收费标准收取。 （2）工程造价咨询服务费参照陕价行发【2014】88号文件的收费标准收取。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西安市碑林区城市管理和综合执法局（本级）</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西安市碑林区城市管理和综合执法局（本级）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西安市碑林区城市管理和综合执法局（本级）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联系人：韩雄飞、张静</w:t>
      </w:r>
    </w:p>
    <w:p>
      <w:pPr>
        <w:pStyle w:val="null3"/>
      </w:pPr>
      <w:r>
        <w:rPr>
          <w:rFonts w:ascii="仿宋_GB2312" w:hAnsi="仿宋_GB2312" w:cs="仿宋_GB2312" w:eastAsia="仿宋_GB2312"/>
        </w:rPr>
        <w:t>联系电话：13092952687</w:t>
      </w:r>
    </w:p>
    <w:p>
      <w:pPr>
        <w:pStyle w:val="null3"/>
      </w:pPr>
      <w:r>
        <w:rPr>
          <w:rFonts w:ascii="仿宋_GB2312" w:hAnsi="仿宋_GB2312" w:cs="仿宋_GB2312" w:eastAsia="仿宋_GB2312"/>
        </w:rPr>
        <w:t>地址：西安市曲江新区雁翔路旺座曲江E座29层2901号</w:t>
      </w:r>
    </w:p>
    <w:p>
      <w:pPr>
        <w:pStyle w:val="null3"/>
      </w:pPr>
      <w:r>
        <w:rPr>
          <w:rFonts w:ascii="仿宋_GB2312" w:hAnsi="仿宋_GB2312" w:cs="仿宋_GB2312" w:eastAsia="仿宋_GB2312"/>
        </w:rPr>
        <w:t>邮编：710043</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1,499,665.72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2026年碑林区市政道路零星修复项目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标的名称：2026年碑林区市政道路零星修复项目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2026年碑林区市政道路零星修复项目，针对碑林区区管道路路面、人行道、人行天桥及其附属设施的破损开展零星修复。</w:t>
            </w:r>
          </w:p>
          <w:p>
            <w:pPr>
              <w:pStyle w:val="null3"/>
            </w:pPr>
            <w:r>
              <w:rPr>
                <w:rFonts w:ascii="仿宋_GB2312" w:hAnsi="仿宋_GB2312" w:cs="仿宋_GB2312" w:eastAsia="仿宋_GB2312"/>
              </w:rPr>
              <w:t>二、</w:t>
            </w:r>
            <w:r>
              <w:rPr>
                <w:rFonts w:ascii="仿宋_GB2312" w:hAnsi="仿宋_GB2312" w:cs="仿宋_GB2312" w:eastAsia="仿宋_GB2312"/>
              </w:rPr>
              <w:t>工程内容、</w:t>
            </w:r>
            <w:r>
              <w:rPr>
                <w:rFonts w:ascii="仿宋_GB2312" w:hAnsi="仿宋_GB2312" w:cs="仿宋_GB2312" w:eastAsia="仿宋_GB2312"/>
              </w:rPr>
              <w:t>工程地点</w:t>
            </w:r>
            <w:r>
              <w:rPr>
                <w:rFonts w:ascii="仿宋_GB2312" w:hAnsi="仿宋_GB2312" w:cs="仿宋_GB2312" w:eastAsia="仿宋_GB2312"/>
              </w:rPr>
              <w:t>、计划工期</w:t>
            </w:r>
            <w:r>
              <w:rPr>
                <w:rFonts w:ascii="仿宋_GB2312" w:hAnsi="仿宋_GB2312" w:cs="仿宋_GB2312" w:eastAsia="仿宋_GB2312"/>
              </w:rPr>
              <w:t>、</w:t>
            </w:r>
            <w:r>
              <w:rPr>
                <w:rFonts w:ascii="仿宋_GB2312" w:hAnsi="仿宋_GB2312" w:cs="仿宋_GB2312" w:eastAsia="仿宋_GB2312"/>
              </w:rPr>
              <w:t>质量标准</w:t>
            </w:r>
            <w:r>
              <w:rPr>
                <w:rFonts w:ascii="仿宋_GB2312" w:hAnsi="仿宋_GB2312" w:cs="仿宋_GB2312" w:eastAsia="仿宋_GB2312"/>
              </w:rPr>
              <w:t>、缺陷责任期、质量保修期</w:t>
            </w:r>
          </w:p>
          <w:p>
            <w:pPr>
              <w:pStyle w:val="null3"/>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工程内容：包括对市政道路上凹陷凸起、壅包、破损剥落、龟裂等缺陷路面的铣刨重铺处理以及塌陷路面基础处理；拆除人行道、人行道块料铺设、铺设垫层等；人行天桥的桥面、栏杆、桥体破损修复，甲方安排的其它临时工程、防汛应急抢险任务等。</w:t>
            </w:r>
          </w:p>
          <w:p>
            <w:pPr>
              <w:pStyle w:val="null3"/>
            </w:pPr>
            <w:r>
              <w:rPr>
                <w:rFonts w:ascii="仿宋_GB2312" w:hAnsi="仿宋_GB2312" w:cs="仿宋_GB2312" w:eastAsia="仿宋_GB2312"/>
              </w:rPr>
              <w:t>2.</w:t>
            </w:r>
            <w:r>
              <w:rPr>
                <w:rFonts w:ascii="仿宋_GB2312" w:hAnsi="仿宋_GB2312" w:cs="仿宋_GB2312" w:eastAsia="仿宋_GB2312"/>
              </w:rPr>
              <w:t>工程地点</w:t>
            </w:r>
            <w:r>
              <w:rPr>
                <w:rFonts w:ascii="仿宋_GB2312" w:hAnsi="仿宋_GB2312" w:cs="仿宋_GB2312" w:eastAsia="仿宋_GB2312"/>
              </w:rPr>
              <w:t>：</w:t>
            </w:r>
            <w:r>
              <w:rPr>
                <w:rFonts w:ascii="仿宋_GB2312" w:hAnsi="仿宋_GB2312" w:cs="仿宋_GB2312" w:eastAsia="仿宋_GB2312"/>
              </w:rPr>
              <w:t>西安市碑林区。</w:t>
            </w:r>
          </w:p>
          <w:p>
            <w:pPr>
              <w:pStyle w:val="null3"/>
            </w:pPr>
            <w:r>
              <w:rPr>
                <w:rFonts w:ascii="仿宋_GB2312" w:hAnsi="仿宋_GB2312" w:cs="仿宋_GB2312" w:eastAsia="仿宋_GB2312"/>
              </w:rPr>
              <w:t>3.</w:t>
            </w:r>
            <w:r>
              <w:rPr>
                <w:rFonts w:ascii="仿宋_GB2312" w:hAnsi="仿宋_GB2312" w:cs="仿宋_GB2312" w:eastAsia="仿宋_GB2312"/>
              </w:rPr>
              <w:t>计划工期：</w:t>
            </w:r>
            <w:r>
              <w:rPr>
                <w:rFonts w:ascii="仿宋_GB2312" w:hAnsi="仿宋_GB2312" w:cs="仿宋_GB2312" w:eastAsia="仿宋_GB2312"/>
              </w:rPr>
              <w:t>自合同签订之日起</w:t>
            </w:r>
            <w:r>
              <w:rPr>
                <w:rFonts w:ascii="仿宋_GB2312" w:hAnsi="仿宋_GB2312" w:cs="仿宋_GB2312" w:eastAsia="仿宋_GB2312"/>
              </w:rPr>
              <w:t>365 日历天</w:t>
            </w:r>
            <w:r>
              <w:rPr>
                <w:rFonts w:ascii="仿宋_GB2312" w:hAnsi="仿宋_GB2312" w:cs="仿宋_GB2312" w:eastAsia="仿宋_GB2312"/>
              </w:rPr>
              <w:t>。</w:t>
            </w:r>
          </w:p>
          <w:p>
            <w:pPr>
              <w:pStyle w:val="null3"/>
            </w:pPr>
            <w:r>
              <w:rPr>
                <w:rFonts w:ascii="仿宋_GB2312" w:hAnsi="仿宋_GB2312" w:cs="仿宋_GB2312" w:eastAsia="仿宋_GB2312"/>
              </w:rPr>
              <w:t>4</w:t>
            </w:r>
            <w:r>
              <w:rPr>
                <w:rFonts w:ascii="仿宋_GB2312" w:hAnsi="仿宋_GB2312" w:cs="仿宋_GB2312" w:eastAsia="仿宋_GB2312"/>
              </w:rPr>
              <w:t>.质量标准：符合国家现行有关施工质量验收规范“合格”要求。</w:t>
            </w:r>
          </w:p>
          <w:p>
            <w:pPr>
              <w:pStyle w:val="null3"/>
            </w:pPr>
            <w:r>
              <w:rPr>
                <w:rFonts w:ascii="仿宋_GB2312" w:hAnsi="仿宋_GB2312" w:cs="仿宋_GB2312" w:eastAsia="仿宋_GB2312"/>
              </w:rPr>
              <w:t>5.缺陷责任期:本工程缺陷责任期为 12 个月，缺陷责任期自工程通过竣工验收之日计算。</w:t>
            </w:r>
          </w:p>
          <w:p>
            <w:pPr>
              <w:pStyle w:val="null3"/>
            </w:pPr>
            <w:r>
              <w:rPr>
                <w:rFonts w:ascii="仿宋_GB2312" w:hAnsi="仿宋_GB2312" w:cs="仿宋_GB2312" w:eastAsia="仿宋_GB2312"/>
              </w:rPr>
              <w:t>6.质量保修期：一年。</w:t>
            </w:r>
          </w:p>
          <w:p>
            <w:pPr>
              <w:pStyle w:val="null3"/>
            </w:pPr>
            <w:r>
              <w:rPr>
                <w:rFonts w:ascii="仿宋_GB2312" w:hAnsi="仿宋_GB2312" w:cs="仿宋_GB2312" w:eastAsia="仿宋_GB2312"/>
              </w:rPr>
              <w:t>四、施工要求</w:t>
            </w:r>
          </w:p>
          <w:p>
            <w:pPr>
              <w:pStyle w:val="null3"/>
            </w:pPr>
            <w:r>
              <w:rPr>
                <w:rFonts w:ascii="仿宋_GB2312" w:hAnsi="仿宋_GB2312" w:cs="仿宋_GB2312" w:eastAsia="仿宋_GB2312"/>
              </w:rPr>
              <w:t>1.</w:t>
            </w:r>
            <w:r>
              <w:rPr>
                <w:rFonts w:ascii="仿宋_GB2312" w:hAnsi="仿宋_GB2312" w:cs="仿宋_GB2312" w:eastAsia="仿宋_GB2312"/>
              </w:rPr>
              <w:t>办公场所要求：</w:t>
            </w:r>
          </w:p>
          <w:p>
            <w:pPr>
              <w:pStyle w:val="null3"/>
              <w:ind w:firstLine="400"/>
            </w:pPr>
            <w:r>
              <w:rPr>
                <w:rFonts w:ascii="仿宋_GB2312" w:hAnsi="仿宋_GB2312" w:cs="仿宋_GB2312" w:eastAsia="仿宋_GB2312"/>
              </w:rPr>
              <w:t>为保证服务的质量及便捷性，乙方应在碑林区辖区设置固定项目管理部，必须配备满足项目开展的办公室、物资材料仓储室、机械设备停放场以及相应的生活区。</w:t>
            </w:r>
          </w:p>
          <w:p>
            <w:pPr>
              <w:pStyle w:val="null3"/>
            </w:pPr>
            <w:r>
              <w:rPr>
                <w:rFonts w:ascii="仿宋_GB2312" w:hAnsi="仿宋_GB2312" w:cs="仿宋_GB2312" w:eastAsia="仿宋_GB2312"/>
              </w:rPr>
              <w:t>2.</w:t>
            </w:r>
            <w:r>
              <w:rPr>
                <w:rFonts w:ascii="仿宋_GB2312" w:hAnsi="仿宋_GB2312" w:cs="仿宋_GB2312" w:eastAsia="仿宋_GB2312"/>
              </w:rPr>
              <w:t>项目团队成员配备要求：</w:t>
            </w:r>
          </w:p>
          <w:p>
            <w:pPr>
              <w:pStyle w:val="null3"/>
              <w:ind w:firstLine="400"/>
            </w:pPr>
            <w:r>
              <w:rPr>
                <w:rFonts w:ascii="仿宋_GB2312" w:hAnsi="仿宋_GB2312" w:cs="仿宋_GB2312" w:eastAsia="仿宋_GB2312"/>
              </w:rPr>
              <w:t>乙方应成立项目管理组织机构，要求项目组成员结构合理、分工明确，并保证项目组成员具有相应资格或职称证书，持证上岗。项目组人员必须包含项目负责人、技术负责人、技术管理人员、安全专职人员</w:t>
            </w:r>
            <w:r>
              <w:rPr>
                <w:rFonts w:ascii="仿宋_GB2312" w:hAnsi="仿宋_GB2312" w:cs="仿宋_GB2312" w:eastAsia="仿宋_GB2312"/>
              </w:rPr>
              <w:t>(2 人以上)、质检人员、资料员、专业的维修养护人员。项目所需的机械设备及工具都为乙方自备，甲方不提供任何机械设备及工具。</w:t>
            </w:r>
          </w:p>
          <w:p>
            <w:pPr>
              <w:pStyle w:val="null3"/>
            </w:pPr>
            <w:r>
              <w:rPr>
                <w:rFonts w:ascii="仿宋_GB2312" w:hAnsi="仿宋_GB2312" w:cs="仿宋_GB2312" w:eastAsia="仿宋_GB2312"/>
              </w:rPr>
              <w:t>3.</w:t>
            </w:r>
            <w:r>
              <w:rPr>
                <w:rFonts w:ascii="仿宋_GB2312" w:hAnsi="仿宋_GB2312" w:cs="仿宋_GB2312" w:eastAsia="仿宋_GB2312"/>
              </w:rPr>
              <w:t>市政道路及其人行天桥维修养护要求：</w:t>
            </w:r>
          </w:p>
          <w:p>
            <w:pPr>
              <w:pStyle w:val="null3"/>
              <w:ind w:firstLine="400"/>
            </w:pPr>
            <w:r>
              <w:rPr>
                <w:rFonts w:ascii="仿宋_GB2312" w:hAnsi="仿宋_GB2312" w:cs="仿宋_GB2312" w:eastAsia="仿宋_GB2312"/>
              </w:rPr>
              <w:t>应具备健全的修补制度、管理制度、应急处理制度及自查自检制度。乙方提供的市政道路及设施零星修复项目包括沥青道路修复、人行道修复、道牙修复更换、等及其他临时性工作。乙方必须提供维修所需的全部材料及设备，并按相关要求进行维修作业。保证辖区</w:t>
            </w:r>
            <w:r>
              <w:rPr>
                <w:rFonts w:ascii="仿宋_GB2312" w:hAnsi="仿宋_GB2312" w:cs="仿宋_GB2312" w:eastAsia="仿宋_GB2312"/>
              </w:rPr>
              <w:t xml:space="preserve"> 28 座人行天桥正常通行，当天损坏的防滑垫、护栏等当天进行维修或更换，必须确保人民日常通行和市容环境不受影响。</w:t>
            </w:r>
          </w:p>
          <w:p>
            <w:pPr>
              <w:pStyle w:val="null3"/>
            </w:pPr>
            <w:r>
              <w:rPr>
                <w:rFonts w:ascii="仿宋_GB2312" w:hAnsi="仿宋_GB2312" w:cs="仿宋_GB2312" w:eastAsia="仿宋_GB2312"/>
              </w:rPr>
              <w:t>4.</w:t>
            </w:r>
            <w:r>
              <w:rPr>
                <w:rFonts w:ascii="仿宋_GB2312" w:hAnsi="仿宋_GB2312" w:cs="仿宋_GB2312" w:eastAsia="仿宋_GB2312"/>
              </w:rPr>
              <w:t>安全文明施工要求：</w:t>
            </w:r>
          </w:p>
          <w:p>
            <w:pPr>
              <w:pStyle w:val="null3"/>
              <w:ind w:firstLine="400"/>
            </w:pPr>
            <w:r>
              <w:rPr>
                <w:rFonts w:ascii="仿宋_GB2312" w:hAnsi="仿宋_GB2312" w:cs="仿宋_GB2312" w:eastAsia="仿宋_GB2312"/>
              </w:rPr>
              <w:t>必须作好施工现场组织管理、文明施工，维护现场秩序，做到工完场清、道路畅通。根据施工现场采取不同的围挡方式进行围挡作业，对短时间内或小面积（</w:t>
            </w:r>
            <w:r>
              <w:rPr>
                <w:rFonts w:ascii="仿宋_GB2312" w:hAnsi="仿宋_GB2312" w:cs="仿宋_GB2312" w:eastAsia="仿宋_GB2312"/>
              </w:rPr>
              <w:t>1M²以下）维修可用水马、安全锥、连杆等安全防护标志，并设有市政设施抢修施工告示牌，严禁用土头垃圾堆做防护。维修过程中当天产生的土堆、废渣、垃圾等应在当天维修结束后清理完毕，做到工完料尽场地清。建筑垃圾不得随意倾倒，由乙方自行联系运至碑林辖区地以外的建筑垃圾堆放场所并承担相应的费用。夜间应尽量减少噪音对周边居民以及企业的影响。</w:t>
            </w:r>
          </w:p>
          <w:p>
            <w:pPr>
              <w:pStyle w:val="null3"/>
              <w:ind w:firstLine="400"/>
            </w:pPr>
            <w:r>
              <w:rPr>
                <w:rFonts w:ascii="仿宋_GB2312" w:hAnsi="仿宋_GB2312" w:cs="仿宋_GB2312" w:eastAsia="仿宋_GB2312"/>
              </w:rPr>
              <w:t>乙方对自有的施工人员人身及财产安全负责，对自己的人和机械设备购买保险及相应的劳保用具。维修作业人员需穿有印制</w:t>
            </w:r>
            <w:r>
              <w:rPr>
                <w:rFonts w:ascii="仿宋_GB2312" w:hAnsi="仿宋_GB2312" w:cs="仿宋_GB2312" w:eastAsia="仿宋_GB2312"/>
              </w:rPr>
              <w:t>“市政维护”标识字样统一样式的橘色醒目制服，并根据实际情况穿戴反光服、高温鞋、安全帽等安全防护用品。施工人员均应严格按照相关技术规范进行施工，做到安全施工且不影响交通。</w:t>
            </w:r>
          </w:p>
          <w:p>
            <w:pPr>
              <w:pStyle w:val="null3"/>
            </w:pPr>
            <w:r>
              <w:rPr>
                <w:rFonts w:ascii="仿宋_GB2312" w:hAnsi="仿宋_GB2312" w:cs="仿宋_GB2312" w:eastAsia="仿宋_GB2312"/>
              </w:rPr>
              <w:t>五、商务要求</w:t>
            </w:r>
          </w:p>
          <w:p>
            <w:pPr>
              <w:pStyle w:val="null3"/>
              <w:ind w:firstLine="400"/>
            </w:pPr>
            <w:r>
              <w:rPr>
                <w:rFonts w:ascii="仿宋_GB2312" w:hAnsi="仿宋_GB2312" w:cs="仿宋_GB2312" w:eastAsia="仿宋_GB2312"/>
              </w:rPr>
              <w:t>1.</w:t>
            </w:r>
            <w:r>
              <w:rPr>
                <w:rFonts w:ascii="仿宋_GB2312" w:hAnsi="仿宋_GB2312" w:cs="仿宋_GB2312" w:eastAsia="仿宋_GB2312"/>
              </w:rPr>
              <w:t>养护经费采用先作业后拨付的方式，合同签订后，</w:t>
            </w:r>
            <w:r>
              <w:rPr>
                <w:rFonts w:ascii="仿宋_GB2312" w:hAnsi="仿宋_GB2312" w:cs="仿宋_GB2312" w:eastAsia="仿宋_GB2312"/>
              </w:rPr>
              <w:t>采购人</w:t>
            </w:r>
            <w:r>
              <w:rPr>
                <w:rFonts w:ascii="仿宋_GB2312" w:hAnsi="仿宋_GB2312" w:cs="仿宋_GB2312" w:eastAsia="仿宋_GB2312"/>
              </w:rPr>
              <w:t xml:space="preserve"> 7 个工作日内支付成交供应商合同价的 40%作为工程预付款;</w:t>
            </w:r>
          </w:p>
          <w:p>
            <w:pPr>
              <w:pStyle w:val="null3"/>
              <w:ind w:firstLine="400"/>
            </w:pPr>
            <w:r>
              <w:rPr>
                <w:rFonts w:ascii="仿宋_GB2312" w:hAnsi="仿宋_GB2312" w:cs="仿宋_GB2312" w:eastAsia="仿宋_GB2312"/>
              </w:rPr>
              <w:t>2.</w:t>
            </w:r>
            <w:r>
              <w:rPr>
                <w:rFonts w:ascii="仿宋_GB2312" w:hAnsi="仿宋_GB2312" w:cs="仿宋_GB2312" w:eastAsia="仿宋_GB2312"/>
              </w:rPr>
              <w:t>每季度初上报上季度完成情况，经监理及甲方确</w:t>
            </w:r>
            <w:r>
              <w:rPr>
                <w:rFonts w:ascii="仿宋_GB2312" w:hAnsi="仿宋_GB2312" w:cs="仿宋_GB2312" w:eastAsia="仿宋_GB2312"/>
              </w:rPr>
              <w:t>认完成工程量，养护期结束后由政府审计部门或甲方委托的第三方审计对全年工程量进行审计得到结算评审价，甲方根据最终决算价款支付合同尾款</w:t>
            </w:r>
            <w:r>
              <w:rPr>
                <w:rFonts w:ascii="仿宋_GB2312" w:hAnsi="仿宋_GB2312" w:cs="仿宋_GB2312" w:eastAsia="仿宋_GB2312"/>
              </w:rPr>
              <w:t>(以审计结算评审价为准)。</w:t>
            </w:r>
          </w:p>
          <w:p>
            <w:pPr>
              <w:pStyle w:val="null3"/>
            </w:pPr>
            <w:r>
              <w:rPr>
                <w:rFonts w:ascii="仿宋_GB2312" w:hAnsi="仿宋_GB2312" w:cs="仿宋_GB2312" w:eastAsia="仿宋_GB2312"/>
              </w:rPr>
              <w:t>3.</w:t>
            </w:r>
            <w:r>
              <w:rPr>
                <w:rFonts w:ascii="仿宋_GB2312" w:hAnsi="仿宋_GB2312" w:cs="仿宋_GB2312" w:eastAsia="仿宋_GB2312"/>
              </w:rPr>
              <w:t>质量保修期为一年。</w:t>
            </w:r>
          </w:p>
          <w:p>
            <w:pPr>
              <w:pStyle w:val="null3"/>
            </w:pPr>
            <w:r>
              <w:rPr>
                <w:rFonts w:ascii="仿宋_GB2312" w:hAnsi="仿宋_GB2312" w:cs="仿宋_GB2312" w:eastAsia="仿宋_GB2312"/>
              </w:rPr>
              <w:t>在付款前，供应商应当先开具符合采购人要求的全额发票给采购人。（附详细清单）。</w:t>
            </w:r>
          </w:p>
          <w:p>
            <w:pPr>
              <w:pStyle w:val="null3"/>
            </w:pPr>
            <w:r>
              <w:rPr>
                <w:rFonts w:ascii="仿宋_GB2312" w:hAnsi="仿宋_GB2312" w:cs="仿宋_GB2312" w:eastAsia="仿宋_GB2312"/>
                <w:sz w:val="21"/>
              </w:rPr>
              <w:t>具体内容详见电子招标书及工程量清单。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具体内容详见项目评审办法。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1.成交单位递交纸质文件（成交单位在领取中标通知书前将纸质版投标文件正本 1套、副本2 套打印盖章后提交至采购代理机构处，以便采购人进行留存备案等工作，成交单位应保持投标文件纸质版内容与电子版内容完全一致，否则将承担一切法律责任。纸质投标文件一律采用书籍(胶装)方式装订）。</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会计报告，或其投标前三个月内基本存款账户开户银行出具的资信证明及基本存款账户开户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资格证明文件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资格证明文件 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会计报告，或其投标前三个月内基本存款账户开户银行出具的资信证明及基本存款账户开户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提供开标截止日前一年内已缴纳的至少一个月的纳税证明或完税证明，依法免税的单位应提供相关证明材料。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参加政府采购活动前3年内，在经营活动中没有重大违法记录的书面声明。（供应商声明函）。</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法定代表人授权委托书/身份证明</w:t>
            </w:r>
          </w:p>
        </w:tc>
        <w:tc>
          <w:tcPr>
            <w:tcW w:type="dxa" w:w="3322"/>
          </w:tcPr>
          <w:p>
            <w:pPr>
              <w:pStyle w:val="null3"/>
            </w:pPr>
            <w:r>
              <w:rPr>
                <w:rFonts w:ascii="仿宋_GB2312" w:hAnsi="仿宋_GB2312" w:cs="仿宋_GB2312" w:eastAsia="仿宋_GB2312"/>
              </w:rPr>
              <w:t>法定代表人参加磋商的，须出示法定代表人身份证明和身份证复印件；法定代表人授权他人参加磋商的，须提供法定代表人授权委托书及被授权人身份证复印件。</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供应商应具有建设部门颁发的市政公用工程施工总承包三级及以上资质;具备有效的安全生产许可证。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拟派项目经理具有市政公用工程专业二级及以上注册建造师证，具备有效的安全生产考核合格证书，且无在建工程。</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名单的供应商，不得为中国政府采购网（www.ccgp.gov.cn）政府采购“严重违法失信行为记录名单”中被财政部门禁止参加政府采购活动的供应商。 （供应商可不提供，以代理机构现场查询为准）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供应商及项目经理基本信息在“陕西省住房和城乡建设厅”和“全国建筑市场监管公共服务平台”(http://jzsc.mohurd.gov.cn/home)可查询 （供应商可不提供，以代理机构现场查询为准）</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A.投标（响应）报价低于全部通过符合性审查供应商投标（响应）报价平均值50%的，即投标（响应）报价&lt;全部通过符合性审查供应商投标（响应）报价平均值×50%； B.投标（响应）报价低于通过符合性审查的次低报价供应商投标（响应）报价50%的，即投标（响应）报价&lt;通过符合性审查的次低报价供应商投标（响应）报价×50%； C.投标（响应）报价低于采购项目最高限价45%的，即投标（响应）报价&lt;采购项目最高限价×45%； D.评审委员会基于专业判断，认为供应商报价过低，有可能影响产品质量或者不能诚信履约的其他情形。 相关法律法规对供应商报价有规定的，从其规定。 评审委员会启动异常低价投标（响应）审查后，属于前述第A项至第D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C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磋商响应文件的签署、加盖公章有效；</w:t>
            </w:r>
          </w:p>
        </w:tc>
        <w:tc>
          <w:tcPr>
            <w:tcW w:type="dxa" w:w="1661"/>
          </w:tcPr>
          <w:p>
            <w:pPr>
              <w:pStyle w:val="null3"/>
            </w:pPr>
            <w:r>
              <w:rPr>
                <w:rFonts w:ascii="仿宋_GB2312" w:hAnsi="仿宋_GB2312" w:cs="仿宋_GB2312" w:eastAsia="仿宋_GB2312"/>
              </w:rPr>
              <w:t>响应文件封面 已标价工程量清单 资格证明文件 供应商认为需要提供的其他资料 技术响应方案 中小企业声明函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报价未超过磋商文件中规定的最高限价的</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响应文件封面 已标价工程量清单 资格证明文件 供应商认为需要提供的其他资料 技术响应方案 中小企业声明函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 的规定。</w:t>
            </w:r>
          </w:p>
        </w:tc>
        <w:tc>
          <w:tcPr>
            <w:tcW w:type="dxa" w:w="1661"/>
          </w:tcPr>
          <w:p>
            <w:pPr>
              <w:pStyle w:val="null3"/>
            </w:pPr>
            <w:r>
              <w:rPr>
                <w:rFonts w:ascii="仿宋_GB2312" w:hAnsi="仿宋_GB2312" w:cs="仿宋_GB2312" w:eastAsia="仿宋_GB2312"/>
              </w:rPr>
              <w:t>响应文件封面 资格证明文件 供应商认为需要提供的其他资料 技术响应方案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完全理解并接受法律法规和磋商文件对供应商合法经营的各类规约和责任义务要求，未出现法律、法规或磋商文件规定的其他无效情形的。</w:t>
            </w:r>
          </w:p>
        </w:tc>
        <w:tc>
          <w:tcPr>
            <w:tcW w:type="dxa" w:w="1661"/>
          </w:tcPr>
          <w:p>
            <w:pPr>
              <w:pStyle w:val="null3"/>
            </w:pPr>
            <w:r>
              <w:rPr>
                <w:rFonts w:ascii="仿宋_GB2312" w:hAnsi="仿宋_GB2312" w:cs="仿宋_GB2312" w:eastAsia="仿宋_GB2312"/>
              </w:rPr>
              <w:t>资格证明文件 技术响应方案</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供应商提供针对本项目的施工方案，包括①施工整体流程；②关键部位施工方案(至少包含施工准备工作、施工方法、施工工艺) ；③提供施工过程中降低周边地区用电影响的技术组织措施；④劳动力配置计划。二、评审标准 1.完整性：方案必须全面，对评审内容中的各项要求有详细描述； 2.可实施性：切合本项目实际情况，实施步骤清晰、合理； 3.针对性：方案能够紧扣项目实际情况，内容科学合理。 三、赋分标准 满分得12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p>
            <w:pPr>
              <w:pStyle w:val="null3"/>
            </w:pPr>
            <w:r>
              <w:rPr>
                <w:rFonts w:ascii="仿宋_GB2312" w:hAnsi="仿宋_GB2312" w:cs="仿宋_GB2312" w:eastAsia="仿宋_GB2312"/>
              </w:rPr>
              <w:t>供应商认为需要提供的其他资料</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供应商针对本项目工期要求及施工特点，提供针对本项目的施工进度计划，包括①工期计划安排；②工期保证措施；③各专项任务的衔接；④特殊气候施工计划。 二、评审标准 1.完整性：方案必须全面，对评审内容中的各项要求有详细描述； 2.可实施性：切合本项目实际情况，实施步骤清晰、合理； 3.针对性：方案能够紧扣项目实际情况，内容科学合理。 三、赋分标准 满分得8分，评审内容每缺一项扣2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p>
            <w:pPr>
              <w:pStyle w:val="null3"/>
            </w:pPr>
            <w:r>
              <w:rPr>
                <w:rFonts w:ascii="仿宋_GB2312" w:hAnsi="仿宋_GB2312" w:cs="仿宋_GB2312" w:eastAsia="仿宋_GB2312"/>
              </w:rPr>
              <w:t>供应商认为需要提供的其他资料</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 供应商提供针对本项目的质量保障方案，能够确保项目按照交付标准要求投入正常使用，包括但不限于①施工前期、中期、后期质量保障措施；②质量全过程检查制度；③质量保证承诺。保障杜绝安全隐患，满足长期用电需求。 二、评审标准 1.完整性：方案必须全面，对评审内容中的各项要求有详细描述； 2.可实施性：切合本项目实际情况，实施步骤清晰、合理； 3.针对性：方案能够紧扣项目实际情况，内容科学合理。 三、赋分标准 满分得9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供应商认为需要提供的其他资料</w:t>
            </w:r>
          </w:p>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供应商提供针对本项目确保不可控因素的应急预案。重点包括：①道路及人行天桥应急抢修预案；②防汛应急抢险预案；③临时工程及交叉作业应急预案；④应急资源保障。 二、评审标准 1.完整性：方案必须全面，对评审内容中的各项要求有详细描述； 2.可实施性：切合本项目实际情况，实施步骤清晰、合理； 3.针对性：方案能够紧扣项目实际情况，内容科学合理。 三、赋分标准 满分得4分，评审内容每缺一项扣1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p>
            <w:pPr>
              <w:pStyle w:val="null3"/>
            </w:pPr>
            <w:r>
              <w:rPr>
                <w:rFonts w:ascii="仿宋_GB2312" w:hAnsi="仿宋_GB2312" w:cs="仿宋_GB2312" w:eastAsia="仿宋_GB2312"/>
              </w:rPr>
              <w:t>供应商认为需要提供的其他资料</w:t>
            </w:r>
          </w:p>
        </w:tc>
      </w:tr>
      <w:tr>
        <w:tc>
          <w:tcPr>
            <w:tcW w:type="dxa" w:w="831"/>
            <w:vMerge/>
          </w:tcPr>
          <w:p/>
        </w:tc>
        <w:tc>
          <w:tcPr>
            <w:tcW w:type="dxa" w:w="1661"/>
          </w:tcPr>
          <w:p>
            <w:pPr>
              <w:pStyle w:val="null3"/>
            </w:pPr>
            <w:r>
              <w:rPr>
                <w:rFonts w:ascii="仿宋_GB2312" w:hAnsi="仿宋_GB2312" w:cs="仿宋_GB2312" w:eastAsia="仿宋_GB2312"/>
              </w:rPr>
              <w:t>资源供应计划</w:t>
            </w:r>
          </w:p>
        </w:tc>
        <w:tc>
          <w:tcPr>
            <w:tcW w:type="dxa" w:w="2492"/>
          </w:tcPr>
          <w:p>
            <w:pPr>
              <w:pStyle w:val="null3"/>
            </w:pPr>
            <w:r>
              <w:rPr>
                <w:rFonts w:ascii="仿宋_GB2312" w:hAnsi="仿宋_GB2312" w:cs="仿宋_GB2312" w:eastAsia="仿宋_GB2312"/>
              </w:rPr>
              <w:t>一、评审内容 供应商针对本项目施工内容及需求拟定资源供应计划，包括但不限于①主要材料需求计划、②机械设备需求计划、③临时设施布置计划。 二、评审标准 计划制定应符合项目需求、充分考虑各项工程技术及材料要求。 三、赋分标准 满分得9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p>
            <w:pPr>
              <w:pStyle w:val="null3"/>
            </w:pPr>
            <w:r>
              <w:rPr>
                <w:rFonts w:ascii="仿宋_GB2312" w:hAnsi="仿宋_GB2312" w:cs="仿宋_GB2312" w:eastAsia="仿宋_GB2312"/>
              </w:rPr>
              <w:t>供应商认为需要提供的其他资料</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一、评审内容 供应商结合工程环境、特点，提供针对本项目的安全文明施工措施包括①安全管理人员配备②安全生产管理制度及各道工序安全技术措施（包含人员安全防护）③现场文明施工计划和环境保护措施④施工现场扬尘预防措施。 二、评审标准 内容应符合采购项目特点及要求，描述详尽且有利于保障项目实施安全和现场环境保护。 三、赋分标准 满分得8分，评审内容每缺一项扣2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p>
            <w:pPr>
              <w:pStyle w:val="null3"/>
            </w:pPr>
            <w:r>
              <w:rPr>
                <w:rFonts w:ascii="仿宋_GB2312" w:hAnsi="仿宋_GB2312" w:cs="仿宋_GB2312" w:eastAsia="仿宋_GB2312"/>
              </w:rPr>
              <w:t>供应商认为需要提供的其他资料</w:t>
            </w:r>
          </w:p>
        </w:tc>
      </w:tr>
      <w:tr>
        <w:tc>
          <w:tcPr>
            <w:tcW w:type="dxa" w:w="831"/>
            <w:vMerge/>
          </w:tcPr>
          <w:p/>
        </w:tc>
        <w:tc>
          <w:tcPr>
            <w:tcW w:type="dxa" w:w="1661"/>
          </w:tcPr>
          <w:p>
            <w:pPr>
              <w:pStyle w:val="null3"/>
            </w:pPr>
            <w:r>
              <w:rPr>
                <w:rFonts w:ascii="仿宋_GB2312" w:hAnsi="仿宋_GB2312" w:cs="仿宋_GB2312" w:eastAsia="仿宋_GB2312"/>
              </w:rPr>
              <w:t>项目组织架构</w:t>
            </w:r>
          </w:p>
        </w:tc>
        <w:tc>
          <w:tcPr>
            <w:tcW w:type="dxa" w:w="2492"/>
          </w:tcPr>
          <w:p>
            <w:pPr>
              <w:pStyle w:val="null3"/>
            </w:pPr>
            <w:r>
              <w:rPr>
                <w:rFonts w:ascii="仿宋_GB2312" w:hAnsi="仿宋_GB2312" w:cs="仿宋_GB2312" w:eastAsia="仿宋_GB2312"/>
              </w:rPr>
              <w:t>一、评审内容 针对项目具体情况制定详细的人员配备方案，方案内容包含：①项目拟派人员架构、人员分工及岗位职责；②拟投入人员的相关技能证书；③项目经理及其他技术人员经验；④人员管理制度。 二、评审标准人员配置内容全面详细、针对性强、符合本项目采购需求，能保障本项目实施。 三、赋分标准 满分得10分，评审内容每缺一项扣2.5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p>
            <w:pPr>
              <w:pStyle w:val="null3"/>
            </w:pPr>
            <w:r>
              <w:rPr>
                <w:rFonts w:ascii="仿宋_GB2312" w:hAnsi="仿宋_GB2312" w:cs="仿宋_GB2312" w:eastAsia="仿宋_GB2312"/>
              </w:rPr>
              <w:t>供应商认为需要提供的其他资料</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供应商针对本项目质量保修期内有详细具体的售后服务方案，包括但不限于①售后服务内容、②售后人员配备、③紧急抢修事故的维修措施。 二、评审标准 1.完整性：方案必须全面，对评审内容中的各项要求有详细描述； 2.可实施性：切合本项目实际情况，实施步骤清晰、合理； 3.针对性：方案能够紧扣项目实际情况，内容科学合理。 三、赋分标准 满分得6分，评审内容每缺一项扣2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p>
            <w:pPr>
              <w:pStyle w:val="null3"/>
            </w:pPr>
            <w:r>
              <w:rPr>
                <w:rFonts w:ascii="仿宋_GB2312" w:hAnsi="仿宋_GB2312" w:cs="仿宋_GB2312" w:eastAsia="仿宋_GB2312"/>
              </w:rPr>
              <w:t>供应商认为需要提供的其他资料</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提供近年（2022年1月1日至今）同类项目业绩证明文件。每提供1份，得2分，满分4分。（业绩证明文件以合同签订或中标通知书为准）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w:t>
            </w:r>
          </w:p>
          <w:p>
            <w:pPr>
              <w:pStyle w:val="null3"/>
            </w:pPr>
            <w:r>
              <w:rPr>
                <w:rFonts w:ascii="仿宋_GB2312" w:hAnsi="仿宋_GB2312" w:cs="仿宋_GB2312" w:eastAsia="仿宋_GB2312"/>
              </w:rPr>
              <w:t>供应商认为需要提供的其他资料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经资格审查、符合性审查合格的磋商响应文件，其磋商报价为有效磋商报价。满足磋商文件要求且磋商价格最低的磋商报价为评标基准价，其价格分为满分。价格分按照下列公式计算。 报价总得分=（评标基准价/磋商总报价）×30 注：本项目专门面向中小企业采购，根据财政部发布《政府采购促进中小企业发展政策问答》的规定，专门面向中小企业采购的项目或者采购包，不再执行价格评审优惠的扶持政策。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详见附件：技术响应方案</w:t>
      </w:r>
    </w:p>
    <w:p>
      <w:pPr>
        <w:pStyle w:val="null3"/>
        <w:ind w:firstLine="960"/>
      </w:pPr>
      <w:r>
        <w:rPr>
          <w:rFonts w:ascii="仿宋_GB2312" w:hAnsi="仿宋_GB2312" w:cs="仿宋_GB2312" w:eastAsia="仿宋_GB2312"/>
        </w:rPr>
        <w:t>详见附件：供应商认为需要提供的其他资料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