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0FD026">
      <w:pPr>
        <w:ind w:left="1606" w:hanging="1205" w:hangingChars="500"/>
        <w:jc w:val="center"/>
        <w:rPr>
          <w:rFonts w:hint="eastAsia" w:ascii="宋体" w:hAnsi="宋体" w:eastAsia="宋体" w:cs="宋体"/>
          <w:b/>
          <w:color w:val="auto"/>
          <w:kern w:val="0"/>
          <w:sz w:val="24"/>
          <w:szCs w:val="24"/>
          <w:lang w:eastAsia="zh-CN"/>
        </w:rPr>
      </w:pPr>
    </w:p>
    <w:p w14:paraId="3FD74E3C">
      <w:pPr>
        <w:ind w:left="1606" w:hanging="2008" w:hangingChars="500"/>
        <w:jc w:val="center"/>
        <w:rPr>
          <w:rFonts w:hint="eastAsia" w:ascii="宋体" w:hAnsi="宋体" w:eastAsia="宋体" w:cs="宋体"/>
          <w:b/>
          <w:color w:val="auto"/>
          <w:kern w:val="0"/>
          <w:sz w:val="40"/>
          <w:szCs w:val="40"/>
          <w:lang w:val="en-US" w:eastAsia="zh-CN"/>
        </w:rPr>
      </w:pPr>
      <w:r>
        <w:rPr>
          <w:rFonts w:hint="eastAsia" w:ascii="宋体" w:hAnsi="宋体" w:eastAsia="宋体" w:cs="宋体"/>
          <w:b/>
          <w:color w:val="auto"/>
          <w:kern w:val="0"/>
          <w:sz w:val="40"/>
          <w:szCs w:val="40"/>
          <w:lang w:val="en-US" w:eastAsia="zh-CN"/>
        </w:rPr>
        <w:t>宜君县2026年食品安全监督性抽检</w:t>
      </w:r>
    </w:p>
    <w:p w14:paraId="01AFC13F">
      <w:pPr>
        <w:spacing w:line="360" w:lineRule="auto"/>
        <w:jc w:val="center"/>
        <w:rPr>
          <w:rFonts w:hint="eastAsia" w:ascii="宋体" w:hAnsi="宋体" w:eastAsia="宋体" w:cs="宋体"/>
          <w:color w:val="auto"/>
          <w:szCs w:val="24"/>
          <w:u w:val="single"/>
        </w:rPr>
      </w:pPr>
    </w:p>
    <w:p w14:paraId="16401678">
      <w:pPr>
        <w:spacing w:line="360" w:lineRule="auto"/>
        <w:jc w:val="both"/>
        <w:rPr>
          <w:rFonts w:hint="eastAsia" w:ascii="宋体" w:hAnsi="宋体" w:eastAsia="宋体" w:cs="宋体"/>
          <w:color w:val="auto"/>
          <w:szCs w:val="24"/>
          <w:u w:val="single"/>
        </w:rPr>
      </w:pPr>
    </w:p>
    <w:p w14:paraId="592D844A">
      <w:pPr>
        <w:pStyle w:val="11"/>
        <w:spacing w:line="360" w:lineRule="auto"/>
        <w:rPr>
          <w:rFonts w:hint="eastAsia" w:ascii="宋体" w:hAnsi="宋体" w:eastAsia="宋体" w:cs="宋体"/>
          <w:color w:val="auto"/>
        </w:rPr>
      </w:pPr>
    </w:p>
    <w:p w14:paraId="70AE0643">
      <w:pPr>
        <w:adjustRightInd w:val="0"/>
        <w:snapToGrid w:val="0"/>
        <w:spacing w:line="360" w:lineRule="auto"/>
        <w:jc w:val="center"/>
        <w:rPr>
          <w:rFonts w:hint="eastAsia" w:ascii="宋体" w:hAnsi="宋体" w:eastAsia="宋体" w:cs="宋体"/>
          <w:b/>
          <w:bCs/>
          <w:color w:val="auto"/>
          <w:sz w:val="84"/>
          <w:szCs w:val="84"/>
        </w:rPr>
      </w:pPr>
      <w:r>
        <w:rPr>
          <w:rFonts w:hint="eastAsia" w:ascii="宋体" w:hAnsi="宋体" w:eastAsia="宋体" w:cs="宋体"/>
          <w:b/>
          <w:bCs/>
          <w:color w:val="auto"/>
          <w:sz w:val="84"/>
          <w:szCs w:val="84"/>
        </w:rPr>
        <w:t>合 同 文 件</w:t>
      </w:r>
    </w:p>
    <w:p w14:paraId="0979D4DC">
      <w:pPr>
        <w:adjustRightInd w:val="0"/>
        <w:snapToGrid w:val="0"/>
        <w:spacing w:line="360" w:lineRule="auto"/>
        <w:jc w:val="center"/>
        <w:rPr>
          <w:rFonts w:hint="eastAsia" w:ascii="宋体" w:hAnsi="宋体" w:eastAsia="宋体" w:cs="宋体"/>
          <w:color w:val="auto"/>
          <w:szCs w:val="24"/>
        </w:rPr>
      </w:pPr>
    </w:p>
    <w:p w14:paraId="519353F0">
      <w:pPr>
        <w:adjustRightInd w:val="0"/>
        <w:snapToGrid w:val="0"/>
        <w:spacing w:line="360" w:lineRule="auto"/>
        <w:rPr>
          <w:rFonts w:hint="eastAsia" w:ascii="宋体" w:hAnsi="宋体" w:eastAsia="宋体" w:cs="宋体"/>
          <w:color w:val="auto"/>
          <w:szCs w:val="24"/>
        </w:rPr>
      </w:pPr>
    </w:p>
    <w:p w14:paraId="3FCFB269">
      <w:pPr>
        <w:adjustRightInd w:val="0"/>
        <w:snapToGrid w:val="0"/>
        <w:spacing w:line="360" w:lineRule="auto"/>
        <w:rPr>
          <w:rFonts w:hint="eastAsia" w:ascii="宋体" w:hAnsi="宋体" w:eastAsia="宋体" w:cs="宋体"/>
          <w:color w:val="auto"/>
          <w:szCs w:val="24"/>
        </w:rPr>
      </w:pPr>
    </w:p>
    <w:p w14:paraId="100DE7FB">
      <w:pPr>
        <w:adjustRightInd w:val="0"/>
        <w:snapToGrid w:val="0"/>
        <w:spacing w:line="360" w:lineRule="auto"/>
        <w:rPr>
          <w:rFonts w:hint="eastAsia" w:ascii="宋体" w:hAnsi="宋体" w:eastAsia="宋体" w:cs="宋体"/>
          <w:color w:val="auto"/>
          <w:szCs w:val="24"/>
        </w:rPr>
      </w:pPr>
    </w:p>
    <w:p w14:paraId="01E15D39">
      <w:pPr>
        <w:pStyle w:val="2"/>
        <w:rPr>
          <w:rFonts w:hint="eastAsia" w:ascii="宋体" w:hAnsi="宋体" w:eastAsia="宋体" w:cs="宋体"/>
          <w:color w:val="auto"/>
          <w:szCs w:val="24"/>
        </w:rPr>
      </w:pPr>
    </w:p>
    <w:p w14:paraId="26EEEF21">
      <w:pPr>
        <w:pStyle w:val="2"/>
        <w:rPr>
          <w:rFonts w:hint="eastAsia" w:ascii="宋体" w:hAnsi="宋体" w:eastAsia="宋体" w:cs="宋体"/>
          <w:color w:val="auto"/>
          <w:szCs w:val="24"/>
        </w:rPr>
      </w:pPr>
    </w:p>
    <w:p w14:paraId="28CFFEDC">
      <w:pPr>
        <w:pStyle w:val="2"/>
        <w:rPr>
          <w:rFonts w:hint="eastAsia" w:ascii="宋体" w:hAnsi="宋体" w:eastAsia="宋体" w:cs="宋体"/>
          <w:color w:val="auto"/>
          <w:szCs w:val="24"/>
        </w:rPr>
      </w:pPr>
    </w:p>
    <w:p w14:paraId="5D22707C">
      <w:pPr>
        <w:pStyle w:val="2"/>
        <w:rPr>
          <w:rFonts w:hint="eastAsia" w:ascii="宋体" w:hAnsi="宋体" w:eastAsia="宋体" w:cs="宋体"/>
          <w:color w:val="auto"/>
          <w:szCs w:val="24"/>
        </w:rPr>
      </w:pPr>
    </w:p>
    <w:p w14:paraId="4EC1DE66">
      <w:pPr>
        <w:pStyle w:val="2"/>
        <w:rPr>
          <w:rFonts w:hint="eastAsia" w:ascii="宋体" w:hAnsi="宋体" w:eastAsia="宋体" w:cs="宋体"/>
          <w:color w:val="auto"/>
          <w:szCs w:val="24"/>
        </w:rPr>
      </w:pPr>
    </w:p>
    <w:p w14:paraId="2D972887">
      <w:pPr>
        <w:pStyle w:val="2"/>
        <w:rPr>
          <w:rFonts w:hint="eastAsia" w:ascii="宋体" w:hAnsi="宋体" w:eastAsia="宋体" w:cs="宋体"/>
          <w:color w:val="auto"/>
          <w:szCs w:val="24"/>
        </w:rPr>
      </w:pPr>
    </w:p>
    <w:p w14:paraId="2A2645FE">
      <w:pPr>
        <w:pStyle w:val="2"/>
        <w:rPr>
          <w:rFonts w:hint="eastAsia" w:ascii="宋体" w:hAnsi="宋体" w:eastAsia="宋体" w:cs="宋体"/>
          <w:color w:val="auto"/>
          <w:szCs w:val="24"/>
        </w:rPr>
      </w:pPr>
    </w:p>
    <w:p w14:paraId="10D875D4">
      <w:pPr>
        <w:adjustRightInd w:val="0"/>
        <w:snapToGrid w:val="0"/>
        <w:spacing w:line="480" w:lineRule="auto"/>
        <w:ind w:firstLine="1915" w:firstLineChars="596"/>
        <w:rPr>
          <w:rFonts w:hint="eastAsia" w:ascii="宋体" w:hAnsi="宋体" w:eastAsia="宋体" w:cs="宋体"/>
          <w:b/>
          <w:color w:val="auto"/>
          <w:sz w:val="32"/>
          <w:szCs w:val="32"/>
          <w:lang w:val="en-US" w:eastAsia="zh-CN"/>
        </w:rPr>
      </w:pPr>
      <w:r>
        <w:rPr>
          <w:rFonts w:hint="eastAsia" w:ascii="宋体" w:hAnsi="宋体" w:eastAsia="宋体" w:cs="宋体"/>
          <w:b/>
          <w:color w:val="auto"/>
          <w:sz w:val="32"/>
          <w:szCs w:val="32"/>
        </w:rPr>
        <w:t>委托方：</w:t>
      </w:r>
      <w:r>
        <w:rPr>
          <w:rFonts w:hint="eastAsia" w:ascii="宋体" w:hAnsi="宋体" w:eastAsia="宋体" w:cs="宋体"/>
          <w:b/>
          <w:color w:val="auto"/>
          <w:sz w:val="32"/>
          <w:szCs w:val="32"/>
          <w:lang w:val="en-US" w:eastAsia="zh-CN"/>
        </w:rPr>
        <w:t xml:space="preserve"> </w:t>
      </w:r>
    </w:p>
    <w:p w14:paraId="60232FDC">
      <w:pPr>
        <w:adjustRightInd w:val="0"/>
        <w:snapToGrid w:val="0"/>
        <w:spacing w:line="480" w:lineRule="auto"/>
        <w:rPr>
          <w:rFonts w:hint="eastAsia" w:ascii="宋体" w:hAnsi="宋体" w:eastAsia="宋体" w:cs="宋体"/>
          <w:b/>
          <w:color w:val="auto"/>
          <w:sz w:val="32"/>
          <w:szCs w:val="32"/>
        </w:rPr>
      </w:pPr>
      <w:r>
        <w:rPr>
          <w:rFonts w:hint="eastAsia" w:ascii="宋体" w:hAnsi="宋体" w:eastAsia="宋体" w:cs="宋体"/>
          <w:b/>
          <w:color w:val="auto"/>
          <w:sz w:val="32"/>
          <w:szCs w:val="32"/>
        </w:rPr>
        <w:t xml:space="preserve">            受托方： </w:t>
      </w:r>
    </w:p>
    <w:p w14:paraId="65A20FB4">
      <w:pPr>
        <w:adjustRightInd w:val="0"/>
        <w:snapToGrid w:val="0"/>
        <w:spacing w:line="480" w:lineRule="auto"/>
        <w:ind w:left="0" w:leftChars="0" w:firstLine="0" w:firstLineChars="0"/>
        <w:jc w:val="center"/>
        <w:rPr>
          <w:rFonts w:hint="eastAsia" w:ascii="宋体" w:hAnsi="宋体" w:eastAsia="宋体" w:cs="宋体"/>
          <w:b/>
          <w:color w:val="auto"/>
          <w:sz w:val="32"/>
          <w:szCs w:val="32"/>
        </w:rPr>
      </w:pPr>
      <w:r>
        <w:rPr>
          <w:rFonts w:hint="eastAsia" w:ascii="宋体" w:hAnsi="宋体" w:eastAsia="宋体" w:cs="宋体"/>
          <w:b/>
          <w:color w:val="auto"/>
          <w:sz w:val="32"/>
          <w:szCs w:val="32"/>
        </w:rPr>
        <w:t>二〇二</w:t>
      </w:r>
      <w:r>
        <w:rPr>
          <w:rFonts w:hint="eastAsia" w:ascii="宋体" w:hAnsi="宋体" w:cs="宋体"/>
          <w:b/>
          <w:color w:val="auto"/>
          <w:sz w:val="32"/>
          <w:szCs w:val="32"/>
          <w:lang w:val="en-US" w:eastAsia="zh-CN"/>
        </w:rPr>
        <w:t>六</w:t>
      </w:r>
      <w:r>
        <w:rPr>
          <w:rFonts w:hint="eastAsia" w:ascii="宋体" w:hAnsi="宋体" w:eastAsia="宋体" w:cs="宋体"/>
          <w:b/>
          <w:color w:val="auto"/>
          <w:sz w:val="32"/>
          <w:szCs w:val="32"/>
        </w:rPr>
        <w:t>年   月     日</w:t>
      </w:r>
    </w:p>
    <w:p w14:paraId="47AE54A8">
      <w:pPr>
        <w:pStyle w:val="12"/>
        <w:pageBreakBefore w:val="0"/>
        <w:kinsoku/>
        <w:wordWrap/>
        <w:overflowPunct/>
        <w:topLinePunct w:val="0"/>
        <w:bidi w:val="0"/>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br w:type="page"/>
      </w:r>
      <w:r>
        <w:rPr>
          <w:rFonts w:hint="eastAsia" w:ascii="宋体" w:hAnsi="宋体" w:eastAsia="宋体" w:cs="宋体"/>
          <w:color w:val="auto"/>
          <w:sz w:val="24"/>
          <w:szCs w:val="24"/>
        </w:rPr>
        <w:t xml:space="preserve">签订地点： </w:t>
      </w:r>
    </w:p>
    <w:p w14:paraId="602F8C21">
      <w:pPr>
        <w:pStyle w:val="12"/>
        <w:pageBreakBefore w:val="0"/>
        <w:kinsoku/>
        <w:wordWrap/>
        <w:overflowPunct/>
        <w:topLinePunct w:val="0"/>
        <w:bidi w:val="0"/>
        <w:adjustRightInd w:val="0"/>
        <w:snapToGrid w:val="0"/>
        <w:spacing w:line="360" w:lineRule="auto"/>
        <w:ind w:firstLine="42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签订时间</w:t>
      </w:r>
      <w:r>
        <w:rPr>
          <w:rFonts w:hint="eastAsia" w:ascii="宋体" w:hAnsi="宋体" w:eastAsia="宋体" w:cs="宋体"/>
          <w:color w:val="auto"/>
          <w:sz w:val="24"/>
          <w:szCs w:val="24"/>
          <w:lang w:eastAsia="zh-CN"/>
        </w:rPr>
        <w:t>：</w:t>
      </w:r>
    </w:p>
    <w:p w14:paraId="302F6763">
      <w:pPr>
        <w:pStyle w:val="12"/>
        <w:pageBreakBefore w:val="0"/>
        <w:kinsoku/>
        <w:wordWrap/>
        <w:overflowPunct/>
        <w:topLinePunct w:val="0"/>
        <w:bidi w:val="0"/>
        <w:adjustRightInd w:val="0"/>
        <w:snapToGrid w:val="0"/>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采购人（甲方）：</w:t>
      </w:r>
    </w:p>
    <w:p w14:paraId="78BDEAC9">
      <w:pPr>
        <w:pStyle w:val="12"/>
        <w:pageBreakBefore w:val="0"/>
        <w:kinsoku/>
        <w:wordWrap/>
        <w:overflowPunct/>
        <w:topLinePunct w:val="0"/>
        <w:bidi w:val="0"/>
        <w:adjustRightInd w:val="0"/>
        <w:snapToGrid w:val="0"/>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投标人（乙方）：</w:t>
      </w:r>
    </w:p>
    <w:p w14:paraId="1B367C7B">
      <w:pPr>
        <w:pStyle w:val="12"/>
        <w:pageBreakBefore w:val="0"/>
        <w:kinsoku/>
        <w:wordWrap/>
        <w:overflowPunct/>
        <w:topLinePunct w:val="0"/>
        <w:bidi w:val="0"/>
        <w:adjustRightInd w:val="0"/>
        <w:snapToGrid w:val="0"/>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根据《中华人民共和国政府采购法》及实施条例、《中华人民共和国民法典》第三篇和甲方</w:t>
      </w:r>
      <w:r>
        <w:rPr>
          <w:rFonts w:hint="eastAsia" w:ascii="宋体" w:hAnsi="宋体" w:eastAsia="宋体" w:cs="宋体"/>
          <w:color w:val="auto"/>
          <w:sz w:val="24"/>
          <w:szCs w:val="24"/>
          <w:u w:val="single"/>
        </w:rPr>
        <w:t xml:space="preserve"> 项目名称（项目编号：   ）</w:t>
      </w:r>
      <w:r>
        <w:rPr>
          <w:rFonts w:hint="eastAsia" w:ascii="宋体" w:hAnsi="宋体" w:eastAsia="宋体" w:cs="宋体"/>
          <w:color w:val="auto"/>
          <w:sz w:val="24"/>
          <w:szCs w:val="24"/>
        </w:rPr>
        <w:t>采购项目第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包的</w:t>
      </w:r>
      <w:r>
        <w:rPr>
          <w:rFonts w:hint="eastAsia" w:ascii="宋体" w:hAnsi="宋体" w:eastAsia="宋体" w:cs="宋体"/>
          <w:color w:val="auto"/>
          <w:sz w:val="24"/>
          <w:szCs w:val="24"/>
          <w:lang w:val="en-US" w:eastAsia="zh-CN"/>
        </w:rPr>
        <w:t>磋商</w:t>
      </w:r>
      <w:r>
        <w:rPr>
          <w:rFonts w:hint="eastAsia" w:ascii="宋体" w:hAnsi="宋体" w:eastAsia="宋体" w:cs="宋体"/>
          <w:color w:val="auto"/>
          <w:sz w:val="24"/>
          <w:szCs w:val="24"/>
        </w:rPr>
        <w:t>文件、</w:t>
      </w:r>
      <w:r>
        <w:rPr>
          <w:rFonts w:hint="eastAsia" w:ascii="宋体" w:hAnsi="宋体" w:eastAsia="宋体" w:cs="宋体"/>
          <w:color w:val="auto"/>
          <w:sz w:val="24"/>
          <w:szCs w:val="24"/>
          <w:lang w:val="en-US" w:eastAsia="zh-CN"/>
        </w:rPr>
        <w:t>磋商响应</w:t>
      </w:r>
      <w:r>
        <w:rPr>
          <w:rFonts w:hint="eastAsia" w:ascii="宋体" w:hAnsi="宋体" w:eastAsia="宋体" w:cs="宋体"/>
          <w:color w:val="auto"/>
          <w:sz w:val="24"/>
          <w:szCs w:val="24"/>
        </w:rPr>
        <w:t>文件等有关规定，为确保甲方采购项目的顺利实施，甲、乙双方在平等自愿原则下签订本合同，并共同遵守如下条款：</w:t>
      </w:r>
    </w:p>
    <w:p w14:paraId="3539D1EF">
      <w:pPr>
        <w:pageBreakBefore w:val="0"/>
        <w:kinsoku/>
        <w:wordWrap/>
        <w:overflowPunct/>
        <w:topLinePunct w:val="0"/>
        <w:bidi w:val="0"/>
        <w:adjustRightInd w:val="0"/>
        <w:snapToGrid w:val="0"/>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第一条 项目基本情况</w:t>
      </w:r>
    </w:p>
    <w:p w14:paraId="1528A896">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根据铜川市市场监督管理局《关于印发2026年铜川市食品安全抽样检验计划的通知》（铜市监发[2026]37号)文件精神，结合宜君县市场主体情况，宜君县2026年食品安全监督抽检项目，总任务量290批次。</w:t>
      </w:r>
    </w:p>
    <w:p w14:paraId="42D11C49">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第二条 合同期限</w:t>
      </w:r>
    </w:p>
    <w:p w14:paraId="79B1B086">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自合同签订之日起1年</w:t>
      </w:r>
      <w:r>
        <w:rPr>
          <w:rFonts w:hint="eastAsia" w:ascii="宋体" w:hAnsi="宋体" w:cs="宋体"/>
          <w:color w:val="auto"/>
          <w:sz w:val="24"/>
          <w:szCs w:val="24"/>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日至</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日止</w:t>
      </w:r>
      <w:r>
        <w:rPr>
          <w:rFonts w:hint="eastAsia" w:ascii="宋体" w:hAnsi="宋体" w:cs="宋体"/>
          <w:color w:val="auto"/>
          <w:sz w:val="24"/>
          <w:szCs w:val="24"/>
          <w:lang w:val="en-US" w:eastAsia="zh-CN"/>
        </w:rPr>
        <w:t>）。</w:t>
      </w:r>
    </w:p>
    <w:p w14:paraId="11BEF522">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4"/>
          <w:szCs w:val="24"/>
        </w:rPr>
      </w:pPr>
      <w:bookmarkStart w:id="0" w:name="_Toc239233914"/>
      <w:bookmarkStart w:id="1" w:name="_Toc239568418"/>
      <w:bookmarkStart w:id="2" w:name="_Toc225244852"/>
      <w:bookmarkStart w:id="3" w:name="_Toc225670751"/>
      <w:bookmarkStart w:id="4" w:name="_Toc225654644"/>
      <w:bookmarkStart w:id="5" w:name="_Toc238984975"/>
      <w:bookmarkStart w:id="6" w:name="_Toc241833903"/>
      <w:bookmarkStart w:id="7" w:name="_Toc237145406"/>
      <w:bookmarkStart w:id="8" w:name="_Toc212019594"/>
      <w:bookmarkStart w:id="9" w:name="_Toc247334841"/>
      <w:bookmarkStart w:id="10" w:name="_Toc251768862"/>
      <w:bookmarkStart w:id="11" w:name="_Toc286993786"/>
      <w:bookmarkStart w:id="12" w:name="_Toc283019214"/>
      <w:bookmarkStart w:id="13" w:name="_Toc211911348"/>
      <w:bookmarkStart w:id="14" w:name="_Toc232492928"/>
      <w:bookmarkStart w:id="15" w:name="_Toc211854449"/>
      <w:bookmarkStart w:id="16" w:name="_Toc185395249"/>
      <w:bookmarkStart w:id="17" w:name="_Toc282696226"/>
      <w:r>
        <w:rPr>
          <w:rFonts w:hint="eastAsia" w:ascii="宋体" w:hAnsi="宋体" w:eastAsia="宋体" w:cs="宋体"/>
          <w:b/>
          <w:color w:val="auto"/>
          <w:sz w:val="24"/>
          <w:szCs w:val="24"/>
        </w:rPr>
        <w:t>第三条 服务内容与质量标准</w:t>
      </w:r>
    </w:p>
    <w:p w14:paraId="1BEAA0A2">
      <w:pPr>
        <w:pStyle w:val="12"/>
        <w:pageBreakBefore w:val="0"/>
        <w:kinsoku/>
        <w:wordWrap/>
        <w:overflowPunct/>
        <w:topLinePunct w:val="0"/>
        <w:bidi w:val="0"/>
        <w:adjustRightInd w:val="0"/>
        <w:snapToGrid w:val="0"/>
        <w:spacing w:line="360" w:lineRule="auto"/>
        <w:ind w:firstLine="720" w:firstLineChars="300"/>
        <w:rPr>
          <w:rFonts w:hint="eastAsia" w:ascii="宋体" w:hAnsi="宋体" w:eastAsia="宋体" w:cs="宋体"/>
          <w:color w:val="auto"/>
          <w:sz w:val="24"/>
          <w:szCs w:val="24"/>
        </w:rPr>
      </w:pPr>
      <w:r>
        <w:rPr>
          <w:rFonts w:hint="eastAsia" w:ascii="宋体" w:hAnsi="宋体" w:eastAsia="宋体" w:cs="宋体"/>
          <w:color w:val="auto"/>
          <w:sz w:val="24"/>
          <w:szCs w:val="24"/>
        </w:rPr>
        <w:t>服务内容：按照甲方要求，依据相关法律法规提供食品检验检测，出具有效的检验报告，并对报告真实性负责。</w:t>
      </w:r>
    </w:p>
    <w:p w14:paraId="52C82340">
      <w:pPr>
        <w:pStyle w:val="12"/>
        <w:pageBreakBefore w:val="0"/>
        <w:kinsoku/>
        <w:wordWrap/>
        <w:overflowPunct/>
        <w:topLinePunct w:val="0"/>
        <w:bidi w:val="0"/>
        <w:adjustRightInd w:val="0"/>
        <w:snapToGrid w:val="0"/>
        <w:spacing w:line="360" w:lineRule="auto"/>
        <w:ind w:firstLine="720" w:firstLineChars="300"/>
        <w:rPr>
          <w:rFonts w:hint="eastAsia" w:ascii="宋体" w:hAnsi="宋体" w:eastAsia="宋体" w:cs="宋体"/>
          <w:color w:val="auto"/>
          <w:sz w:val="24"/>
          <w:szCs w:val="24"/>
        </w:rPr>
      </w:pPr>
      <w:r>
        <w:rPr>
          <w:rFonts w:hint="eastAsia" w:ascii="宋体" w:hAnsi="宋体" w:eastAsia="宋体" w:cs="宋体"/>
          <w:color w:val="auto"/>
          <w:sz w:val="24"/>
          <w:szCs w:val="24"/>
        </w:rPr>
        <w:t>质量标准：依照检测样品的国家标准。对没有国家标准的，可按照地方标准、卫生标准、质量标准和相关的行业标准、地方标准、企业标准、产品标签明示值或国家明文规定的限量值及国家指定的特定检验方法等进行检验。</w:t>
      </w:r>
    </w:p>
    <w:p w14:paraId="1B31000D">
      <w:pPr>
        <w:pageBreakBefore w:val="0"/>
        <w:kinsoku/>
        <w:wordWrap/>
        <w:overflowPunct/>
        <w:topLinePunct w:val="0"/>
        <w:bidi w:val="0"/>
        <w:adjustRightInd w:val="0"/>
        <w:snapToGrid w:val="0"/>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第四条 服务费用</w:t>
      </w:r>
    </w:p>
    <w:p w14:paraId="79AF5376">
      <w:pPr>
        <w:pStyle w:val="3"/>
        <w:pageBreakBefore w:val="0"/>
        <w:widowControl w:val="0"/>
        <w:kinsoku/>
        <w:wordWrap/>
        <w:overflowPunct/>
        <w:topLinePunct w:val="0"/>
        <w:autoSpaceDE/>
        <w:autoSpaceDN/>
        <w:bidi w:val="0"/>
        <w:adjustRightInd w:val="0"/>
        <w:snapToGrid w:val="0"/>
        <w:spacing w:before="0" w:beforeLines="0" w:after="0" w:afterLines="0" w:line="360" w:lineRule="auto"/>
        <w:ind w:firstLine="480" w:firstLineChars="200"/>
        <w:jc w:val="both"/>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1.</w:t>
      </w:r>
      <w:r>
        <w:rPr>
          <w:rFonts w:hint="eastAsia" w:ascii="宋体" w:hAnsi="宋体" w:eastAsia="宋体" w:cs="宋体"/>
          <w:b w:val="0"/>
          <w:color w:val="auto"/>
          <w:sz w:val="24"/>
          <w:szCs w:val="24"/>
          <w:lang w:val="en-US" w:eastAsia="zh-CN"/>
        </w:rPr>
        <w:t>检测</w:t>
      </w:r>
      <w:r>
        <w:rPr>
          <w:rFonts w:hint="eastAsia" w:ascii="宋体" w:hAnsi="宋体" w:eastAsia="宋体" w:cs="宋体"/>
          <w:b w:val="0"/>
          <w:color w:val="auto"/>
          <w:sz w:val="24"/>
          <w:szCs w:val="24"/>
        </w:rPr>
        <w:t>服务总费用暂定为人民币（大写）：</w:t>
      </w:r>
      <w:r>
        <w:rPr>
          <w:rFonts w:hint="eastAsia" w:ascii="宋体" w:hAnsi="宋体" w:eastAsia="宋体" w:cs="宋体"/>
          <w:b w:val="0"/>
          <w:color w:val="auto"/>
          <w:sz w:val="24"/>
          <w:szCs w:val="24"/>
          <w:u w:val="single"/>
        </w:rPr>
        <w:t xml:space="preserve">             </w:t>
      </w:r>
      <w:r>
        <w:rPr>
          <w:rFonts w:hint="eastAsia" w:ascii="宋体" w:hAnsi="宋体" w:eastAsia="宋体" w:cs="宋体"/>
          <w:b w:val="0"/>
          <w:color w:val="auto"/>
          <w:sz w:val="24"/>
          <w:szCs w:val="24"/>
        </w:rPr>
        <w:t>元， ￥</w:t>
      </w:r>
      <w:r>
        <w:rPr>
          <w:rFonts w:hint="eastAsia" w:ascii="宋体" w:hAnsi="宋体" w:eastAsia="宋体" w:cs="宋体"/>
          <w:b w:val="0"/>
          <w:color w:val="auto"/>
          <w:sz w:val="24"/>
          <w:szCs w:val="24"/>
          <w:u w:val="single"/>
        </w:rPr>
        <w:t xml:space="preserve">           </w:t>
      </w:r>
      <w:r>
        <w:rPr>
          <w:rFonts w:hint="eastAsia" w:ascii="宋体" w:hAnsi="宋体" w:eastAsia="宋体" w:cs="宋体"/>
          <w:b w:val="0"/>
          <w:color w:val="auto"/>
          <w:sz w:val="24"/>
          <w:szCs w:val="24"/>
        </w:rPr>
        <w:t>。</w:t>
      </w:r>
    </w:p>
    <w:p w14:paraId="77DDEEAD">
      <w:pPr>
        <w:pStyle w:val="7"/>
        <w:pageBreakBefore w:val="0"/>
        <w:widowControl w:val="0"/>
        <w:kinsoku/>
        <w:wordWrap/>
        <w:overflowPunct/>
        <w:topLinePunct w:val="0"/>
        <w:autoSpaceDE/>
        <w:autoSpaceDN/>
        <w:bidi w:val="0"/>
        <w:adjustRightInd w:val="0"/>
        <w:snapToGrid w:val="0"/>
        <w:spacing w:line="360" w:lineRule="auto"/>
        <w:ind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.合同执行的最终价款不得超过本项目（包）的采购预算。</w:t>
      </w:r>
    </w:p>
    <w:p w14:paraId="6C90BDF5">
      <w:pPr>
        <w:pStyle w:val="7"/>
        <w:pageBreakBefore w:val="0"/>
        <w:widowControl w:val="0"/>
        <w:kinsoku/>
        <w:wordWrap/>
        <w:overflowPunct/>
        <w:topLinePunct w:val="0"/>
        <w:autoSpaceDE/>
        <w:autoSpaceDN/>
        <w:bidi w:val="0"/>
        <w:adjustRightInd w:val="0"/>
        <w:snapToGrid w:val="0"/>
        <w:spacing w:line="360" w:lineRule="auto"/>
        <w:ind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.检测费用（综合</w:t>
      </w:r>
      <w:r>
        <w:rPr>
          <w:rFonts w:hint="eastAsia" w:ascii="宋体" w:hAnsi="宋体" w:eastAsia="宋体" w:cs="宋体"/>
          <w:color w:val="auto"/>
          <w:sz w:val="24"/>
          <w:szCs w:val="24"/>
          <w:lang w:val="en-US" w:eastAsia="zh-CN"/>
        </w:rPr>
        <w:t>总价</w:t>
      </w:r>
      <w:r>
        <w:rPr>
          <w:rFonts w:hint="eastAsia" w:ascii="宋体" w:hAnsi="宋体" w:eastAsia="宋体" w:cs="宋体"/>
          <w:color w:val="auto"/>
          <w:sz w:val="24"/>
          <w:szCs w:val="24"/>
        </w:rPr>
        <w:t>）包括人工费、买样费、设备费、管理费、验收费、利润和税金等全部费用，如有遗漏视为已包含</w:t>
      </w:r>
      <w:r>
        <w:rPr>
          <w:rFonts w:hint="eastAsia" w:ascii="宋体" w:hAnsi="宋体" w:eastAsia="宋体" w:cs="宋体"/>
          <w:color w:val="auto"/>
          <w:sz w:val="24"/>
          <w:szCs w:val="24"/>
          <w:lang w:eastAsia="zh-CN"/>
        </w:rPr>
        <w:t>。</w:t>
      </w:r>
    </w:p>
    <w:p w14:paraId="3AD84A1C">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.本合同执行期间，甲方无须另向乙方支付本合同规定之外的其他任何费用。</w:t>
      </w:r>
    </w:p>
    <w:p w14:paraId="0E73BA69">
      <w:pPr>
        <w:pageBreakBefore w:val="0"/>
        <w:kinsoku/>
        <w:wordWrap/>
        <w:overflowPunct/>
        <w:topLinePunct w:val="0"/>
        <w:bidi w:val="0"/>
        <w:adjustRightInd w:val="0"/>
        <w:snapToGrid w:val="0"/>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第五条  服务费支付方式</w:t>
      </w:r>
    </w:p>
    <w:p w14:paraId="79955EC5">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rPr>
        <w:t>1.投标人的检测费用（</w:t>
      </w:r>
      <w:r>
        <w:rPr>
          <w:rFonts w:hint="eastAsia" w:ascii="宋体" w:hAnsi="宋体" w:eastAsia="宋体" w:cs="宋体"/>
          <w:color w:val="auto"/>
          <w:sz w:val="24"/>
          <w:szCs w:val="24"/>
          <w:lang w:val="en-US" w:eastAsia="zh-CN"/>
        </w:rPr>
        <w:t>投标总报价</w:t>
      </w:r>
      <w:r>
        <w:rPr>
          <w:rFonts w:hint="eastAsia" w:ascii="宋体" w:hAnsi="宋体" w:eastAsia="宋体" w:cs="宋体"/>
          <w:color w:val="auto"/>
          <w:sz w:val="24"/>
          <w:szCs w:val="24"/>
        </w:rPr>
        <w:t>）应当包括人工费、买样费、检测费、管理费、验收费、利润和税金等全部费用，如有遗漏视为已包含。</w:t>
      </w:r>
    </w:p>
    <w:p w14:paraId="41D79159">
      <w:pPr>
        <w:pStyle w:val="12"/>
        <w:pageBreakBefore w:val="0"/>
        <w:kinsoku/>
        <w:wordWrap/>
        <w:overflowPunct/>
        <w:topLinePunct w:val="0"/>
        <w:bidi w:val="0"/>
        <w:adjustRightInd w:val="0"/>
        <w:snapToGrid w:val="0"/>
        <w:spacing w:line="360" w:lineRule="auto"/>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2.付款方式：合同签订后 ，达到付款条件起 10 日内，支付合同总金额的 50.00%。</w:t>
      </w:r>
    </w:p>
    <w:p w14:paraId="78C6902E">
      <w:pPr>
        <w:pStyle w:val="12"/>
        <w:pageBreakBefore w:val="0"/>
        <w:kinsoku/>
        <w:wordWrap/>
        <w:overflowPunct/>
        <w:topLinePunct w:val="0"/>
        <w:bidi w:val="0"/>
        <w:adjustRightInd w:val="0"/>
        <w:snapToGrid w:val="0"/>
        <w:spacing w:line="360" w:lineRule="auto"/>
        <w:ind w:left="0" w:leftChars="0" w:firstLine="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项目结束后 ，达到付款条件起 10 日内，支付合同总金额的 50.00%。</w:t>
      </w:r>
    </w:p>
    <w:p w14:paraId="18B51B85">
      <w:pPr>
        <w:pStyle w:val="12"/>
        <w:pageBreakBefore w:val="0"/>
        <w:kinsoku/>
        <w:wordWrap/>
        <w:overflowPunct/>
        <w:topLinePunct w:val="0"/>
        <w:bidi w:val="0"/>
        <w:adjustRightInd w:val="0"/>
        <w:snapToGrid w:val="0"/>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3.乙方须向甲方出具合法有效的完税发票，甲方进行支付结算。</w:t>
      </w:r>
    </w:p>
    <w:p w14:paraId="59DBC306">
      <w:pPr>
        <w:pStyle w:val="12"/>
        <w:pageBreakBefore w:val="0"/>
        <w:kinsoku/>
        <w:wordWrap/>
        <w:overflowPunct/>
        <w:topLinePunct w:val="0"/>
        <w:bidi w:val="0"/>
        <w:adjustRightInd w:val="0"/>
        <w:snapToGrid w:val="0"/>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4.如因乙方出具的完税发票错误（不符合甲方要求）或者其他原因导致当年财政资金无法落实，责任自负。</w:t>
      </w:r>
    </w:p>
    <w:p w14:paraId="1DD35DE1">
      <w:pPr>
        <w:pageBreakBefore w:val="0"/>
        <w:kinsoku/>
        <w:wordWrap/>
        <w:overflowPunct/>
        <w:topLinePunct w:val="0"/>
        <w:bidi w:val="0"/>
        <w:adjustRightInd w:val="0"/>
        <w:snapToGrid w:val="0"/>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第六条  知识产权</w:t>
      </w:r>
    </w:p>
    <w:p w14:paraId="323C9383">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
          <w:color w:val="auto"/>
          <w:sz w:val="24"/>
          <w:szCs w:val="24"/>
        </w:rPr>
      </w:pPr>
      <w:r>
        <w:rPr>
          <w:rFonts w:hint="eastAsia" w:ascii="宋体" w:hAnsi="宋体" w:eastAsia="宋体" w:cs="宋体"/>
          <w:color w:val="auto"/>
          <w:sz w:val="24"/>
          <w:szCs w:val="24"/>
        </w:rPr>
        <w:t>乙方应保证所提供的服务或其任何一部分均不会侵犯任何第三方的专利权、商标权或著作权。</w:t>
      </w:r>
    </w:p>
    <w:p w14:paraId="4FBD3E28">
      <w:pPr>
        <w:pageBreakBefore w:val="0"/>
        <w:kinsoku/>
        <w:wordWrap/>
        <w:overflowPunct/>
        <w:topLinePunct w:val="0"/>
        <w:bidi w:val="0"/>
        <w:adjustRightInd w:val="0"/>
        <w:snapToGrid w:val="0"/>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第七条  无产权瑕疵条款</w:t>
      </w:r>
    </w:p>
    <w:p w14:paraId="78C9F6C6">
      <w:pPr>
        <w:pageBreakBefore w:val="0"/>
        <w:tabs>
          <w:tab w:val="left" w:pos="1440"/>
        </w:tabs>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乙方保证所提供的服务的所有权完全属于乙方且无任何抵押、查封等产权瑕疵。如有产权瑕疵的，视为乙方违约。乙方应负担由此而产生的一切损失。</w:t>
      </w:r>
    </w:p>
    <w:p w14:paraId="44AF25FB">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 </w:t>
      </w:r>
      <w:r>
        <w:rPr>
          <w:rFonts w:hint="eastAsia" w:ascii="宋体" w:hAnsi="宋体" w:eastAsia="宋体" w:cs="宋体"/>
          <w:b/>
          <w:color w:val="auto"/>
          <w:sz w:val="24"/>
          <w:szCs w:val="24"/>
          <w:lang w:eastAsia="zh-CN"/>
        </w:rPr>
        <w:t>履约保证金</w:t>
      </w:r>
    </w:p>
    <w:p w14:paraId="68CD2285">
      <w:pPr>
        <w:pStyle w:val="2"/>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1．乙方在签订本合同之前，向甲方构提交履约保证金人民币______元，￥______。</w:t>
      </w:r>
    </w:p>
    <w:p w14:paraId="091FF092">
      <w:pPr>
        <w:pStyle w:val="2"/>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2．履约保证金的有效期为乙方承诺的服务期限。</w:t>
      </w:r>
    </w:p>
    <w:p w14:paraId="56C3C87C">
      <w:pPr>
        <w:pStyle w:val="2"/>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3．履约保证金作为违约金的一部分及用于补偿甲方因乙方不能履行合同义务而蒙受的损失。</w:t>
      </w:r>
    </w:p>
    <w:p w14:paraId="7F439263">
      <w:pPr>
        <w:pStyle w:val="2"/>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4．服务期限结束后，甲方财务部门接到甲方确认本合同服务等约定事项已经履行完毕的正式书面文件后的__</w:t>
      </w:r>
      <w:r>
        <w:rPr>
          <w:rFonts w:hint="eastAsia" w:ascii="宋体" w:hAnsi="宋体" w:eastAsia="宋体" w:cs="宋体"/>
          <w:b w:val="0"/>
          <w:bCs/>
          <w:color w:val="auto"/>
          <w:sz w:val="24"/>
          <w:szCs w:val="24"/>
          <w:u w:val="single"/>
          <w:lang w:val="en-US" w:eastAsia="zh-CN"/>
        </w:rPr>
        <w:t xml:space="preserve">  </w:t>
      </w:r>
      <w:r>
        <w:rPr>
          <w:rFonts w:hint="eastAsia" w:ascii="宋体" w:hAnsi="宋体" w:eastAsia="宋体" w:cs="宋体"/>
          <w:b w:val="0"/>
          <w:bCs/>
          <w:color w:val="auto"/>
          <w:sz w:val="24"/>
          <w:szCs w:val="24"/>
        </w:rPr>
        <w:t>_日历日内，向乙方退还履约保证金。</w:t>
      </w:r>
    </w:p>
    <w:p w14:paraId="6CF623D3">
      <w:pPr>
        <w:pStyle w:val="2"/>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宋体" w:hAnsi="宋体" w:eastAsia="宋体" w:cs="宋体"/>
          <w:b/>
          <w:color w:val="auto"/>
          <w:sz w:val="24"/>
          <w:szCs w:val="24"/>
        </w:rPr>
      </w:pPr>
      <w:r>
        <w:rPr>
          <w:rFonts w:hint="eastAsia" w:ascii="宋体" w:hAnsi="宋体" w:eastAsia="宋体" w:cs="宋体"/>
          <w:b w:val="0"/>
          <w:bCs/>
          <w:color w:val="auto"/>
          <w:sz w:val="24"/>
          <w:szCs w:val="24"/>
        </w:rPr>
        <w:t>5．乙方可以履约担保函的形式交纳履约保证金。</w:t>
      </w:r>
    </w:p>
    <w:p w14:paraId="74DF341D">
      <w:pPr>
        <w:keepNext w:val="0"/>
        <w:keepLines w:val="0"/>
        <w:pageBreakBefore w:val="0"/>
        <w:widowControl w:val="0"/>
        <w:numPr>
          <w:ilvl w:val="0"/>
          <w:numId w:val="1"/>
        </w:numPr>
        <w:kinsoku/>
        <w:wordWrap/>
        <w:overflowPunct/>
        <w:topLinePunct w:val="0"/>
        <w:bidi w:val="0"/>
        <w:adjustRightInd w:val="0"/>
        <w:snapToGrid w:val="0"/>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甲方的权利和义务</w:t>
      </w:r>
    </w:p>
    <w:p w14:paraId="1E98B930">
      <w:pPr>
        <w:keepNext w:val="0"/>
        <w:keepLines w:val="0"/>
        <w:pageBreakBefore w:val="0"/>
        <w:widowControl w:val="0"/>
        <w:kinsoku/>
        <w:wordWrap/>
        <w:overflowPunct/>
        <w:topLinePunct w:val="0"/>
        <w:bidi w:val="0"/>
        <w:adjustRightInd w:val="0"/>
        <w:snapToGri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5AD497F0">
      <w:pPr>
        <w:pageBreakBefore w:val="0"/>
        <w:kinsoku/>
        <w:wordWrap/>
        <w:overflowPunct/>
        <w:topLinePunct w:val="0"/>
        <w:bidi w:val="0"/>
        <w:adjustRightInd w:val="0"/>
        <w:snapToGri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2.甲方有权依据双方签订的考评办法对乙方提供的服务进行定期考评。当考评结果未达到标准时，有权依据考评办法约定的数额扣除检验服务费。</w:t>
      </w:r>
    </w:p>
    <w:p w14:paraId="50EEE17A">
      <w:pPr>
        <w:pageBreakBefore w:val="0"/>
        <w:kinsoku/>
        <w:wordWrap/>
        <w:overflowPunct/>
        <w:topLinePunct w:val="0"/>
        <w:bidi w:val="0"/>
        <w:adjustRightInd w:val="0"/>
        <w:snapToGri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3.负责检查监督乙方管理工作的实施及制度的执行情况。</w:t>
      </w:r>
    </w:p>
    <w:p w14:paraId="41F36936">
      <w:pPr>
        <w:pageBreakBefore w:val="0"/>
        <w:kinsoku/>
        <w:wordWrap/>
        <w:overflowPunct/>
        <w:topLinePunct w:val="0"/>
        <w:bidi w:val="0"/>
        <w:adjustRightInd w:val="0"/>
        <w:snapToGri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4.根据本合同规定，按时向乙方支付应付服务费用。</w:t>
      </w:r>
    </w:p>
    <w:p w14:paraId="18E7FB06">
      <w:pPr>
        <w:pageBreakBefore w:val="0"/>
        <w:kinsoku/>
        <w:wordWrap/>
        <w:overflowPunct/>
        <w:topLinePunct w:val="0"/>
        <w:bidi w:val="0"/>
        <w:adjustRightInd w:val="0"/>
        <w:snapToGri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5.国家法律、法规所规定由甲方承担的其它责任。</w:t>
      </w:r>
    </w:p>
    <w:p w14:paraId="322D8866">
      <w:pPr>
        <w:pageBreakBefore w:val="0"/>
        <w:kinsoku/>
        <w:wordWrap/>
        <w:overflowPunct/>
        <w:topLinePunct w:val="0"/>
        <w:bidi w:val="0"/>
        <w:adjustRightInd w:val="0"/>
        <w:snapToGrid w:val="0"/>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第</w:t>
      </w:r>
      <w:r>
        <w:rPr>
          <w:rFonts w:hint="eastAsia" w:ascii="宋体" w:hAnsi="宋体" w:eastAsia="宋体" w:cs="宋体"/>
          <w:b/>
          <w:color w:val="auto"/>
          <w:sz w:val="24"/>
          <w:szCs w:val="24"/>
          <w:lang w:val="en-US" w:eastAsia="zh-CN"/>
        </w:rPr>
        <w:t>十</w:t>
      </w:r>
      <w:r>
        <w:rPr>
          <w:rFonts w:hint="eastAsia" w:ascii="宋体" w:hAnsi="宋体" w:eastAsia="宋体" w:cs="宋体"/>
          <w:b/>
          <w:color w:val="auto"/>
          <w:sz w:val="24"/>
          <w:szCs w:val="24"/>
        </w:rPr>
        <w:t>条  乙方的权利和义务</w:t>
      </w:r>
    </w:p>
    <w:p w14:paraId="12EA2734">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1.乙方应当按照甲方的检验计划和划定抽样检验区域开展工作，未经甲方许可不得私自跨区域抽检，并对抽样检验数据、检验样品保密，不得将抽样检验计划告知被抽样单位，不得对外泄露有关抽样检验情况和结果，不得利用检验结果开展未经甲方同意的其他活动。</w:t>
      </w:r>
    </w:p>
    <w:p w14:paraId="03B6EDDF">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2.乙方必须提供专业的协助采样服务，抽样时指定2名以上（含2名）专业技术人员全面负责样品采集技术支持工作，提供现场采样工具等设备，样品采集技术必须经过专门培训，熟悉和掌握样品采集方法和相关技术要求。</w:t>
      </w:r>
    </w:p>
    <w:p w14:paraId="66B96C02">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3.乙方不得将检验任务外包或分包给其他检测机构检验。乙方承担甲方监督抽检任务期间，不得接受被抽检单位同一批号的同类产品的委托检验，不得接受被抽样人和相关单位的宴请、礼品，以及可能影响检验结果公正性的相关活动。</w:t>
      </w:r>
    </w:p>
    <w:p w14:paraId="204AD202">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4.乙方收到检品后15个工作日出具检验报告。对于特殊、涉案样品的检验，3天出结果，</w:t>
      </w:r>
      <w:r>
        <w:rPr>
          <w:rFonts w:hint="eastAsia" w:ascii="宋体" w:hAnsi="宋体" w:eastAsia="宋体" w:cs="宋体"/>
          <w:bCs/>
          <w:color w:val="auto"/>
          <w:sz w:val="24"/>
          <w:szCs w:val="24"/>
          <w:lang w:val="en-US" w:eastAsia="zh-CN"/>
        </w:rPr>
        <w:t>5</w:t>
      </w:r>
      <w:r>
        <w:rPr>
          <w:rFonts w:hint="eastAsia" w:ascii="宋体" w:hAnsi="宋体" w:eastAsia="宋体" w:cs="宋体"/>
          <w:bCs/>
          <w:color w:val="auto"/>
          <w:sz w:val="24"/>
          <w:szCs w:val="24"/>
        </w:rPr>
        <w:t>天出报告。涉案样品需要配合司法机关调查、取证的应当积极配合。同时，乙方应及时向甲方提交检验报告。检验报告结论为合格的，乙方应当在检验结论做出后10个工作日内将检验报告转交甲方；检验报告结论为不合格的，乙方应当在检验结论做出后2个工作日内将检验报告交甲方。转交报告时应当附有报告明细单，并经甲方签字确认。乙方未按规定时间出具报告或转交甲方报告的，甲方有权不支付相应报告检验费用。乙方在检验过程发现不合格样品或问题样品中含有非食用物质或者其他可能存在较高或急性健康风险问题的，应在确认检验结果后立即电话告知甲方，并尽快出具检验报告。</w:t>
      </w:r>
    </w:p>
    <w:p w14:paraId="3D7244A8">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5.乙方应当保证抽样检验效率，降低废样率。出现废样情况时，应在3日内告知甲方废样信息及原因，废样不支付检验费用。乙方应于每月25日前向甲方提交本单位当月抽检明细，抽检明细应包括被抽检单位名称、样品名称、抽样单编号、检验项目等信息。</w:t>
      </w:r>
    </w:p>
    <w:p w14:paraId="595A219A">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6.甲方对检验结果有异议的，应在一个月内凭检验证书原件向检验方要求复检，乙方应于十日内安排复检。复检结果维持原检验结果的，甲方须按规定向检验方支付复检费。复检结果确认原检验结果有误的，乙方不再收取复检费。</w:t>
      </w:r>
    </w:p>
    <w:p w14:paraId="1DD60E26">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7.乙方负责抽检信息的网上录入工作。样品抽检、检验后，乙方应及时登录“国家食品安全抽检监测信息系统”，准确、完整地录入样品抽检、检验信息。</w:t>
      </w:r>
    </w:p>
    <w:p w14:paraId="6FB465B1">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8.乙方对甲方提出的有关咨询问题负有及时解释的责任，并根据检验检测品种和检验情况撰写半年、全年食品安全分析报告，提交甲方。</w:t>
      </w:r>
    </w:p>
    <w:p w14:paraId="5FCB0CF9">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9.按照本合同约定及时完成各项工作任务。</w:t>
      </w:r>
    </w:p>
    <w:p w14:paraId="0ADEADB9">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10.国家法律、法规所规定由乙方承担的其它责任。</w:t>
      </w:r>
    </w:p>
    <w:p w14:paraId="16DF9142">
      <w:pPr>
        <w:pageBreakBefore w:val="0"/>
        <w:kinsoku/>
        <w:wordWrap/>
        <w:overflowPunct/>
        <w:topLinePunct w:val="0"/>
        <w:bidi w:val="0"/>
        <w:adjustRightInd w:val="0"/>
        <w:snapToGrid w:val="0"/>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第十</w:t>
      </w:r>
      <w:r>
        <w:rPr>
          <w:rFonts w:hint="eastAsia" w:ascii="宋体" w:hAnsi="宋体" w:eastAsia="宋体" w:cs="宋体"/>
          <w:b/>
          <w:color w:val="auto"/>
          <w:sz w:val="24"/>
          <w:szCs w:val="24"/>
          <w:lang w:eastAsia="zh-CN"/>
        </w:rPr>
        <w:t>一</w:t>
      </w:r>
      <w:r>
        <w:rPr>
          <w:rFonts w:hint="eastAsia" w:ascii="宋体" w:hAnsi="宋体" w:eastAsia="宋体" w:cs="宋体"/>
          <w:b/>
          <w:color w:val="auto"/>
          <w:sz w:val="24"/>
          <w:szCs w:val="24"/>
        </w:rPr>
        <w:t>条  工作方式</w:t>
      </w:r>
    </w:p>
    <w:p w14:paraId="6BBA106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1.能提供高效抽检服务，服务期限内提供24小时服务，能接受抽样工作委托，有专门团队负责配合采样。</w:t>
      </w:r>
    </w:p>
    <w:p w14:paraId="74D307EE">
      <w:pPr>
        <w:keepNext w:val="0"/>
        <w:keepLines w:val="0"/>
        <w:pageBreakBefore w:val="0"/>
        <w:widowControl w:val="0"/>
        <w:kinsoku/>
        <w:wordWrap/>
        <w:overflowPunct/>
        <w:topLinePunct w:val="0"/>
        <w:autoSpaceDE/>
        <w:autoSpaceDN/>
        <w:bidi w:val="0"/>
        <w:adjustRightInd w:val="0"/>
        <w:snapToGrid w:val="0"/>
        <w:spacing w:afterAutospacing="0"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2.乙方收到检品后</w:t>
      </w:r>
      <w:r>
        <w:rPr>
          <w:rFonts w:hint="eastAsia" w:ascii="宋体" w:hAnsi="宋体" w:eastAsia="宋体" w:cs="宋体"/>
          <w:bCs/>
          <w:color w:val="auto"/>
          <w:sz w:val="24"/>
          <w:szCs w:val="24"/>
          <w:highlight w:val="none"/>
          <w:lang w:val="en-US" w:eastAsia="zh-CN"/>
        </w:rPr>
        <w:t>15</w:t>
      </w:r>
      <w:r>
        <w:rPr>
          <w:rFonts w:hint="eastAsia" w:ascii="宋体" w:hAnsi="宋体" w:eastAsia="宋体" w:cs="宋体"/>
          <w:bCs/>
          <w:color w:val="auto"/>
          <w:sz w:val="24"/>
          <w:szCs w:val="24"/>
          <w:highlight w:val="none"/>
        </w:rPr>
        <w:t>个工作日出具检验报告。对于特殊、涉案样品的检验，3天出结果，</w:t>
      </w: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 xml:space="preserve">天出报告。　　    </w:t>
      </w:r>
    </w:p>
    <w:p w14:paraId="58ABA09A">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3.乙方须向甲方提供优质的服务，检验质量符合计量认证有关要求，检验报告书及时通知并交给甲方签收。</w:t>
      </w:r>
    </w:p>
    <w:p w14:paraId="728B5FA2">
      <w:pPr>
        <w:pageBreakBefore w:val="0"/>
        <w:kinsoku/>
        <w:wordWrap/>
        <w:overflowPunct/>
        <w:topLinePunct w:val="0"/>
        <w:bidi w:val="0"/>
        <w:adjustRightInd w:val="0"/>
        <w:snapToGrid w:val="0"/>
        <w:spacing w:beforeAutospacing="0" w:line="360" w:lineRule="auto"/>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rPr>
        <w:t>第十</w:t>
      </w:r>
      <w:r>
        <w:rPr>
          <w:rFonts w:hint="eastAsia" w:ascii="宋体" w:hAnsi="宋体" w:eastAsia="宋体" w:cs="宋体"/>
          <w:b/>
          <w:color w:val="auto"/>
          <w:sz w:val="24"/>
          <w:szCs w:val="24"/>
          <w:lang w:val="en-US" w:eastAsia="zh-CN"/>
        </w:rPr>
        <w:t>二</w:t>
      </w:r>
      <w:r>
        <w:rPr>
          <w:rFonts w:hint="eastAsia" w:ascii="宋体" w:hAnsi="宋体" w:eastAsia="宋体" w:cs="宋体"/>
          <w:b/>
          <w:color w:val="auto"/>
          <w:sz w:val="24"/>
          <w:szCs w:val="24"/>
        </w:rPr>
        <w:t xml:space="preserve">条  </w:t>
      </w:r>
      <w:r>
        <w:rPr>
          <w:rFonts w:hint="eastAsia" w:ascii="宋体" w:hAnsi="宋体" w:eastAsia="宋体" w:cs="宋体"/>
          <w:b/>
          <w:color w:val="auto"/>
          <w:sz w:val="24"/>
          <w:szCs w:val="24"/>
          <w:lang w:val="en-US" w:eastAsia="zh-CN"/>
        </w:rPr>
        <w:t>质量验收</w:t>
      </w:r>
    </w:p>
    <w:p w14:paraId="1A8086CF">
      <w:pPr>
        <w:pageBreakBefore w:val="0"/>
        <w:kinsoku/>
        <w:wordWrap/>
        <w:overflowPunct/>
        <w:topLinePunct w:val="0"/>
        <w:bidi w:val="0"/>
        <w:adjustRightInd w:val="0"/>
        <w:snapToGrid w:val="0"/>
        <w:spacing w:before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1.交收检验：中标人按月完成抽检后，由采购人、中标人（协助）对本次服务检查，检查内容包括：采样及信息录入工作等。若检测信息与抽检计划项目要求不符，采购人将拒绝接收。</w:t>
      </w:r>
    </w:p>
    <w:p w14:paraId="5F8396F4">
      <w:pPr>
        <w:pageBreakBefore w:val="0"/>
        <w:kinsoku/>
        <w:wordWrap/>
        <w:overflowPunct/>
        <w:topLinePunct w:val="0"/>
        <w:bidi w:val="0"/>
        <w:adjustRightInd w:val="0"/>
        <w:snapToGrid w:val="0"/>
        <w:spacing w:before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2.最终验收：交收验收合格后的，采购人根据中标人递交的本月（次）检验验收报告进行最终验收。</w:t>
      </w:r>
    </w:p>
    <w:p w14:paraId="1392A84B">
      <w:pPr>
        <w:pageBreakBefore w:val="0"/>
        <w:kinsoku/>
        <w:wordWrap/>
        <w:overflowPunct/>
        <w:topLinePunct w:val="0"/>
        <w:bidi w:val="0"/>
        <w:adjustRightInd w:val="0"/>
        <w:snapToGrid w:val="0"/>
        <w:spacing w:before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3.验收不合格的中标人，必须在接到通知后7个日历日内进行整改，确保检验检测工作正常进行。若未整改影响检验检测工作正常进行，则终止其服务合同，并赔偿采购人的损失。</w:t>
      </w:r>
    </w:p>
    <w:p w14:paraId="67222EC5">
      <w:pPr>
        <w:pageBreakBefore w:val="0"/>
        <w:kinsoku/>
        <w:wordWrap/>
        <w:overflowPunct/>
        <w:topLinePunct w:val="0"/>
        <w:bidi w:val="0"/>
        <w:adjustRightInd w:val="0"/>
        <w:snapToGrid w:val="0"/>
        <w:spacing w:before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4.验收依据</w:t>
      </w:r>
    </w:p>
    <w:p w14:paraId="56FE42B6">
      <w:pPr>
        <w:pageBreakBefore w:val="0"/>
        <w:kinsoku/>
        <w:wordWrap/>
        <w:overflowPunct/>
        <w:topLinePunct w:val="0"/>
        <w:bidi w:val="0"/>
        <w:adjustRightInd w:val="0"/>
        <w:snapToGrid w:val="0"/>
        <w:spacing w:before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A.合同文本； </w:t>
      </w:r>
    </w:p>
    <w:p w14:paraId="64826A7D">
      <w:pPr>
        <w:pageBreakBefore w:val="0"/>
        <w:kinsoku/>
        <w:wordWrap/>
        <w:overflowPunct/>
        <w:topLinePunct w:val="0"/>
        <w:bidi w:val="0"/>
        <w:adjustRightInd w:val="0"/>
        <w:snapToGrid w:val="0"/>
        <w:spacing w:before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B.检验验收报告。</w:t>
      </w:r>
    </w:p>
    <w:p w14:paraId="2E314964">
      <w:pPr>
        <w:pageBreakBefore w:val="0"/>
        <w:kinsoku/>
        <w:wordWrap/>
        <w:overflowPunct/>
        <w:topLinePunct w:val="0"/>
        <w:bidi w:val="0"/>
        <w:adjustRightInd w:val="0"/>
        <w:snapToGrid w:val="0"/>
        <w:spacing w:beforeAutospacing="0"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 xml:space="preserve">第十三条  </w:t>
      </w:r>
      <w:r>
        <w:rPr>
          <w:rFonts w:hint="eastAsia" w:ascii="宋体" w:hAnsi="宋体" w:eastAsia="宋体" w:cs="宋体"/>
          <w:b/>
          <w:color w:val="auto"/>
          <w:sz w:val="24"/>
          <w:szCs w:val="24"/>
        </w:rPr>
        <w:t>违约责任</w:t>
      </w:r>
    </w:p>
    <w:p w14:paraId="6448CE56">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1.中标人承检机构出具虚假、错误检验数据和结论，一经发现，采购人有权立即终止合同。</w:t>
      </w:r>
    </w:p>
    <w:p w14:paraId="7C94BD1D">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2.如因中标人未全面履行合同义务或者发生违约，采购人有权终止合同，依法向中标人进行经济索赔，并报请政府采购监督管理机关进行相应的行政处罚。采购人违约的，应当赔偿给中标人造成的直接经济损失。</w:t>
      </w:r>
    </w:p>
    <w:p w14:paraId="552B884E">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3.中标人工作人员在履行职务过程中的疏忽、失职、过错等故意或者过失原因给采购人造成损失或侵害，包括但不限于采购人本身的财产损失、由此而导致的采购人对任何第三方的法律责任等，中标人对此均应承担全部的赔偿责任。因中标人责任而造成延期，每超过一天按合同总价款的5‰支付采购人误期赔偿金，直至交货或提供服务结束为止，所有因延期而产生的费用由中标人承担。</w:t>
      </w:r>
    </w:p>
    <w:p w14:paraId="6203E0FB">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rPr>
        <w:t>4.中标人应确保抽样具有高靶向性。问题食品发现率的考评基准为3%，低于3%时，采购人有权介入，介入后仍未达到考评基准，采购人有权解除合同，并根据实际情况扣除相应的服务费用（不合格率每低0.1%，扣除成交项目总预算金额的1%）</w:t>
      </w:r>
      <w:r>
        <w:rPr>
          <w:rFonts w:hint="eastAsia" w:ascii="宋体" w:hAnsi="宋体" w:eastAsia="宋体" w:cs="宋体"/>
          <w:bCs/>
          <w:color w:val="auto"/>
          <w:sz w:val="24"/>
          <w:szCs w:val="24"/>
          <w:lang w:eastAsia="zh-CN"/>
        </w:rPr>
        <w:t>。</w:t>
      </w:r>
    </w:p>
    <w:p w14:paraId="245C8A9A">
      <w:pPr>
        <w:pageBreakBefore w:val="0"/>
        <w:kinsoku/>
        <w:wordWrap/>
        <w:overflowPunct/>
        <w:topLinePunct w:val="0"/>
        <w:bidi w:val="0"/>
        <w:adjustRightInd w:val="0"/>
        <w:snapToGrid w:val="0"/>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第十</w:t>
      </w:r>
      <w:r>
        <w:rPr>
          <w:rFonts w:hint="eastAsia" w:ascii="宋体" w:hAnsi="宋体" w:eastAsia="宋体" w:cs="宋体"/>
          <w:b/>
          <w:color w:val="auto"/>
          <w:sz w:val="24"/>
          <w:szCs w:val="24"/>
          <w:lang w:val="en-US" w:eastAsia="zh-CN"/>
        </w:rPr>
        <w:t>四</w:t>
      </w:r>
      <w:r>
        <w:rPr>
          <w:rFonts w:hint="eastAsia" w:ascii="宋体" w:hAnsi="宋体" w:eastAsia="宋体" w:cs="宋体"/>
          <w:b/>
          <w:color w:val="auto"/>
          <w:sz w:val="24"/>
          <w:szCs w:val="24"/>
        </w:rPr>
        <w:t>条  不可抗力事件处理</w:t>
      </w:r>
    </w:p>
    <w:p w14:paraId="038F7033">
      <w:pPr>
        <w:pageBreakBefore w:val="0"/>
        <w:tabs>
          <w:tab w:val="left" w:pos="0"/>
        </w:tabs>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1.在合同有效期内，任何一方因不可抗力事件导致不能履行合同，则合同履行期可延长，其延长期与不可抗力影响期相同。</w:t>
      </w:r>
    </w:p>
    <w:p w14:paraId="51A90739">
      <w:pPr>
        <w:pageBreakBefore w:val="0"/>
        <w:tabs>
          <w:tab w:val="left" w:pos="0"/>
        </w:tabs>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2.不可抗力事件发生后，应立即通知对方，并寄送有关权威机构出具的证明。</w:t>
      </w:r>
    </w:p>
    <w:p w14:paraId="50395B0C">
      <w:pPr>
        <w:pageBreakBefore w:val="0"/>
        <w:tabs>
          <w:tab w:val="left" w:pos="0"/>
        </w:tabs>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3.不可抗力事件延续</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1BA299F4">
      <w:pPr>
        <w:pageBreakBefore w:val="0"/>
        <w:kinsoku/>
        <w:wordWrap/>
        <w:overflowPunct/>
        <w:topLinePunct w:val="0"/>
        <w:bidi w:val="0"/>
        <w:adjustRightInd w:val="0"/>
        <w:snapToGrid w:val="0"/>
        <w:spacing w:line="360" w:lineRule="auto"/>
        <w:rPr>
          <w:rFonts w:hint="eastAsia" w:ascii="宋体" w:hAnsi="宋体" w:eastAsia="宋体" w:cs="宋体"/>
          <w:b/>
          <w:color w:val="auto"/>
          <w:sz w:val="24"/>
          <w:szCs w:val="24"/>
        </w:rPr>
      </w:pPr>
      <w:bookmarkStart w:id="18" w:name="_Toc225244857"/>
      <w:bookmarkStart w:id="19" w:name="_Toc225670756"/>
      <w:bookmarkStart w:id="20" w:name="_Toc237145411"/>
      <w:bookmarkStart w:id="21" w:name="_Toc238984980"/>
      <w:bookmarkStart w:id="22" w:name="_Toc185395254"/>
      <w:bookmarkStart w:id="23" w:name="_Toc247334846"/>
      <w:bookmarkStart w:id="24" w:name="_Toc286993792"/>
      <w:bookmarkStart w:id="25" w:name="_Toc239568423"/>
      <w:bookmarkStart w:id="26" w:name="_Toc211854454"/>
      <w:bookmarkStart w:id="27" w:name="_Toc251768867"/>
      <w:bookmarkStart w:id="28" w:name="_Toc239233919"/>
      <w:bookmarkStart w:id="29" w:name="_Toc232492933"/>
      <w:bookmarkStart w:id="30" w:name="_Toc211911353"/>
      <w:bookmarkStart w:id="31" w:name="_Toc225654649"/>
      <w:bookmarkStart w:id="32" w:name="_Toc212019599"/>
      <w:bookmarkStart w:id="33" w:name="_Toc241833908"/>
      <w:r>
        <w:rPr>
          <w:rFonts w:hint="eastAsia" w:ascii="宋体" w:hAnsi="宋体" w:eastAsia="宋体" w:cs="宋体"/>
          <w:b/>
          <w:color w:val="auto"/>
          <w:sz w:val="24"/>
          <w:szCs w:val="24"/>
        </w:rPr>
        <w:t>第十</w:t>
      </w:r>
      <w:r>
        <w:rPr>
          <w:rFonts w:hint="eastAsia" w:ascii="宋体" w:hAnsi="宋体" w:eastAsia="宋体" w:cs="宋体"/>
          <w:b/>
          <w:color w:val="auto"/>
          <w:sz w:val="24"/>
          <w:szCs w:val="24"/>
          <w:lang w:eastAsia="zh-CN"/>
        </w:rPr>
        <w:t>五</w:t>
      </w:r>
      <w:r>
        <w:rPr>
          <w:rFonts w:hint="eastAsia" w:ascii="宋体" w:hAnsi="宋体" w:eastAsia="宋体" w:cs="宋体"/>
          <w:b/>
          <w:color w:val="auto"/>
          <w:sz w:val="24"/>
          <w:szCs w:val="24"/>
        </w:rPr>
        <w:t>条  合同的变更和终止</w:t>
      </w:r>
    </w:p>
    <w:p w14:paraId="2D900601">
      <w:pPr>
        <w:pageBreakBefore w:val="0"/>
        <w:widowControl/>
        <w:kinsoku/>
        <w:wordWrap/>
        <w:overflowPunct/>
        <w:topLinePunct w:val="0"/>
        <w:bidi w:val="0"/>
        <w:adjustRightInd w:val="0"/>
        <w:snapToGri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除《中华人民共和国政府采购法》第49条、第50条第二款规定的情形外，本合同一经签订，甲乙双方不得擅自变更、中止或终止合同。</w:t>
      </w:r>
    </w:p>
    <w:p w14:paraId="6BF905DA">
      <w:pPr>
        <w:pageBreakBefore w:val="0"/>
        <w:kinsoku/>
        <w:wordWrap/>
        <w:overflowPunct/>
        <w:topLinePunct w:val="0"/>
        <w:bidi w:val="0"/>
        <w:adjustRightInd w:val="0"/>
        <w:snapToGrid w:val="0"/>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第十</w:t>
      </w:r>
      <w:r>
        <w:rPr>
          <w:rFonts w:hint="eastAsia" w:ascii="宋体" w:hAnsi="宋体" w:eastAsia="宋体" w:cs="宋体"/>
          <w:b/>
          <w:color w:val="auto"/>
          <w:sz w:val="24"/>
          <w:szCs w:val="24"/>
          <w:lang w:val="en-US" w:eastAsia="zh-CN"/>
        </w:rPr>
        <w:t>六</w:t>
      </w:r>
      <w:r>
        <w:rPr>
          <w:rFonts w:hint="eastAsia" w:ascii="宋体" w:hAnsi="宋体" w:eastAsia="宋体" w:cs="宋体"/>
          <w:b/>
          <w:color w:val="auto"/>
          <w:sz w:val="24"/>
          <w:szCs w:val="24"/>
        </w:rPr>
        <w:t>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01A7D3D">
      <w:pPr>
        <w:pStyle w:val="12"/>
        <w:pageBreakBefore w:val="0"/>
        <w:kinsoku/>
        <w:wordWrap/>
        <w:overflowPunct/>
        <w:topLinePunct w:val="0"/>
        <w:bidi w:val="0"/>
        <w:adjustRightInd w:val="0"/>
        <w:snapToGrid w:val="0"/>
        <w:spacing w:line="360" w:lineRule="auto"/>
        <w:ind w:firstLine="420"/>
        <w:rPr>
          <w:rFonts w:hint="eastAsia" w:ascii="宋体" w:hAnsi="宋体" w:eastAsia="宋体" w:cs="宋体"/>
          <w:color w:val="auto"/>
          <w:kern w:val="0"/>
          <w:sz w:val="24"/>
          <w:szCs w:val="24"/>
        </w:rPr>
      </w:pPr>
      <w:r>
        <w:rPr>
          <w:rFonts w:hint="eastAsia" w:ascii="宋体" w:hAnsi="宋体" w:eastAsia="宋体" w:cs="宋体"/>
          <w:color w:val="auto"/>
          <w:sz w:val="24"/>
          <w:szCs w:val="24"/>
        </w:rPr>
        <w:t>1.在执行本合同中发生的或与本合同有关的争端，双方应通过友好协商解决，经协商在XX天内不能达成协议时，</w:t>
      </w:r>
      <w:r>
        <w:rPr>
          <w:rFonts w:hint="eastAsia" w:ascii="宋体" w:hAnsi="宋体" w:eastAsia="宋体" w:cs="宋体"/>
          <w:color w:val="auto"/>
          <w:kern w:val="0"/>
          <w:sz w:val="24"/>
          <w:szCs w:val="24"/>
        </w:rPr>
        <w:t>则采取以下第__1__种方式解决争议：</w:t>
      </w:r>
    </w:p>
    <w:p w14:paraId="0ABB59AD">
      <w:pPr>
        <w:pStyle w:val="12"/>
        <w:pageBreakBefore w:val="0"/>
        <w:kinsoku/>
        <w:wordWrap/>
        <w:overflowPunct/>
        <w:topLinePunct w:val="0"/>
        <w:bidi w:val="0"/>
        <w:adjustRightInd w:val="0"/>
        <w:snapToGrid w:val="0"/>
        <w:spacing w:line="360" w:lineRule="auto"/>
        <w:ind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（1）向甲方所在地有管辖权的人民法院提起诉讼；</w:t>
      </w:r>
    </w:p>
    <w:p w14:paraId="5956D513">
      <w:pPr>
        <w:pStyle w:val="12"/>
        <w:pageBreakBefore w:val="0"/>
        <w:kinsoku/>
        <w:wordWrap/>
        <w:overflowPunct/>
        <w:topLinePunct w:val="0"/>
        <w:bidi w:val="0"/>
        <w:adjustRightInd w:val="0"/>
        <w:snapToGrid w:val="0"/>
        <w:spacing w:line="360" w:lineRule="auto"/>
        <w:ind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（2）向__</w:t>
      </w:r>
      <w:r>
        <w:rPr>
          <w:rFonts w:hint="eastAsia" w:ascii="宋体" w:hAnsi="宋体" w:eastAsia="宋体" w:cs="宋体"/>
          <w:color w:val="auto"/>
          <w:kern w:val="0"/>
          <w:sz w:val="24"/>
          <w:szCs w:val="24"/>
          <w:u w:val="single"/>
          <w:lang w:val="en-US" w:eastAsia="zh-CN"/>
        </w:rPr>
        <w:t xml:space="preserve">项目所在地 </w:t>
      </w:r>
      <w:r>
        <w:rPr>
          <w:rFonts w:hint="eastAsia" w:ascii="宋体" w:hAnsi="宋体" w:eastAsia="宋体" w:cs="宋体"/>
          <w:color w:val="auto"/>
          <w:kern w:val="0"/>
          <w:sz w:val="24"/>
          <w:szCs w:val="24"/>
        </w:rPr>
        <w:t>_仲裁委员会按其仲裁规则申请仲裁。</w:t>
      </w:r>
    </w:p>
    <w:p w14:paraId="3A4E2FCF">
      <w:pPr>
        <w:pageBreakBefore w:val="0"/>
        <w:tabs>
          <w:tab w:val="left" w:pos="0"/>
        </w:tabs>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kern w:val="0"/>
          <w:sz w:val="24"/>
          <w:szCs w:val="24"/>
        </w:rPr>
        <w:t>2.在仲裁期间，本合同应继续履行。</w:t>
      </w:r>
    </w:p>
    <w:p w14:paraId="2033F09D">
      <w:pPr>
        <w:pageBreakBefore w:val="0"/>
        <w:kinsoku/>
        <w:wordWrap/>
        <w:overflowPunct/>
        <w:topLinePunct w:val="0"/>
        <w:bidi w:val="0"/>
        <w:adjustRightInd w:val="0"/>
        <w:snapToGrid w:val="0"/>
        <w:spacing w:line="360" w:lineRule="auto"/>
        <w:rPr>
          <w:rFonts w:hint="eastAsia" w:ascii="宋体" w:hAnsi="宋体" w:eastAsia="宋体" w:cs="宋体"/>
          <w:b/>
          <w:color w:val="auto"/>
          <w:sz w:val="24"/>
          <w:szCs w:val="24"/>
        </w:rPr>
      </w:pPr>
      <w:bookmarkStart w:id="34" w:name="_Toc239233920"/>
      <w:bookmarkStart w:id="35" w:name="_Toc286993793"/>
      <w:bookmarkStart w:id="36" w:name="_Toc212019600"/>
      <w:bookmarkStart w:id="37" w:name="_Toc251768868"/>
      <w:bookmarkStart w:id="38" w:name="_Toc282696231"/>
      <w:bookmarkStart w:id="39" w:name="_Toc225670757"/>
      <w:bookmarkStart w:id="40" w:name="_Toc238984981"/>
      <w:bookmarkStart w:id="41" w:name="_Toc225244858"/>
      <w:bookmarkStart w:id="42" w:name="_Toc185395255"/>
      <w:bookmarkStart w:id="43" w:name="_Toc283019219"/>
      <w:bookmarkStart w:id="44" w:name="_Toc211911354"/>
      <w:bookmarkStart w:id="45" w:name="_Toc241833909"/>
      <w:bookmarkStart w:id="46" w:name="_Toc237145412"/>
      <w:bookmarkStart w:id="47" w:name="_Toc211854455"/>
      <w:bookmarkStart w:id="48" w:name="_Toc247334847"/>
      <w:bookmarkStart w:id="49" w:name="_Toc232492934"/>
      <w:bookmarkStart w:id="50" w:name="_Toc239568424"/>
      <w:bookmarkStart w:id="51" w:name="_Toc225654650"/>
      <w:r>
        <w:rPr>
          <w:rFonts w:hint="eastAsia" w:ascii="宋体" w:hAnsi="宋体" w:eastAsia="宋体" w:cs="宋体"/>
          <w:b/>
          <w:color w:val="auto"/>
          <w:sz w:val="24"/>
          <w:szCs w:val="24"/>
        </w:rPr>
        <w:t>第十</w:t>
      </w:r>
      <w:r>
        <w:rPr>
          <w:rFonts w:hint="eastAsia" w:ascii="宋体" w:hAnsi="宋体" w:eastAsia="宋体" w:cs="宋体"/>
          <w:b/>
          <w:color w:val="auto"/>
          <w:sz w:val="24"/>
          <w:szCs w:val="24"/>
          <w:lang w:val="en-US" w:eastAsia="zh-CN"/>
        </w:rPr>
        <w:t>七</w:t>
      </w:r>
      <w:r>
        <w:rPr>
          <w:rFonts w:hint="eastAsia" w:ascii="宋体" w:hAnsi="宋体" w:eastAsia="宋体" w:cs="宋体"/>
          <w:b/>
          <w:color w:val="auto"/>
          <w:sz w:val="24"/>
          <w:szCs w:val="24"/>
        </w:rPr>
        <w:t>条  附件</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86DE75F">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1.项目</w:t>
      </w:r>
      <w:r>
        <w:rPr>
          <w:rFonts w:hint="eastAsia" w:ascii="宋体" w:hAnsi="宋体" w:eastAsia="宋体" w:cs="宋体"/>
          <w:color w:val="auto"/>
          <w:sz w:val="24"/>
          <w:szCs w:val="24"/>
          <w:lang w:val="en-US" w:eastAsia="zh-CN"/>
        </w:rPr>
        <w:t>磋商</w:t>
      </w:r>
      <w:r>
        <w:rPr>
          <w:rFonts w:hint="eastAsia" w:ascii="宋体" w:hAnsi="宋体" w:eastAsia="宋体" w:cs="宋体"/>
          <w:color w:val="auto"/>
          <w:sz w:val="24"/>
          <w:szCs w:val="24"/>
        </w:rPr>
        <w:t>文件</w:t>
      </w:r>
    </w:p>
    <w:p w14:paraId="250E7FBD">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2.项目修改澄清文件</w:t>
      </w:r>
    </w:p>
    <w:p w14:paraId="33784D7C">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3.项目</w:t>
      </w:r>
      <w:r>
        <w:rPr>
          <w:rFonts w:hint="eastAsia" w:ascii="宋体" w:hAnsi="宋体" w:eastAsia="宋体" w:cs="宋体"/>
          <w:color w:val="auto"/>
          <w:sz w:val="24"/>
          <w:szCs w:val="24"/>
          <w:lang w:val="en-US" w:eastAsia="zh-CN"/>
        </w:rPr>
        <w:t>磋商响应</w:t>
      </w:r>
      <w:r>
        <w:rPr>
          <w:rFonts w:hint="eastAsia" w:ascii="宋体" w:hAnsi="宋体" w:eastAsia="宋体" w:cs="宋体"/>
          <w:color w:val="auto"/>
          <w:sz w:val="24"/>
          <w:szCs w:val="24"/>
        </w:rPr>
        <w:t>文件</w:t>
      </w:r>
    </w:p>
    <w:p w14:paraId="5B36166E">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val="en-US" w:eastAsia="zh-CN"/>
        </w:rPr>
        <w:t>中标（成交）</w:t>
      </w:r>
      <w:r>
        <w:rPr>
          <w:rFonts w:hint="eastAsia" w:ascii="宋体" w:hAnsi="宋体" w:eastAsia="宋体" w:cs="宋体"/>
          <w:color w:val="auto"/>
          <w:sz w:val="24"/>
          <w:szCs w:val="24"/>
        </w:rPr>
        <w:t>通知书</w:t>
      </w:r>
    </w:p>
    <w:p w14:paraId="4CF9644F">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5.其他</w:t>
      </w:r>
    </w:p>
    <w:p w14:paraId="48008DB8">
      <w:pPr>
        <w:pageBreakBefore w:val="0"/>
        <w:kinsoku/>
        <w:wordWrap/>
        <w:overflowPunct/>
        <w:topLinePunct w:val="0"/>
        <w:bidi w:val="0"/>
        <w:adjustRightInd w:val="0"/>
        <w:snapToGrid w:val="0"/>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第十</w:t>
      </w:r>
      <w:r>
        <w:rPr>
          <w:rFonts w:hint="eastAsia" w:ascii="宋体" w:hAnsi="宋体" w:eastAsia="宋体" w:cs="宋体"/>
          <w:b/>
          <w:color w:val="auto"/>
          <w:sz w:val="24"/>
          <w:szCs w:val="24"/>
          <w:lang w:val="en-US" w:eastAsia="zh-CN"/>
        </w:rPr>
        <w:t>八</w:t>
      </w:r>
      <w:r>
        <w:rPr>
          <w:rFonts w:hint="eastAsia" w:ascii="宋体" w:hAnsi="宋体" w:eastAsia="宋体" w:cs="宋体"/>
          <w:b/>
          <w:color w:val="auto"/>
          <w:sz w:val="24"/>
          <w:szCs w:val="24"/>
        </w:rPr>
        <w:t xml:space="preserve">条 </w:t>
      </w:r>
      <w:r>
        <w:rPr>
          <w:rFonts w:hint="eastAsia" w:ascii="宋体" w:hAnsi="宋体" w:eastAsia="宋体" w:cs="宋体"/>
          <w:b/>
          <w:color w:val="auto"/>
          <w:sz w:val="24"/>
          <w:szCs w:val="24"/>
          <w:lang w:val="en-US" w:eastAsia="zh-CN"/>
        </w:rPr>
        <w:t xml:space="preserve"> </w:t>
      </w:r>
      <w:r>
        <w:rPr>
          <w:rFonts w:hint="eastAsia" w:ascii="宋体" w:hAnsi="宋体" w:eastAsia="宋体" w:cs="宋体"/>
          <w:b/>
          <w:color w:val="auto"/>
          <w:sz w:val="24"/>
          <w:szCs w:val="24"/>
        </w:rPr>
        <w:t>合同生效及其他</w:t>
      </w:r>
    </w:p>
    <w:p w14:paraId="77ACE3CA">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1.合同经双方法定代表人或委托代理人签字并加盖单位章后生效。</w:t>
      </w:r>
    </w:p>
    <w:p w14:paraId="5769D8AE">
      <w:pPr>
        <w:pStyle w:val="13"/>
        <w:pageBreakBefore w:val="0"/>
        <w:kinsoku/>
        <w:wordWrap/>
        <w:overflowPunct/>
        <w:topLinePunct w:val="0"/>
        <w:bidi w:val="0"/>
        <w:adjustRightInd w:val="0"/>
        <w:snapToGrid w:val="0"/>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2.合同执行中涉及采购资金和采购内容修改或补充的，须经政府采购监管部门审批，并签书面补充协议报政府采购监督管理部门备案，方可作为主合同不可分割的一部分。</w:t>
      </w:r>
    </w:p>
    <w:p w14:paraId="6D1D1E09">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3.本合同一式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份，自双方签章之日起起效。甲方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份，乙方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w:t>
      </w:r>
    </w:p>
    <w:p w14:paraId="0A3A072B">
      <w:pPr>
        <w:pageBreakBefore w:val="0"/>
        <w:kinsoku/>
        <w:wordWrap/>
        <w:overflowPunct/>
        <w:topLinePunct w:val="0"/>
        <w:bidi w:val="0"/>
        <w:adjustRightInd w:val="0"/>
        <w:snapToGrid w:val="0"/>
        <w:spacing w:line="360" w:lineRule="auto"/>
        <w:rPr>
          <w:rFonts w:hint="eastAsia" w:ascii="宋体" w:hAnsi="宋体" w:eastAsia="宋体" w:cs="宋体"/>
          <w:color w:val="auto"/>
          <w:sz w:val="24"/>
          <w:szCs w:val="24"/>
        </w:rPr>
      </w:pPr>
    </w:p>
    <w:p w14:paraId="1444B974">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甲方：   （盖章）   </w:t>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ab/>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乙方：   （盖章）</w:t>
      </w:r>
    </w:p>
    <w:p w14:paraId="0A165AC7">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法定代表人/委托代理人：                     法定代表人/委托代理人：</w:t>
      </w:r>
    </w:p>
    <w:p w14:paraId="2A96B96A">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地    址：                                  地    址：</w:t>
      </w:r>
    </w:p>
    <w:p w14:paraId="64042F44">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开户银行：                                  开户银行：</w:t>
      </w:r>
    </w:p>
    <w:p w14:paraId="399C6A46">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账    号：                                  账    号：</w:t>
      </w:r>
    </w:p>
    <w:p w14:paraId="20FDD656">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电    话：                                  电    话：</w:t>
      </w:r>
    </w:p>
    <w:p w14:paraId="6461C131">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传    真：                                  传    真：</w:t>
      </w:r>
    </w:p>
    <w:p w14:paraId="4CB94A55">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签约日期：    年  月  日                    签约日期：    年  月  日</w:t>
      </w:r>
    </w:p>
    <w:p w14:paraId="204316F9">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p>
    <w:p w14:paraId="54D61BA4">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bookmarkStart w:id="52" w:name="_GoBack"/>
      <w:bookmarkEnd w:id="52"/>
      <w:r>
        <w:rPr>
          <w:rFonts w:hint="eastAsia" w:ascii="宋体" w:hAnsi="宋体" w:eastAsia="宋体" w:cs="宋体"/>
          <w:color w:val="auto"/>
          <w:sz w:val="24"/>
          <w:szCs w:val="24"/>
        </w:rPr>
        <w:t>注：本合同模板仅为合同的参考文本，合同签订双方可根据项目的具体要求进行修改。</w:t>
      </w:r>
    </w:p>
    <w:p w14:paraId="2E882DA4">
      <w:pPr>
        <w:rPr>
          <w:rFonts w:hint="eastAsia" w:ascii="宋体" w:hAnsi="宋体" w:eastAsia="宋体" w:cs="宋体"/>
        </w:rPr>
      </w:pPr>
    </w:p>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BE5D2D"/>
    <w:multiLevelType w:val="singleLevel"/>
    <w:tmpl w:val="40BE5D2D"/>
    <w:lvl w:ilvl="0" w:tentative="0">
      <w:start w:val="8"/>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wZjFjMjViN2I4MDZhZmE5MzgxZGNmN2MxNTg1MTAifQ=="/>
  </w:docVars>
  <w:rsids>
    <w:rsidRoot w:val="00000000"/>
    <w:rsid w:val="46642CBD"/>
    <w:rsid w:val="5C681848"/>
    <w:rsid w:val="6939247D"/>
    <w:rsid w:val="6B4E3E49"/>
    <w:rsid w:val="7446252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2"/>
    <w:basedOn w:val="1"/>
    <w:next w:val="4"/>
    <w:qFormat/>
    <w:uiPriority w:val="0"/>
    <w:pPr>
      <w:keepNext/>
      <w:keepLines/>
      <w:spacing w:before="120" w:beforeLines="0" w:after="120" w:afterLines="0" w:line="360" w:lineRule="auto"/>
      <w:jc w:val="center"/>
      <w:outlineLvl w:val="1"/>
    </w:pPr>
    <w:rPr>
      <w:rFonts w:ascii="Arial" w:hAnsi="Arial"/>
      <w:b/>
      <w:bCs/>
      <w:sz w:val="28"/>
      <w:szCs w:val="32"/>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5">
    <w:name w:val="Body Text"/>
    <w:basedOn w:val="1"/>
    <w:next w:val="1"/>
    <w:qFormat/>
    <w:uiPriority w:val="0"/>
    <w:rPr>
      <w:color w:val="993300"/>
      <w:sz w:val="24"/>
    </w:rPr>
  </w:style>
  <w:style w:type="paragraph" w:styleId="6">
    <w:name w:val="Body Text Indent"/>
    <w:basedOn w:val="1"/>
    <w:next w:val="1"/>
    <w:uiPriority w:val="0"/>
    <w:pPr>
      <w:ind w:firstLine="480"/>
    </w:pPr>
    <w:rPr>
      <w:rFonts w:ascii="宋体" w:hAnsi="宋体"/>
    </w:rPr>
  </w:style>
  <w:style w:type="paragraph" w:styleId="7">
    <w:name w:val="Body Text First Indent"/>
    <w:basedOn w:val="5"/>
    <w:next w:val="8"/>
    <w:qFormat/>
    <w:uiPriority w:val="0"/>
    <w:pPr>
      <w:ind w:firstLine="420" w:firstLineChars="100"/>
    </w:pPr>
    <w:rPr>
      <w:rFonts w:ascii="宋体"/>
      <w:sz w:val="34"/>
      <w:szCs w:val="20"/>
    </w:rPr>
  </w:style>
  <w:style w:type="paragraph" w:styleId="8">
    <w:name w:val="Body Text First Indent 2"/>
    <w:basedOn w:val="6"/>
    <w:next w:val="1"/>
    <w:qFormat/>
    <w:uiPriority w:val="0"/>
    <w:pPr>
      <w:widowControl w:val="0"/>
      <w:spacing w:after="0" w:line="400" w:lineRule="atLeast"/>
      <w:ind w:left="210" w:leftChars="0" w:firstLine="420" w:firstLineChars="200"/>
      <w:textAlignment w:val="auto"/>
    </w:pPr>
    <w:rPr>
      <w:rFonts w:ascii="Times New Roman" w:hAnsi="Times New Roman" w:eastAsia="宋体" w:cs="Times New Roman"/>
      <w:color w:val="auto"/>
      <w:sz w:val="20"/>
      <w:szCs w:val="24"/>
      <w:u w:val="none" w:color="auto"/>
    </w:rPr>
  </w:style>
  <w:style w:type="paragraph" w:customStyle="1" w:styleId="11">
    <w:name w:val="样式 10 磅"/>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
    <w:name w:val="样式 首行缩进:  2 字符"/>
    <w:basedOn w:val="1"/>
    <w:qFormat/>
    <w:uiPriority w:val="0"/>
    <w:pPr>
      <w:spacing w:line="400" w:lineRule="exact"/>
      <w:ind w:firstLine="200" w:firstLineChars="200"/>
    </w:pPr>
    <w:rPr>
      <w:rFonts w:cs="宋体"/>
      <w:sz w:val="24"/>
    </w:rPr>
  </w:style>
  <w:style w:type="paragraph" w:styleId="13">
    <w:name w:val="List Paragraph"/>
    <w:basedOn w:val="1"/>
    <w:qFormat/>
    <w:uiPriority w:val="0"/>
    <w:pPr>
      <w:widowControl/>
      <w:spacing w:line="240" w:lineRule="auto"/>
      <w:ind w:left="720"/>
      <w:contextualSpacing/>
      <w:jc w:val="left"/>
    </w:pPr>
    <w:rPr>
      <w:rFonts w:ascii="Calibri" w:hAnsi="Calibri"/>
      <w:kern w:val="0"/>
      <w:sz w:val="24"/>
      <w:lang w:eastAsia="en-US" w:bidi="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3820</Words>
  <Characters>3927</Characters>
  <Lines>0</Lines>
  <Paragraphs>0</Paragraphs>
  <TotalTime>0</TotalTime>
  <ScaleCrop>false</ScaleCrop>
  <LinksUpToDate>false</LinksUpToDate>
  <CharactersWithSpaces>4356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2024-07-03T08:25:00Z</dcterms:created>
  <dc:creator>Admin</dc:creator>
  <cp:lastModifiedBy>么么哒（*＾3＾）</cp:lastModifiedBy>
  <dcterms:modified xsi:type="dcterms:W3CDTF">2026-05-28T09:57:18Z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B14B58811E9D4BB28EBF9705CD8CF6ED_13</vt:lpwstr>
  </property>
</Properties>
</file>