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版本号：ZMZB2026XBDX-19020260701001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附属中学一号公寓楼维修改造项目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ZMZB2026XBDX-190</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附属中学一号公寓楼维修改造项目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ZMZB2026XBDX-190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附属中学一号公寓楼维修改造项目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附属中学一号公寓楼维修改造项目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采购包1（附属中学一号公寓楼维修改造项目）：属于专门面向中小企业采购。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或其磋商前三个月内供应商开户银行基本账户银行出具的资信证明；（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 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4、税收缴纳证明：提供投标文件递交截止时间前一年内任意一个月的依法缴纳税收的相关凭据（时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5、社会保障资金缴纳证明：提供投标文件递交截止时间前一年内任意一个月的社会保障资金缴存单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8、施工资质：具备建设行政主管部门核发的建筑装修装饰工程专业承包资质二级及以上资质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10、项目经理：拟派项目经理须具备建筑工程专业二级（含二级）及以上建造师资格且在本单位注册，同时具备有效的安全生产考核合格证（建安B证），且无在建项目（提供无在建工程承诺书）</w:t>
      </w:r>
    </w:p>
    <w:p>
      <w:pPr>
        <w:pStyle w:val="null3"/>
      </w:pPr>
      <w:r>
        <w:rPr>
          <w:rFonts w:ascii="仿宋_GB2312" w:hAnsi="仿宋_GB2312" w:cs="仿宋_GB2312" w:eastAsia="仿宋_GB2312"/>
        </w:rPr>
        <w:t>11、外地企业备案：外地企业提供在“陕西省建筑市场监管与诚信信息一体化平台”上登记的基本信息界面截图</w:t>
      </w:r>
    </w:p>
    <w:p>
      <w:pPr>
        <w:pStyle w:val="null3"/>
      </w:pPr>
      <w:r>
        <w:rPr>
          <w:rFonts w:ascii="仿宋_GB2312" w:hAnsi="仿宋_GB2312" w:cs="仿宋_GB2312" w:eastAsia="仿宋_GB2312"/>
        </w:rPr>
        <w:t>12、非联合体投标：提供非联合体投标声明函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西安市长安区郭杜教育科技产业园学府大道1号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①A020619 照明设备，★普通照明用双端荧光灯，《普通照明用双端荧光灯能效限定值及能效等级》（GB 19043）②★A060805 便器，坐便器，《坐便器水效限定值及水效等级》（GB 25502）③★A060805 便器，蹲便器，《蹲便器用水效率限定值及用水效率等级》（GB 30717）④★A060805 便器，小便器，《小便器用水效率限定值及用水效率等级》（GB 28377）⑤★A060806 水嘴，《水嘴用水效率限定值及用水效率等级》（GB 25501）</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①A020619 照明设备，LED 筒灯，《室内照明用 LED 产品能效限定值及能效等级》（GB 30255）②A060807 便器冲洗阀，《便器冲洗阀用水效率限定值及用水效率等级》（GB 28379） ③A060810 淋浴器，《淋浴器用水效率限定值及用水效率等级》（GB 28378）</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①A020619 照明设备，A02061908 室内照明灯具，HJ2518 照明光源 ②A060804 水池，HJ/T296 卫生陶瓷 ③A060805 便器，HJ/T296 卫生陶瓷 ④A060806 水嘴，HJ/T411 水嘴 ⑤A100301 水泥熟料及水泥，A10030102 水泥，HJ2519 水泥 ⑥A100303 水泥混凝土制品，A10030301 商品混凝土，HJ/T412 预拌混凝土 ⑦A100305 轻质建筑材料及制品，A10030501 石膏板，HJ/T223 轻质墙体板材 ⑧A100305 轻质建筑材料及制品，A10030503 轻质隔墙条板，HJ/T223 轻质墙体板材 ⑨A100307 建筑陶瓷制品，A10030701 瓷质砖，HJ/T297 陶瓷砖 ⑩A100601 功能性建筑涂料，HJ2537 水性涂料 ⑪A100602 墙面涂料，A10060202 合成树脂乳液内墙涂料，A10060203 合成树脂乳液外墙涂料，A10060299 其他墙面涂料，HJ2537 水性涂料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 转账账号： 户名：西北大学 开户行：交通银行西安学府大街支行 账号：611301015018001145006 联行号：301791000194 转账金额到账后，可持银行回执到西北大学国有资产管理处换取收据。 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09:30:00</w:t>
            </w:r>
          </w:p>
          <w:p>
            <w:pPr>
              <w:pStyle w:val="null3"/>
              <w:ind w:firstLine="975"/>
            </w:pPr>
            <w:r>
              <w:rPr>
                <w:rFonts w:ascii="仿宋_GB2312" w:hAnsi="仿宋_GB2312" w:cs="仿宋_GB2312" w:eastAsia="仿宋_GB2312"/>
              </w:rPr>
              <w:t>踏勘地点：西北大学附属中学桃园校区</w:t>
            </w:r>
          </w:p>
          <w:p>
            <w:pPr>
              <w:pStyle w:val="null3"/>
              <w:ind w:firstLine="975"/>
            </w:pPr>
            <w:r>
              <w:rPr>
                <w:rFonts w:ascii="仿宋_GB2312" w:hAnsi="仿宋_GB2312" w:cs="仿宋_GB2312" w:eastAsia="仿宋_GB2312"/>
              </w:rPr>
              <w:t>联系人：董菊莉 吴敉</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3,899,376.76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附属中学一号公寓楼维修改造项目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标的名称：附属中学一号公寓楼维修改造项目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采购标的需实现的功能或者目标</w:t>
            </w:r>
            <w:r>
              <w:rPr>
                <w:rFonts w:ascii="仿宋_GB2312" w:hAnsi="仿宋_GB2312" w:cs="仿宋_GB2312" w:eastAsia="仿宋_GB2312"/>
                <w:sz w:val="20"/>
              </w:rPr>
              <w:t>：</w:t>
            </w:r>
          </w:p>
          <w:p>
            <w:pPr>
              <w:pStyle w:val="null3"/>
            </w:pPr>
            <w:r>
              <w:rPr>
                <w:rFonts w:ascii="仿宋_GB2312" w:hAnsi="仿宋_GB2312" w:cs="仿宋_GB2312" w:eastAsia="仿宋_GB2312"/>
                <w:sz w:val="21"/>
              </w:rPr>
              <w:t>西北大学附属中学一号公寓楼建于</w:t>
            </w:r>
            <w:r>
              <w:rPr>
                <w:rFonts w:ascii="仿宋_GB2312" w:hAnsi="仿宋_GB2312" w:cs="仿宋_GB2312" w:eastAsia="仿宋_GB2312"/>
                <w:sz w:val="21"/>
              </w:rPr>
              <w:t>1999年，建筑面积7672.5平方米，现有设施老旧破损，已无法满足学生需求。本次维修改造项目旨在提高学校教学硬件设施的空间的功能性与舒适性，优化学生住宿与生活环境，进一步提升学校办学品质与形象。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施工范围及工作内容</w:t>
            </w:r>
            <w:r>
              <w:rPr>
                <w:rFonts w:ascii="仿宋_GB2312" w:hAnsi="仿宋_GB2312" w:cs="仿宋_GB2312" w:eastAsia="仿宋_GB2312"/>
                <w:sz w:val="21"/>
              </w:rPr>
              <w:t>：</w:t>
            </w:r>
          </w:p>
          <w:p>
            <w:pPr>
              <w:pStyle w:val="null3"/>
            </w:pPr>
            <w:r>
              <w:rPr>
                <w:rFonts w:ascii="仿宋_GB2312" w:hAnsi="仿宋_GB2312" w:cs="仿宋_GB2312" w:eastAsia="仿宋_GB2312"/>
                <w:sz w:val="21"/>
              </w:rPr>
              <w:t>本次维修改造主要包含拆除、墙面、地面、顶面翻新、卫生间改造、强弱电改造、给排水改造、采暖改造、消防工程、电气工程、室外墙面真石漆、垃圾外运等内容，详见图纸及工程量清单。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工程质量：本工程质量应达到国家质量评定合格标准并符合甲方的使用需要。</w:t>
            </w:r>
          </w:p>
          <w:p>
            <w:pPr>
              <w:pStyle w:val="null3"/>
            </w:pPr>
            <w:r>
              <w:rPr>
                <w:rFonts w:ascii="仿宋_GB2312" w:hAnsi="仿宋_GB2312" w:cs="仿宋_GB2312" w:eastAsia="仿宋_GB2312"/>
                <w:sz w:val="21"/>
              </w:rPr>
              <w:t>安全文明：严格按照安全文明施工标准进行管理，全封闭施工，严格执行施工规范、安全操作规程、防火安全规定、环境保护规定。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违约责任：中标</w:t>
            </w:r>
            <w:r>
              <w:rPr>
                <w:rFonts w:ascii="仿宋_GB2312" w:hAnsi="仿宋_GB2312" w:cs="仿宋_GB2312" w:eastAsia="仿宋_GB2312"/>
                <w:sz w:val="21"/>
              </w:rPr>
              <w:t>/成交供应商所交付工程不符合其投标承诺，存在偷工减料、以次充好情形的，采购人要求更换一次后仍不符合约定的，采购人有权解除采购合同，没收履约保证金，并将有关情况上报政府采购监管部门处理。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合同价款：本项目采用固定综合单价合同。综合单价修正系数</w:t>
            </w:r>
            <w:r>
              <w:rPr>
                <w:rFonts w:ascii="仿宋_GB2312" w:hAnsi="仿宋_GB2312" w:cs="仿宋_GB2312" w:eastAsia="仿宋_GB2312"/>
                <w:sz w:val="21"/>
              </w:rPr>
              <w:t>:修正系数=磋商最终报价/首次报价。</w:t>
            </w:r>
          </w:p>
          <w:p>
            <w:pPr>
              <w:pStyle w:val="null3"/>
            </w:pPr>
            <w:r>
              <w:rPr>
                <w:rFonts w:ascii="仿宋_GB2312" w:hAnsi="仿宋_GB2312" w:cs="仿宋_GB2312" w:eastAsia="仿宋_GB2312"/>
                <w:sz w:val="21"/>
              </w:rPr>
              <w:t>变更，签证价款：</w:t>
            </w:r>
            <w:r>
              <w:rPr>
                <w:rFonts w:ascii="仿宋_GB2312" w:hAnsi="仿宋_GB2312" w:cs="仿宋_GB2312" w:eastAsia="仿宋_GB2312"/>
                <w:sz w:val="21"/>
              </w:rPr>
              <w:t>①</w:t>
            </w:r>
            <w:r>
              <w:rPr>
                <w:rFonts w:ascii="仿宋_GB2312" w:hAnsi="仿宋_GB2312" w:cs="仿宋_GB2312" w:eastAsia="仿宋_GB2312"/>
                <w:sz w:val="21"/>
              </w:rPr>
              <w:t>工程量清单报价中已有工程综合单价的，按已有综合单价结算</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工程量清单报价中只有类似工程项目的，双方可以参照同标准类似综合单价协商认可的综合单价结算</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工程量清单报价中没有的工程项目内容，经甲方代表确认后，乙方可重新组价并上报，组价依据施工图、设计变更，陕西省建设工程费用规则</w:t>
            </w:r>
            <w:r>
              <w:rPr>
                <w:rFonts w:ascii="仿宋_GB2312" w:hAnsi="仿宋_GB2312" w:cs="仿宋_GB2312" w:eastAsia="仿宋_GB2312"/>
                <w:sz w:val="21"/>
              </w:rPr>
              <w:t>(2025)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严格遵守《建筑工程施工质量验收统一标准》（GB50300-2013）、《铝合金门窗工程技术规范》（JGJ214-2010）、《建筑涂饰工程施工及验收规程》（JGJ/T29-2015）、《建筑电气工程施工质量验收规范》（GB50303-2015）、《综合布线系统工程验收规范》（GB50312-2016）、《建筑室内吊顶工程技术规程》（CECS 255-2009）、《智能建筑工程施工规范》（GB50606-2010）等相关规范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因系统受限，补充本项目环境标志产品：⑫A100701 门、门槛，HJ/T 237 塑料门窗/HJ459 木质门和钢质门 ⑬A100702 窗，HJ/T237 塑料门窗 ⑭A170112 密封用填料及类似品，HJ2541 胶粘剂 ⑮A180201 塑料制品，HJ/T226 建筑用塑料管材/HJ/T231 再生塑料制品。 一、商务条款：1.工期：合同签订后40日历天。 2.质保期：验收合格后36个月； 3.实施地点：西北大学指定地点； 4.付款方式：本项目无预付款，工程竣工并达到验收标准后付至合同金额的70%；待学校审计后支付至审定金额的100%。但前期支付金额超过审定金额的成交人应当退还。不足审定金额的，采购人可以补足。注：商务要求不允许负偏离。 二、合同价款形式 ：固定综合单价。 三、纸质文件递交：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 西安市雁塔区科技路30号合力紫郡B座21层，若电子响应文件与纸质响应文件不一致的，以电子响应文件为准。磋商保证金以电子保函形式递交需在开标前给shanxizhuoming_zb@163.com发一份扫描件。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或其磋商前三个月内供应商开户银行基本账户银行出具的资信证明；（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 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提供投标文件递交截止时间前一年内任意一个月的依法缴纳税收的相关凭据（时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提供投标文件递交截止时间前一年内任意一个月的社会保障资金缴存单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具备建设行政主管部门核发的建筑装修装饰工程专业承包资质二级及以上资质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拟派项目经理须具备建筑工程专业二级（含二级）及以上建造师资格且在本单位注册，同时具备有效的安全生产考核合格证（建安B证），且无在建项目（提供无在建工程承诺书）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供应商资格要求.docx 实质性商务部分偏离表.docx 主要材料技术指标响应表.docx 中小企业声明函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实质性商务部分偏离表.docx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实质性商务部分偏离表.docx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实质性商务部分偏离表.docx 主要材料技术指标响应表.docx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实质性商务部分偏离表.docx 主要材料技术指标响应表.docx 供应商认为有必要说明的其他问题.docx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供应商针对本项目提供施工组织设计。内容包括①施工方案及施工技术措施 ；②确保工程质量的技术组织措施；③确保安全生产的技术组织措施；④确保工期的技术组织措施；⑤确保文明施工的技术组织措施及环境保护措施；⑥施工机械配备和材料投入计划；⑦施工进度表或施工网络图；⑧项目经理部及劳动力安排计划；⑨施工总平面布置图； ⑩新技术、新产品、新工艺、新材料应用、施工现场扬尘预防措施等； 二、评审标准 1、完整性：方案须全面，对评审内容中的各项要求描述详细； 2、可实施性：切合本项目实际情况，实施步骤清晰、合理； 3、针对性：方案能够紧扣项目实际情况，内容科学合理。 三、赋分依据 ①施工方案及施工技术措施：每完全满足一个评审标准得 1 分，满分 3 分；未提供不得分； ②确保工程质量的技术组织措施：每完全满足一个评审标准得 1 分，满分 3 分；未提供不得分； ③确保安全生产的技术组织措施：每完全满足一个评审标准得 1 分，满分 3 分；未提供不得分； ④确保工期的技术组织措施：每完全满足一个评审标准得 1 分，满分 3 分；未提供不得分； ⑤确保文明施工的技术组织措施及环境保护措施：每完全满足 一个评审标准得 0.5 分，满分 1.5 分；未提供不得分； ⑥施工机械配备和材料投入计划：每完全满足一个评审标准得 0.5 分，满分 1.5 分；未提供不得分； ⑦施工进度表或施工网络图：每完全满足一个评审标准得 0.5 分，满分 1.5 分；未提供不得分； ⑧项目经理部及劳动力安排计划：每完全满足一个评审标准得 0.5 分，满分 1.5 分；未提供不得分； ⑨施工总平面布置图：每完全满足一个评审标准得 0.5 分，满 分 1.5 分；未提供不得分； ⑩新技术、新产品、新工艺、新材料应用、施工现场扬尘预防措施等：每完全满足一个评审标准得 0.5 分，满分 1.5 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主要材料清单品目</w:t>
            </w:r>
          </w:p>
        </w:tc>
        <w:tc>
          <w:tcPr>
            <w:tcW w:type="dxa" w:w="2492"/>
          </w:tcPr>
          <w:p>
            <w:pPr>
              <w:pStyle w:val="null3"/>
            </w:pPr>
            <w:r>
              <w:rPr>
                <w:rFonts w:ascii="仿宋_GB2312" w:hAnsi="仿宋_GB2312" w:cs="仿宋_GB2312" w:eastAsia="仿宋_GB2312"/>
              </w:rPr>
              <w:t>投标人提供针对本项目拟投入施工主要材料（包含但不限于装饰工程：面砖、地砖、铝单板、防火板、铝合金扣板、浴厕隔断、门、窗、踢脚线、涂料、真石漆、镜面玻璃、盥洗池、砂浆；给排水工程：阻火圈、止水节、硬聚氯乙烯塑料管箍、大便器、型钢、小便器、污水池、水嘴、球阀、粘结管件、淋浴器、钢管、法兰、蝶阀、电热水器、U-PVC管、PPR管、PE管、截止阀、排气阀；消防工程：型钢、钢管、连接件、蝶阀、灭火器、消火栓、；电气工程：塑料管、电线、钢管、开关、插座、标志灯、电缆、日光灯、吸顶灯、应急灯、配电箱、；消防电工程：报警控制器、探测器、隔离器、显示器、报警器、电线、钢管、消防接线端子箱；采暖工程：钢制散热器）清单品目，主要材料清单品目完整，品牌明确得 3 分。未提供或不完整或品牌不明确不得分。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主要材料清单品目.docx</w:t>
            </w:r>
          </w:p>
        </w:tc>
      </w:tr>
      <w:tr>
        <w:tc>
          <w:tcPr>
            <w:tcW w:type="dxa" w:w="831"/>
            <w:vMerge/>
          </w:tcPr>
          <w:p/>
        </w:tc>
        <w:tc>
          <w:tcPr>
            <w:tcW w:type="dxa" w:w="1661"/>
          </w:tcPr>
          <w:p>
            <w:pPr>
              <w:pStyle w:val="null3"/>
            </w:pPr>
            <w:r>
              <w:rPr>
                <w:rFonts w:ascii="仿宋_GB2312" w:hAnsi="仿宋_GB2312" w:cs="仿宋_GB2312" w:eastAsia="仿宋_GB2312"/>
              </w:rPr>
              <w:t>主要材料技术参数</w:t>
            </w:r>
          </w:p>
        </w:tc>
        <w:tc>
          <w:tcPr>
            <w:tcW w:type="dxa" w:w="2492"/>
          </w:tcPr>
          <w:p>
            <w:pPr>
              <w:pStyle w:val="null3"/>
            </w:pPr>
            <w:r>
              <w:rPr>
                <w:rFonts w:ascii="仿宋_GB2312" w:hAnsi="仿宋_GB2312" w:cs="仿宋_GB2312" w:eastAsia="仿宋_GB2312"/>
              </w:rPr>
              <w:t>投标人提供针对本项目拟投入施工主要材料（ 乳胶漆、瓷砖、门、窗、插座、开关、灯具、电线、电缆、大便器、小便器、淋浴器、电热水器、灭火器、消火栓、日光灯、吸顶灯、钢制散热器） 技术参数证明文件（检测机构出具的检测报告/制造商检验报告 /产品彩页/官网功能截图/技术白皮书等），每提供一项产品得 0.5 分，最多得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主要材料技术参数.docx</w:t>
            </w:r>
          </w:p>
        </w:tc>
      </w:tr>
      <w:tr>
        <w:tc>
          <w:tcPr>
            <w:tcW w:type="dxa" w:w="831"/>
            <w:vMerge/>
          </w:tcPr>
          <w:p/>
        </w:tc>
        <w:tc>
          <w:tcPr>
            <w:tcW w:type="dxa" w:w="1661"/>
          </w:tcPr>
          <w:p>
            <w:pPr>
              <w:pStyle w:val="null3"/>
            </w:pPr>
            <w:r>
              <w:rPr>
                <w:rFonts w:ascii="仿宋_GB2312" w:hAnsi="仿宋_GB2312" w:cs="仿宋_GB2312" w:eastAsia="仿宋_GB2312"/>
              </w:rPr>
              <w:t>主要材料市场调研情况说明</w:t>
            </w:r>
          </w:p>
        </w:tc>
        <w:tc>
          <w:tcPr>
            <w:tcW w:type="dxa" w:w="2492"/>
          </w:tcPr>
          <w:p>
            <w:pPr>
              <w:pStyle w:val="null3"/>
            </w:pPr>
            <w:r>
              <w:rPr>
                <w:rFonts w:ascii="仿宋_GB2312" w:hAnsi="仿宋_GB2312" w:cs="仿宋_GB2312" w:eastAsia="仿宋_GB2312"/>
              </w:rPr>
              <w:t>投标人针对本项目提供主要材料市场调研情况说明：调研内容详实完整，所选用主要材料为市场普及度高、行业内广泛应 用、市场保有量大的产品，得 5 分；调研内容较为详实，所选用主要材料为市场普及度较高、行业常规应用的产品，得 3 分；调研内容简略，或所选用主要材料市场应用范围窄、市场认可度偏低，得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主要材料市场调研情况说明.docx</w:t>
            </w:r>
          </w:p>
        </w:tc>
      </w:tr>
      <w:tr>
        <w:tc>
          <w:tcPr>
            <w:tcW w:type="dxa" w:w="831"/>
            <w:vMerge/>
          </w:tcPr>
          <w:p/>
        </w:tc>
        <w:tc>
          <w:tcPr>
            <w:tcW w:type="dxa" w:w="1661"/>
          </w:tcPr>
          <w:p>
            <w:pPr>
              <w:pStyle w:val="null3"/>
            </w:pPr>
            <w:r>
              <w:rPr>
                <w:rFonts w:ascii="仿宋_GB2312" w:hAnsi="仿宋_GB2312" w:cs="仿宋_GB2312" w:eastAsia="仿宋_GB2312"/>
              </w:rPr>
              <w:t>主要材料质量保证承诺</w:t>
            </w:r>
          </w:p>
        </w:tc>
        <w:tc>
          <w:tcPr>
            <w:tcW w:type="dxa" w:w="2492"/>
          </w:tcPr>
          <w:p>
            <w:pPr>
              <w:pStyle w:val="null3"/>
            </w:pPr>
            <w:r>
              <w:rPr>
                <w:rFonts w:ascii="仿宋_GB2312" w:hAnsi="仿宋_GB2312" w:cs="仿宋_GB2312" w:eastAsia="仿宋_GB2312"/>
              </w:rPr>
              <w:t>投标人提供无假冒产品、无翻新产品的书面承诺，得 2 分。未提供承诺书不得分，承诺书格式自拟。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主要材料质量保证承诺.docx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①职称：具有高级及以上职称，得 1 分；具有中级职称，得 0.5 分；其他情况不得分。 注：以加盖供应商公章的职称证书为准。 ②学历：具有本科或以上得 1 分；具有专科学历的得 0.5 分； 其他情况不得分。 注：以加盖供应商公章的学历证书为准。 ③业绩：提供项目经理自 2023 年 6 月 1 日至今（时间以合同签 订时间为准）的类似业绩合同，每提供 1 项得 1 分，最多得 3 分。 注：合同须体现项目经理姓名，项目经理业绩可与企业业绩可 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提供供应商自 2023 年 6 月 1 日至今（时间以合同签订时间为 准）的类似业绩合同，每提供 1 项得 1 分，最多得 5 分。 注：项目经理业绩可与企业业绩可重复计分。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在满足采购文件要求质保期（36个月即3年）的基础上，供应商可根据自身情况延长质保年限，质保期每增加1年得1分，最高5分。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实质性商务部分偏离表.docx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一、评审内容 供应商针对本项目提供施工组织设计。内容包括 ①质量保证期内的保障工作服务方案及工作计划；②维修保养服务内容及相关标准；③有巡查或复查计划及质量保障措施； ④对工程维修服务响应时限有明确的承诺。 二、评审标准 1、完整性：方案须全面，对评审内容中的各项要求描述详细； 2、可实施性：切合本项目实际情况，实施步骤清晰、合理； 3、针对性：方案能够紧扣项目实际情况，内容科学合理。 三、赋分依据 ①质量保证期内的保障工作服务方案及工作计划：每完全满足一个评审标准得 0.5分，满分 1.5分；未提供不得分； ②维修保养服务内容及相关标准：每完全满足一个评审标准得 0.5分，满分 1.5分；未提供不得分； ③有巡查或复查计划及质量保障措施：每完全满足一个评审标准得 0.5分，满分 1.5分；未提供不得分；④对工程维修服务响应时限有明确的承诺：每完全满足一个评审标准得 0.5分，满分 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保修期内服务方案.docx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供应商需提供具有节能、环境标志的产品，每提供1种节能（属于节能产品政府采购品目清单中应强制采购的产品范围以外）、环境标志产品，计0.5分，最高9分。注:需提供证明材料。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详见附件：主要材料技术指标响应表.docx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详见附件：项目经理.docx</w:t>
      </w:r>
    </w:p>
    <w:p>
      <w:pPr>
        <w:pStyle w:val="null3"/>
        <w:ind w:firstLine="960"/>
      </w:pPr>
      <w:r>
        <w:rPr>
          <w:rFonts w:ascii="仿宋_GB2312" w:hAnsi="仿宋_GB2312" w:cs="仿宋_GB2312" w:eastAsia="仿宋_GB2312"/>
        </w:rPr>
        <w:t>详见附件：主要材料技术参数.docx</w:t>
      </w:r>
    </w:p>
    <w:p>
      <w:pPr>
        <w:pStyle w:val="null3"/>
        <w:ind w:firstLine="960"/>
      </w:pPr>
      <w:r>
        <w:rPr>
          <w:rFonts w:ascii="仿宋_GB2312" w:hAnsi="仿宋_GB2312" w:cs="仿宋_GB2312" w:eastAsia="仿宋_GB2312"/>
        </w:rPr>
        <w:t>详见附件：主要材料清单品目.docx</w:t>
      </w:r>
    </w:p>
    <w:p>
      <w:pPr>
        <w:pStyle w:val="null3"/>
        <w:ind w:firstLine="960"/>
      </w:pPr>
      <w:r>
        <w:rPr>
          <w:rFonts w:ascii="仿宋_GB2312" w:hAnsi="仿宋_GB2312" w:cs="仿宋_GB2312" w:eastAsia="仿宋_GB2312"/>
        </w:rPr>
        <w:t>详见附件：主要材料市场调研情况说明.docx</w:t>
      </w:r>
    </w:p>
    <w:p>
      <w:pPr>
        <w:pStyle w:val="null3"/>
        <w:ind w:firstLine="960"/>
      </w:pPr>
      <w:r>
        <w:rPr>
          <w:rFonts w:ascii="仿宋_GB2312" w:hAnsi="仿宋_GB2312" w:cs="仿宋_GB2312" w:eastAsia="仿宋_GB2312"/>
        </w:rPr>
        <w:t>详见附件：主要材料质量保证承诺.docx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详见附件：保修期内服务方案.docx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