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版本号：ZBZB-2026-288820260512001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2026年职工福利品采购项目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ZBZB-2026-2888</w:t>
      </w:r>
      <w:r>
        <w:br/>
      </w:r>
      <w:r>
        <w:br/>
      </w:r>
      <w:r>
        <w:br/>
      </w:r>
    </w:p>
    <w:p>
      <w:pPr>
        <w:pStyle w:val="null3"/>
        <w:jc w:val="center"/>
        <w:outlineLvl w:val="2"/>
      </w:pPr>
      <w:r>
        <w:rPr>
          <w:rFonts w:ascii="仿宋_GB2312" w:hAnsi="仿宋_GB2312" w:cs="仿宋_GB2312" w:eastAsia="仿宋_GB2312"/>
          <w:sz w:val="28"/>
          <w:b/>
        </w:rPr>
        <w:t>西安财经大学</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西安财经大学</w:t>
      </w:r>
      <w:r>
        <w:rPr>
          <w:rFonts w:ascii="仿宋_GB2312" w:hAnsi="仿宋_GB2312" w:cs="仿宋_GB2312" w:eastAsia="仿宋_GB2312"/>
        </w:rPr>
        <w:t>委托，拟对</w:t>
      </w:r>
      <w:r>
        <w:rPr>
          <w:rFonts w:ascii="仿宋_GB2312" w:hAnsi="仿宋_GB2312" w:cs="仿宋_GB2312" w:eastAsia="仿宋_GB2312"/>
        </w:rPr>
        <w:t>2026年职工福利品采购项目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ZBZB-2026-2888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2026年职工福利品采购项目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西安财经大学2026年职工福利品采购项目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1、营业执照：企业法人具有有效的营业执照（具备统一社会信用代码）；事业法人应具有有效的事业单位法人证；其他组织应具有合法证明文件； 自然人应提供有效的自然人身份证明。</w:t>
      </w:r>
    </w:p>
    <w:p>
      <w:pPr>
        <w:pStyle w:val="null3"/>
      </w:pPr>
      <w:r>
        <w:rPr>
          <w:rFonts w:ascii="仿宋_GB2312" w:hAnsi="仿宋_GB2312" w:cs="仿宋_GB2312" w:eastAsia="仿宋_GB2312"/>
        </w:rPr>
        <w:t>2、法定代表人授权委托书：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w:t>
      </w:r>
    </w:p>
    <w:p>
      <w:pPr>
        <w:pStyle w:val="null3"/>
      </w:pPr>
      <w:r>
        <w:rPr>
          <w:rFonts w:ascii="仿宋_GB2312" w:hAnsi="仿宋_GB2312" w:cs="仿宋_GB2312" w:eastAsia="仿宋_GB2312"/>
        </w:rPr>
        <w:t>3、财务状况报告：提供2024年度或2025年度经审计的完整的财务审计报告(成立时间至提交投标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4、税收缴纳证明：提供2025年4月至今已缴纳的至少三个月的纳税证明或完税证明，依法免税的单位应提供相关证明材料。</w:t>
      </w:r>
    </w:p>
    <w:p>
      <w:pPr>
        <w:pStyle w:val="null3"/>
      </w:pPr>
      <w:r>
        <w:rPr>
          <w:rFonts w:ascii="仿宋_GB2312" w:hAnsi="仿宋_GB2312" w:cs="仿宋_GB2312" w:eastAsia="仿宋_GB2312"/>
        </w:rPr>
        <w:t>5、社会保障资金缴纳证明：提供2025年4月至今任意三个月的社会保障资金缴存单据或社保机构开具的社会保险参保缴费情况证明，依法不需要缴纳社会保障资金的单位应提供相关证明材料。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6、资质：投标人为生产厂家的须提供食品生产许可证或全国工业产品生产许可证；投标人为代理商的须同时提供食品经营许可证及生产厂家的食品生产许可证或全国工业产品生产许可证。</w:t>
      </w:r>
    </w:p>
    <w:p>
      <w:pPr>
        <w:pStyle w:val="null3"/>
      </w:pPr>
      <w:r>
        <w:rPr>
          <w:rFonts w:ascii="仿宋_GB2312" w:hAnsi="仿宋_GB2312" w:cs="仿宋_GB2312" w:eastAsia="仿宋_GB2312"/>
        </w:rPr>
        <w:t>7、承诺函：提供具备履行合同所必需的设备和专业技术能力的证明材料承诺。</w:t>
      </w:r>
    </w:p>
    <w:p>
      <w:pPr>
        <w:pStyle w:val="null3"/>
      </w:pPr>
      <w:r>
        <w:rPr>
          <w:rFonts w:ascii="仿宋_GB2312" w:hAnsi="仿宋_GB2312" w:cs="仿宋_GB2312" w:eastAsia="仿宋_GB2312"/>
        </w:rPr>
        <w:t>8、无重大违法记录的书面声明：参加政府采购活动前3年内在经营活动中没有重大违法记录的书面声明。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10、信用中国查询：供应商不得为“信用中国” 网站（www.creditchi na.gov.cn）中列入失信被执行人和重大税收违法案 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11、非联合体声明：本项目不接受联合体投标。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西安财经大学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西安市长安区常宁大街360号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029-85781085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杨丹、张婷、刘少杰、傅武英、张哲、李琳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开户名称：陕西正邦招标有限责任公司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银行账号：30205380002072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文件的计费方法，下浮48%计取代理服务费（包括货物、服务和工程三类），采购代理服务收费按差额定率累进法计算，由成交单位在领取中标通知书前向陕西正邦招标有限责任公司支付。招标代理服务费交纳信息：银行户名：陕西正邦招标有限责任公司 开户银行：平安银行西安分行营业部 账号：30205380002072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西安财经大学</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西安财经大学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西安财经大学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联系电话：029-85578186</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西安财经大学2026年职工福利品采购项目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2,325,000.00</w:t>
      </w:r>
    </w:p>
    <w:p>
      <w:pPr>
        <w:pStyle w:val="null3"/>
      </w:pPr>
      <w:r>
        <w:rPr>
          <w:rFonts w:ascii="仿宋_GB2312" w:hAnsi="仿宋_GB2312" w:cs="仿宋_GB2312" w:eastAsia="仿宋_GB2312"/>
        </w:rPr>
        <w:t>采购包最高限价（元）: 2,325,000.00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职工福利品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2,325,000.00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零售业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标的名称：职工福利品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用途的简要说明：</w:t>
            </w:r>
            <w:r>
              <w:rPr>
                <w:rFonts w:ascii="仿宋_GB2312" w:hAnsi="仿宋_GB2312" w:cs="仿宋_GB2312" w:eastAsia="仿宋_GB2312"/>
                <w:sz w:val="20"/>
              </w:rPr>
              <w:t>主要针</w:t>
            </w:r>
            <w:r>
              <w:rPr>
                <w:rFonts w:ascii="仿宋_GB2312" w:hAnsi="仿宋_GB2312" w:cs="仿宋_GB2312" w:eastAsia="仿宋_GB2312"/>
                <w:sz w:val="20"/>
              </w:rPr>
              <w:t>对西安财经大学</w:t>
            </w:r>
            <w:r>
              <w:rPr>
                <w:rFonts w:ascii="仿宋_GB2312" w:hAnsi="仿宋_GB2312" w:cs="仿宋_GB2312" w:eastAsia="仿宋_GB2312"/>
                <w:sz w:val="20"/>
              </w:rPr>
              <w:t>1</w:t>
            </w:r>
            <w:r>
              <w:rPr>
                <w:rFonts w:ascii="仿宋_GB2312" w:hAnsi="仿宋_GB2312" w:cs="仿宋_GB2312" w:eastAsia="仿宋_GB2312"/>
                <w:sz w:val="20"/>
              </w:rPr>
              <w:t>55</w:t>
            </w:r>
            <w:r>
              <w:rPr>
                <w:rFonts w:ascii="仿宋_GB2312" w:hAnsi="仿宋_GB2312" w:cs="仿宋_GB2312" w:eastAsia="仿宋_GB2312"/>
                <w:sz w:val="20"/>
              </w:rPr>
              <w:t>0</w:t>
            </w:r>
            <w:r>
              <w:rPr>
                <w:rFonts w:ascii="仿宋_GB2312" w:hAnsi="仿宋_GB2312" w:cs="仿宋_GB2312" w:eastAsia="仿宋_GB2312"/>
                <w:sz w:val="20"/>
              </w:rPr>
              <w:t>名教职工发放福利品。</w:t>
            </w:r>
          </w:p>
          <w:p>
            <w:pPr>
              <w:pStyle w:val="null3"/>
              <w:jc w:val="both"/>
            </w:pPr>
            <w:r>
              <w:rPr>
                <w:rFonts w:ascii="仿宋_GB2312" w:hAnsi="仿宋_GB2312" w:cs="仿宋_GB2312" w:eastAsia="仿宋_GB2312"/>
                <w:sz w:val="20"/>
                <w:b/>
              </w:rPr>
              <w:t>1.采购需求</w:t>
            </w:r>
          </w:p>
          <w:tbl>
            <w:tblPr>
              <w:tblInd w:type="dxa" w:w="120"/>
              <w:tblBorders>
                <w:top w:val="none" w:color="000000" w:sz="4"/>
                <w:left w:val="none" w:color="000000" w:sz="4"/>
                <w:bottom w:val="none" w:color="000000" w:sz="4"/>
                <w:right w:val="none" w:color="000000" w:sz="4"/>
                <w:insideH w:val="none"/>
                <w:insideV w:val="none"/>
              </w:tblBorders>
            </w:tblPr>
            <w:tblGrid>
              <w:gridCol w:w="107"/>
              <w:gridCol w:w="1008"/>
              <w:gridCol w:w="1248"/>
              <w:gridCol w:w="189"/>
            </w:tblGrid>
            <w:tr>
              <w:tc>
                <w:tcPr>
                  <w:tcW w:type="dxa" w:w="1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pPr>
                  <w:r>
                    <w:rPr>
                      <w:rFonts w:ascii="仿宋_GB2312" w:hAnsi="仿宋_GB2312" w:cs="仿宋_GB2312" w:eastAsia="仿宋_GB2312"/>
                      <w:sz w:val="20"/>
                      <w:b/>
                    </w:rPr>
                    <w:t>序号</w:t>
                  </w:r>
                </w:p>
              </w:tc>
              <w:tc>
                <w:tcPr>
                  <w:tcW w:type="dxa" w:w="10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0"/>
                      <w:b/>
                    </w:rPr>
                    <w:t>产品名称规格（</w:t>
                  </w:r>
                  <w:r>
                    <w:rPr>
                      <w:rFonts w:ascii="仿宋_GB2312" w:hAnsi="仿宋_GB2312" w:cs="仿宋_GB2312" w:eastAsia="仿宋_GB2312"/>
                      <w:sz w:val="20"/>
                      <w:b/>
                    </w:rPr>
                    <w:t>A套餐）</w:t>
                  </w:r>
                </w:p>
              </w:tc>
              <w:tc>
                <w:tcPr>
                  <w:tcW w:type="dxa" w:w="12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0"/>
                      <w:b/>
                    </w:rPr>
                    <w:t>产品名称规格（</w:t>
                  </w:r>
                  <w:r>
                    <w:rPr>
                      <w:rFonts w:ascii="仿宋_GB2312" w:hAnsi="仿宋_GB2312" w:cs="仿宋_GB2312" w:eastAsia="仿宋_GB2312"/>
                      <w:sz w:val="20"/>
                      <w:b/>
                    </w:rPr>
                    <w:t>B套餐）</w:t>
                  </w:r>
                </w:p>
              </w:tc>
              <w:tc>
                <w:tcPr>
                  <w:tcW w:type="dxa" w:w="1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pPr>
                  <w:r>
                    <w:rPr>
                      <w:rFonts w:ascii="仿宋_GB2312" w:hAnsi="仿宋_GB2312" w:cs="仿宋_GB2312" w:eastAsia="仿宋_GB2312"/>
                      <w:sz w:val="20"/>
                      <w:b/>
                    </w:rPr>
                    <w:t>备</w:t>
                  </w:r>
                  <w:r>
                    <w:rPr>
                      <w:rFonts w:ascii="仿宋_GB2312" w:hAnsi="仿宋_GB2312" w:cs="仿宋_GB2312" w:eastAsia="仿宋_GB2312"/>
                    </w:rPr>
                    <w:t xml:space="preserve">  </w:t>
                  </w:r>
                  <w:r>
                    <w:rPr>
                      <w:rFonts w:ascii="仿宋_GB2312" w:hAnsi="仿宋_GB2312" w:cs="仿宋_GB2312" w:eastAsia="仿宋_GB2312"/>
                      <w:sz w:val="20"/>
                      <w:b/>
                    </w:rPr>
                    <w:t>注</w:t>
                  </w:r>
                </w:p>
              </w:tc>
            </w:tr>
            <w:tr>
              <w:tc>
                <w:tcPr>
                  <w:tcW w:type="dxa" w:w="107"/>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1</w:t>
                  </w:r>
                </w:p>
              </w:tc>
              <w:tc>
                <w:tcPr>
                  <w:tcW w:type="dxa" w:w="100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0"/>
                    </w:rPr>
                    <w:t>粽子礼盒</w:t>
                  </w:r>
                  <w:r>
                    <w:rPr>
                      <w:rFonts w:ascii="仿宋_GB2312" w:hAnsi="仿宋_GB2312" w:cs="仿宋_GB2312" w:eastAsia="仿宋_GB2312"/>
                      <w:sz w:val="20"/>
                    </w:rPr>
                    <w:t xml:space="preserve"> (≥1200g内含8个粽子，其中2颗肉粽）</w:t>
                  </w:r>
                </w:p>
              </w:tc>
              <w:tc>
                <w:tcPr>
                  <w:tcW w:type="dxa" w:w="124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粽子礼盒</w:t>
                  </w:r>
                  <w:r>
                    <w:rPr>
                      <w:rFonts w:ascii="仿宋_GB2312" w:hAnsi="仿宋_GB2312" w:cs="仿宋_GB2312" w:eastAsia="仿宋_GB2312"/>
                      <w:sz w:val="20"/>
                    </w:rPr>
                    <w:t xml:space="preserve"> (≥1200g内含8个粽子，其中2颗肉粽）</w:t>
                  </w:r>
                </w:p>
              </w:tc>
              <w:tc>
                <w:tcPr>
                  <w:tcW w:type="dxa" w:w="189"/>
                  <w:vMerge w:val="restart"/>
                  <w:tcBorders>
                    <w:top w:val="single" w:color="000000" w:sz="4"/>
                    <w:left w:val="single" w:color="000000" w:sz="4"/>
                    <w:bottom w:val="none" w:color="000000" w:sz="4"/>
                    <w:right w:val="single" w:color="000000" w:sz="4"/>
                  </w:tcBorders>
                  <w:shd w:fill="9BC2E6"/>
                  <w:tcMar>
                    <w:top w:type="dxa" w:w="0"/>
                    <w:left w:type="dxa" w:w="0"/>
                    <w:bottom w:type="dxa" w:w="0"/>
                    <w:right w:type="dxa" w:w="0"/>
                  </w:tcMar>
                  <w:vAlign w:val="top"/>
                </w:tcPr>
                <w:p>
                  <w:pPr>
                    <w:pStyle w:val="null3"/>
                    <w:jc w:val="both"/>
                  </w:pPr>
                  <w:r>
                    <w:rPr>
                      <w:rFonts w:ascii="仿宋_GB2312" w:hAnsi="仿宋_GB2312" w:cs="仿宋_GB2312" w:eastAsia="仿宋_GB2312"/>
                      <w:sz w:val="20"/>
                    </w:rPr>
                    <w:t>端午节</w:t>
                  </w:r>
                </w:p>
              </w:tc>
            </w:tr>
            <w:tr>
              <w:tc>
                <w:tcPr>
                  <w:tcW w:type="dxa" w:w="107"/>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2</w:t>
                  </w:r>
                </w:p>
              </w:tc>
              <w:tc>
                <w:tcPr>
                  <w:tcW w:type="dxa" w:w="100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五常稻花香米</w:t>
                  </w:r>
                  <w:r>
                    <w:rPr>
                      <w:rFonts w:ascii="仿宋_GB2312" w:hAnsi="仿宋_GB2312" w:cs="仿宋_GB2312" w:eastAsia="仿宋_GB2312"/>
                      <w:sz w:val="20"/>
                    </w:rPr>
                    <w:t>(5kg）</w:t>
                  </w:r>
                </w:p>
              </w:tc>
              <w:tc>
                <w:tcPr>
                  <w:tcW w:type="dxa" w:w="124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五常稻花香米（</w:t>
                  </w:r>
                  <w:r>
                    <w:rPr>
                      <w:rFonts w:ascii="仿宋_GB2312" w:hAnsi="仿宋_GB2312" w:cs="仿宋_GB2312" w:eastAsia="仿宋_GB2312"/>
                      <w:sz w:val="20"/>
                    </w:rPr>
                    <w:t>5kg）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3</w:t>
                  </w:r>
                </w:p>
              </w:tc>
              <w:tc>
                <w:tcPr>
                  <w:tcW w:type="dxa" w:w="100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亚麻籽油</w:t>
                  </w:r>
                  <w:r>
                    <w:rPr>
                      <w:rFonts w:ascii="仿宋_GB2312" w:hAnsi="仿宋_GB2312" w:cs="仿宋_GB2312" w:eastAsia="仿宋_GB2312"/>
                      <w:sz w:val="20"/>
                    </w:rPr>
                    <w:t>500ML*2礼盒装</w:t>
                  </w:r>
                </w:p>
              </w:tc>
              <w:tc>
                <w:tcPr>
                  <w:tcW w:type="dxa" w:w="124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果汁礼盒</w:t>
                  </w:r>
                  <w:r>
                    <w:rPr>
                      <w:rFonts w:ascii="仿宋_GB2312" w:hAnsi="仿宋_GB2312" w:cs="仿宋_GB2312" w:eastAsia="仿宋_GB2312"/>
                      <w:sz w:val="20"/>
                    </w:rPr>
                    <w:t xml:space="preserve"> (≥2500ml）</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4</w:t>
                  </w:r>
                </w:p>
              </w:tc>
              <w:tc>
                <w:tcPr>
                  <w:tcW w:type="dxa" w:w="100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杂粮粥料礼盒</w:t>
                  </w:r>
                  <w:r>
                    <w:rPr>
                      <w:rFonts w:ascii="仿宋_GB2312" w:hAnsi="仿宋_GB2312" w:cs="仿宋_GB2312" w:eastAsia="仿宋_GB2312"/>
                      <w:sz w:val="20"/>
                    </w:rPr>
                    <w:t xml:space="preserve"> (≥1kg）</w:t>
                  </w:r>
                </w:p>
              </w:tc>
              <w:tc>
                <w:tcPr>
                  <w:tcW w:type="dxa" w:w="124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阿胶糕</w:t>
                  </w:r>
                  <w:r>
                    <w:rPr>
                      <w:rFonts w:ascii="仿宋_GB2312" w:hAnsi="仿宋_GB2312" w:cs="仿宋_GB2312" w:eastAsia="仿宋_GB2312"/>
                    </w:rPr>
                    <w:t xml:space="preserve"> </w:t>
                  </w:r>
                  <w:r>
                    <w:rPr>
                      <w:rFonts w:ascii="仿宋_GB2312" w:hAnsi="仿宋_GB2312" w:cs="仿宋_GB2312" w:eastAsia="仿宋_GB2312"/>
                      <w:sz w:val="20"/>
                    </w:rPr>
                    <w:t>(≥500g）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5</w:t>
                  </w:r>
                </w:p>
              </w:tc>
              <w:tc>
                <w:tcPr>
                  <w:tcW w:type="dxa" w:w="100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香菇（</w:t>
                  </w:r>
                  <w:r>
                    <w:rPr>
                      <w:rFonts w:ascii="仿宋_GB2312" w:hAnsi="仿宋_GB2312" w:cs="仿宋_GB2312" w:eastAsia="仿宋_GB2312"/>
                      <w:sz w:val="20"/>
                    </w:rPr>
                    <w:t>250g甲方指定）</w:t>
                  </w:r>
                </w:p>
              </w:tc>
              <w:tc>
                <w:tcPr>
                  <w:tcW w:type="dxa" w:w="1248"/>
                  <w:tcBorders>
                    <w:top w:val="single" w:color="000000" w:sz="4"/>
                    <w:left w:val="single" w:color="000000" w:sz="4"/>
                    <w:bottom w:val="single" w:color="000000" w:sz="4"/>
                    <w:right w:val="single" w:color="000000" w:sz="4"/>
                  </w:tcBorders>
                  <w:shd w:fill="9BC2E6"/>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木耳（</w:t>
                  </w:r>
                  <w:r>
                    <w:rPr>
                      <w:rFonts w:ascii="仿宋_GB2312" w:hAnsi="仿宋_GB2312" w:cs="仿宋_GB2312" w:eastAsia="仿宋_GB2312"/>
                      <w:sz w:val="20"/>
                    </w:rPr>
                    <w:t>250g甲方指定）</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1</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雪花粉</w:t>
                  </w:r>
                  <w:r>
                    <w:rPr>
                      <w:rFonts w:ascii="仿宋_GB2312" w:hAnsi="仿宋_GB2312" w:cs="仿宋_GB2312" w:eastAsia="仿宋_GB2312"/>
                      <w:sz w:val="20"/>
                    </w:rPr>
                    <w:t>(5kg）</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曲奇礼盒</w:t>
                  </w:r>
                  <w:r>
                    <w:rPr>
                      <w:rFonts w:ascii="仿宋_GB2312" w:hAnsi="仿宋_GB2312" w:cs="仿宋_GB2312" w:eastAsia="仿宋_GB2312"/>
                      <w:sz w:val="20"/>
                    </w:rPr>
                    <w:t xml:space="preserve"> (≥500g）</w:t>
                  </w:r>
                </w:p>
              </w:tc>
              <w:tc>
                <w:tcPr>
                  <w:tcW w:type="dxa" w:w="189"/>
                  <w:vMerge w:val="restart"/>
                  <w:tcBorders>
                    <w:top w:val="single" w:color="000000" w:sz="4"/>
                    <w:left w:val="single" w:color="000000" w:sz="4"/>
                    <w:bottom w:val="none" w:color="000000" w:sz="4"/>
                    <w:right w:val="single" w:color="000000" w:sz="4"/>
                  </w:tcBorders>
                  <w:shd w:fill="F8CBAD"/>
                  <w:tcMar>
                    <w:top w:type="dxa" w:w="0"/>
                    <w:left w:type="dxa" w:w="0"/>
                    <w:bottom w:type="dxa" w:w="0"/>
                    <w:right w:type="dxa" w:w="0"/>
                  </w:tcMar>
                  <w:vAlign w:val="top"/>
                </w:tcPr>
                <w:p>
                  <w:pPr>
                    <w:pStyle w:val="null3"/>
                    <w:jc w:val="both"/>
                  </w:pPr>
                  <w:r>
                    <w:rPr>
                      <w:rFonts w:ascii="仿宋_GB2312" w:hAnsi="仿宋_GB2312" w:cs="仿宋_GB2312" w:eastAsia="仿宋_GB2312"/>
                      <w:sz w:val="20"/>
                    </w:rPr>
                    <w:t>中秋节</w:t>
                  </w: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2</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二酯油</w:t>
                  </w:r>
                  <w:r>
                    <w:rPr>
                      <w:rFonts w:ascii="仿宋_GB2312" w:hAnsi="仿宋_GB2312" w:cs="仿宋_GB2312" w:eastAsia="仿宋_GB2312"/>
                      <w:sz w:val="20"/>
                    </w:rPr>
                    <w:t xml:space="preserve"> (≥4L)（核心产品)</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二酯油</w:t>
                  </w:r>
                  <w:r>
                    <w:rPr>
                      <w:rFonts w:ascii="仿宋_GB2312" w:hAnsi="仿宋_GB2312" w:cs="仿宋_GB2312" w:eastAsia="仿宋_GB2312"/>
                      <w:sz w:val="20"/>
                    </w:rPr>
                    <w:t xml:space="preserve"> (≥4L)（核心产品)</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3</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调味品礼盒（醋、蚝油、料酒、生抽、老抽）</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杂粮粥料礼盒</w:t>
                  </w:r>
                  <w:r>
                    <w:rPr>
                      <w:rFonts w:ascii="仿宋_GB2312" w:hAnsi="仿宋_GB2312" w:cs="仿宋_GB2312" w:eastAsia="仿宋_GB2312"/>
                      <w:sz w:val="20"/>
                    </w:rPr>
                    <w:t xml:space="preserve"> (≥1kg）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4</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老婆饼</w:t>
                  </w:r>
                  <w:r>
                    <w:rPr>
                      <w:rFonts w:ascii="仿宋_GB2312" w:hAnsi="仿宋_GB2312" w:cs="仿宋_GB2312" w:eastAsia="仿宋_GB2312"/>
                      <w:sz w:val="20"/>
                    </w:rPr>
                    <w:t xml:space="preserve"> (≥400g）</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老婆饼</w:t>
                  </w:r>
                  <w:r>
                    <w:rPr>
                      <w:rFonts w:ascii="仿宋_GB2312" w:hAnsi="仿宋_GB2312" w:cs="仿宋_GB2312" w:eastAsia="仿宋_GB2312"/>
                    </w:rPr>
                    <w:t xml:space="preserve"> </w:t>
                  </w:r>
                  <w:r>
                    <w:rPr>
                      <w:rFonts w:ascii="仿宋_GB2312" w:hAnsi="仿宋_GB2312" w:cs="仿宋_GB2312" w:eastAsia="仿宋_GB2312"/>
                      <w:sz w:val="20"/>
                    </w:rPr>
                    <w:t>(≥400g）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pPr>
                  <w:r>
                    <w:rPr>
                      <w:rFonts w:ascii="仿宋_GB2312" w:hAnsi="仿宋_GB2312" w:cs="仿宋_GB2312" w:eastAsia="仿宋_GB2312"/>
                      <w:sz w:val="20"/>
                    </w:rPr>
                    <w:t>5</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黄花菜（</w:t>
                  </w:r>
                  <w:r>
                    <w:rPr>
                      <w:rFonts w:ascii="仿宋_GB2312" w:hAnsi="仿宋_GB2312" w:cs="仿宋_GB2312" w:eastAsia="仿宋_GB2312"/>
                      <w:sz w:val="20"/>
                    </w:rPr>
                    <w:t>250g甲方指定）</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黄花菜（</w:t>
                  </w:r>
                  <w:r>
                    <w:rPr>
                      <w:rFonts w:ascii="仿宋_GB2312" w:hAnsi="仿宋_GB2312" w:cs="仿宋_GB2312" w:eastAsia="仿宋_GB2312"/>
                      <w:sz w:val="20"/>
                    </w:rPr>
                    <w:t>250g甲方指定）</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6</w:t>
                  </w:r>
                </w:p>
              </w:tc>
              <w:tc>
                <w:tcPr>
                  <w:tcW w:type="dxa" w:w="100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鸡蛋（</w:t>
                  </w:r>
                  <w:r>
                    <w:rPr>
                      <w:rFonts w:ascii="仿宋_GB2312" w:hAnsi="仿宋_GB2312" w:cs="仿宋_GB2312" w:eastAsia="仿宋_GB2312"/>
                      <w:sz w:val="20"/>
                    </w:rPr>
                    <w:t>50枚甲方指定）</w:t>
                  </w:r>
                </w:p>
              </w:tc>
              <w:tc>
                <w:tcPr>
                  <w:tcW w:type="dxa" w:w="1248"/>
                  <w:tcBorders>
                    <w:top w:val="single" w:color="000000" w:sz="4"/>
                    <w:left w:val="single" w:color="000000" w:sz="4"/>
                    <w:bottom w:val="single" w:color="000000" w:sz="4"/>
                    <w:right w:val="single" w:color="000000" w:sz="4"/>
                  </w:tcBorders>
                  <w:shd w:fill="F8CBAD"/>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鸡蛋（</w:t>
                  </w:r>
                  <w:r>
                    <w:rPr>
                      <w:rFonts w:ascii="仿宋_GB2312" w:hAnsi="仿宋_GB2312" w:cs="仿宋_GB2312" w:eastAsia="仿宋_GB2312"/>
                      <w:sz w:val="20"/>
                    </w:rPr>
                    <w:t>50枚甲方指定）</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1</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雪花粉</w:t>
                  </w:r>
                  <w:r>
                    <w:rPr>
                      <w:rFonts w:ascii="仿宋_GB2312" w:hAnsi="仿宋_GB2312" w:cs="仿宋_GB2312" w:eastAsia="仿宋_GB2312"/>
                      <w:sz w:val="20"/>
                    </w:rPr>
                    <w:t>(5kg）</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雪花粉</w:t>
                  </w:r>
                  <w:r>
                    <w:rPr>
                      <w:rFonts w:ascii="仿宋_GB2312" w:hAnsi="仿宋_GB2312" w:cs="仿宋_GB2312" w:eastAsia="仿宋_GB2312"/>
                      <w:sz w:val="20"/>
                    </w:rPr>
                    <w:t>(5kg）</w:t>
                  </w:r>
                </w:p>
              </w:tc>
              <w:tc>
                <w:tcPr>
                  <w:tcW w:type="dxa" w:w="189"/>
                  <w:vMerge w:val="restart"/>
                  <w:tcBorders>
                    <w:top w:val="single" w:color="000000" w:sz="4"/>
                    <w:left w:val="single" w:color="000000" w:sz="4"/>
                    <w:bottom w:val="none" w:color="000000" w:sz="4"/>
                    <w:right w:val="single" w:color="000000" w:sz="4"/>
                  </w:tcBorders>
                  <w:shd w:fill="C6E0B4"/>
                  <w:tcMar>
                    <w:top w:type="dxa" w:w="0"/>
                    <w:left w:type="dxa" w:w="0"/>
                    <w:bottom w:type="dxa" w:w="0"/>
                    <w:right w:type="dxa" w:w="0"/>
                  </w:tcMar>
                  <w:vAlign w:val="top"/>
                </w:tcPr>
                <w:p>
                  <w:pPr>
                    <w:pStyle w:val="null3"/>
                    <w:jc w:val="both"/>
                  </w:pPr>
                  <w:r>
                    <w:rPr>
                      <w:rFonts w:ascii="仿宋_GB2312" w:hAnsi="仿宋_GB2312" w:cs="仿宋_GB2312" w:eastAsia="仿宋_GB2312"/>
                      <w:sz w:val="20"/>
                    </w:rPr>
                    <w:t>春节</w:t>
                  </w: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2</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五常稻花香米（</w:t>
                  </w:r>
                  <w:r>
                    <w:rPr>
                      <w:rFonts w:ascii="仿宋_GB2312" w:hAnsi="仿宋_GB2312" w:cs="仿宋_GB2312" w:eastAsia="仿宋_GB2312"/>
                      <w:sz w:val="20"/>
                    </w:rPr>
                    <w:t>5kg）</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甜糯玉米礼盒装</w:t>
                  </w:r>
                  <w:r>
                    <w:rPr>
                      <w:rFonts w:ascii="仿宋_GB2312" w:hAnsi="仿宋_GB2312" w:cs="仿宋_GB2312" w:eastAsia="仿宋_GB2312"/>
                      <w:sz w:val="20"/>
                    </w:rPr>
                    <w:t>(≥2kg）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3</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组合油</w:t>
                  </w:r>
                  <w:r>
                    <w:rPr>
                      <w:rFonts w:ascii="仿宋_GB2312" w:hAnsi="仿宋_GB2312" w:cs="仿宋_GB2312" w:eastAsia="仿宋_GB2312"/>
                    </w:rPr>
                    <w:t xml:space="preserve"> </w:t>
                  </w:r>
                  <w:r>
                    <w:rPr>
                      <w:rFonts w:ascii="仿宋_GB2312" w:hAnsi="仿宋_GB2312" w:cs="仿宋_GB2312" w:eastAsia="仿宋_GB2312"/>
                      <w:sz w:val="20"/>
                    </w:rPr>
                    <w:t>(≥4.5L)</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组合油</w:t>
                  </w:r>
                  <w:r>
                    <w:rPr>
                      <w:rFonts w:ascii="仿宋_GB2312" w:hAnsi="仿宋_GB2312" w:cs="仿宋_GB2312" w:eastAsia="仿宋_GB2312"/>
                    </w:rPr>
                    <w:t xml:space="preserve"> </w:t>
                  </w:r>
                  <w:r>
                    <w:rPr>
                      <w:rFonts w:ascii="仿宋_GB2312" w:hAnsi="仿宋_GB2312" w:cs="仿宋_GB2312" w:eastAsia="仿宋_GB2312"/>
                      <w:sz w:val="20"/>
                    </w:rPr>
                    <w:t>(≥4.5L)</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4</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瓜子礼盒（</w:t>
                  </w:r>
                  <w:r>
                    <w:rPr>
                      <w:rFonts w:ascii="仿宋_GB2312" w:hAnsi="仿宋_GB2312" w:cs="仿宋_GB2312" w:eastAsia="仿宋_GB2312"/>
                      <w:sz w:val="20"/>
                    </w:rPr>
                    <w:t>218g*2罐）</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瓜子礼盒（</w:t>
                  </w:r>
                  <w:r>
                    <w:rPr>
                      <w:rFonts w:ascii="仿宋_GB2312" w:hAnsi="仿宋_GB2312" w:cs="仿宋_GB2312" w:eastAsia="仿宋_GB2312"/>
                      <w:sz w:val="20"/>
                    </w:rPr>
                    <w:t>218g*2罐）</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5</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坚果礼盒</w:t>
                  </w:r>
                  <w:r>
                    <w:rPr>
                      <w:rFonts w:ascii="仿宋_GB2312" w:hAnsi="仿宋_GB2312" w:cs="仿宋_GB2312" w:eastAsia="仿宋_GB2312"/>
                      <w:sz w:val="20"/>
                    </w:rPr>
                    <w:t xml:space="preserve"> (≥1200g）</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饼干礼盒</w:t>
                  </w:r>
                  <w:r>
                    <w:rPr>
                      <w:rFonts w:ascii="仿宋_GB2312" w:hAnsi="仿宋_GB2312" w:cs="仿宋_GB2312" w:eastAsia="仿宋_GB2312"/>
                      <w:sz w:val="20"/>
                    </w:rPr>
                    <w:t>(≥500g)</w:t>
                  </w:r>
                </w:p>
              </w:tc>
              <w:tc>
                <w:tcPr>
                  <w:tcW w:type="dxa" w:w="189"/>
                  <w:vMerge/>
                  <w:tcBorders>
                    <w:top w:val="single" w:color="000000" w:sz="4"/>
                    <w:left w:val="single" w:color="000000" w:sz="4"/>
                    <w:bottom w:val="none" w:color="000000" w:sz="4"/>
                    <w:right w:val="single" w:color="000000" w:sz="4"/>
                  </w:tcBorders>
                </w:tcPr>
                <w:p/>
              </w:tc>
            </w:tr>
            <w:tr>
              <w:tc>
                <w:tcPr>
                  <w:tcW w:type="dxa" w:w="107"/>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6</w:t>
                  </w:r>
                </w:p>
              </w:tc>
              <w:tc>
                <w:tcPr>
                  <w:tcW w:type="dxa" w:w="100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鸡蛋（</w:t>
                  </w:r>
                  <w:r>
                    <w:rPr>
                      <w:rFonts w:ascii="仿宋_GB2312" w:hAnsi="仿宋_GB2312" w:cs="仿宋_GB2312" w:eastAsia="仿宋_GB2312"/>
                      <w:sz w:val="20"/>
                    </w:rPr>
                    <w:t>50枚甲方指定）</w:t>
                  </w:r>
                </w:p>
              </w:tc>
              <w:tc>
                <w:tcPr>
                  <w:tcW w:type="dxa" w:w="1248"/>
                  <w:tcBorders>
                    <w:top w:val="single" w:color="000000" w:sz="4"/>
                    <w:left w:val="single" w:color="000000" w:sz="4"/>
                    <w:bottom w:val="single" w:color="000000" w:sz="4"/>
                    <w:right w:val="single" w:color="000000" w:sz="4"/>
                  </w:tcBorders>
                  <w:shd w:fill="C6E0B4"/>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鸡蛋（</w:t>
                  </w:r>
                  <w:r>
                    <w:rPr>
                      <w:rFonts w:ascii="仿宋_GB2312" w:hAnsi="仿宋_GB2312" w:cs="仿宋_GB2312" w:eastAsia="仿宋_GB2312"/>
                      <w:sz w:val="20"/>
                    </w:rPr>
                    <w:t>50枚甲方指定）</w:t>
                  </w:r>
                </w:p>
              </w:tc>
              <w:tc>
                <w:tcPr>
                  <w:tcW w:type="dxa" w:w="189"/>
                  <w:vMerge/>
                  <w:tcBorders>
                    <w:top w:val="single" w:color="000000" w:sz="4"/>
                    <w:left w:val="single" w:color="000000" w:sz="4"/>
                    <w:bottom w:val="none" w:color="000000" w:sz="4"/>
                    <w:right w:val="single" w:color="000000" w:sz="4"/>
                  </w:tcBorders>
                </w:tcPr>
                <w:p/>
              </w:tc>
            </w:tr>
          </w:tbl>
          <w:p>
            <w:pPr>
              <w:pStyle w:val="null3"/>
              <w:ind w:firstLine="201"/>
              <w:jc w:val="both"/>
            </w:pPr>
            <w:r>
              <w:rPr>
                <w:rFonts w:ascii="仿宋_GB2312" w:hAnsi="仿宋_GB2312" w:cs="仿宋_GB2312" w:eastAsia="仿宋_GB2312"/>
                <w:sz w:val="20"/>
                <w:b/>
              </w:rPr>
              <w:t>共</w:t>
            </w:r>
            <w:r>
              <w:rPr>
                <w:rFonts w:ascii="仿宋_GB2312" w:hAnsi="仿宋_GB2312" w:cs="仿宋_GB2312" w:eastAsia="仿宋_GB2312"/>
                <w:sz w:val="20"/>
                <w:b/>
              </w:rPr>
              <w:t>1500元。其中270元为甲方指定助农产品。1230元为招标产品。</w:t>
            </w:r>
          </w:p>
          <w:p>
            <w:pPr>
              <w:pStyle w:val="null3"/>
              <w:jc w:val="both"/>
            </w:pPr>
            <w:r>
              <w:rPr>
                <w:rFonts w:ascii="仿宋_GB2312" w:hAnsi="仿宋_GB2312" w:cs="仿宋_GB2312" w:eastAsia="仿宋_GB2312"/>
                <w:sz w:val="20"/>
                <w:b/>
              </w:rPr>
              <w:t>2.结算要求：</w:t>
            </w:r>
            <w:r>
              <w:rPr>
                <w:rFonts w:ascii="仿宋_GB2312" w:hAnsi="仿宋_GB2312" w:cs="仿宋_GB2312" w:eastAsia="仿宋_GB2312"/>
                <w:sz w:val="21"/>
              </w:rPr>
              <w:t>每批次</w:t>
            </w:r>
            <w:r>
              <w:rPr>
                <w:rFonts w:ascii="仿宋_GB2312" w:hAnsi="仿宋_GB2312" w:cs="仿宋_GB2312" w:eastAsia="仿宋_GB2312"/>
                <w:sz w:val="20"/>
              </w:rPr>
              <w:t>货物送达甲方指定点（并负责分次发放）并经采购人验收合格后提供</w:t>
            </w:r>
            <w:r>
              <w:rPr>
                <w:rFonts w:ascii="仿宋_GB2312" w:hAnsi="仿宋_GB2312" w:cs="仿宋_GB2312" w:eastAsia="仿宋_GB2312"/>
                <w:sz w:val="20"/>
              </w:rPr>
              <w:t>9</w:t>
            </w:r>
            <w:r>
              <w:rPr>
                <w:rFonts w:ascii="仿宋_GB2312" w:hAnsi="仿宋_GB2312" w:cs="仿宋_GB2312" w:eastAsia="仿宋_GB2312"/>
                <w:sz w:val="20"/>
              </w:rPr>
              <w:t>0</w:t>
            </w:r>
            <w:r>
              <w:rPr>
                <w:rFonts w:ascii="仿宋_GB2312" w:hAnsi="仿宋_GB2312" w:cs="仿宋_GB2312" w:eastAsia="仿宋_GB2312"/>
                <w:sz w:val="20"/>
              </w:rPr>
              <w:t>％的增值税发票后，采购人将在一个月内支付给投标人</w:t>
            </w:r>
            <w:r>
              <w:rPr>
                <w:rFonts w:ascii="仿宋_GB2312" w:hAnsi="仿宋_GB2312" w:cs="仿宋_GB2312" w:eastAsia="仿宋_GB2312"/>
                <w:sz w:val="20"/>
              </w:rPr>
              <w:t>90</w:t>
            </w:r>
            <w:r>
              <w:rPr>
                <w:rFonts w:ascii="仿宋_GB2312" w:hAnsi="仿宋_GB2312" w:cs="仿宋_GB2312" w:eastAsia="仿宋_GB2312"/>
                <w:sz w:val="20"/>
              </w:rPr>
              <w:t>％的货款，三个月内乙方向甲方提供剩余货款的增值税发票后，采购人支付剩余的货款。中标单位的投标内容及其中标总金额，合同总价一次包死，不受市场价变化的影响。</w:t>
            </w:r>
          </w:p>
          <w:p>
            <w:pPr>
              <w:pStyle w:val="null3"/>
              <w:jc w:val="both"/>
            </w:pPr>
            <w:r>
              <w:rPr>
                <w:rFonts w:ascii="仿宋_GB2312" w:hAnsi="仿宋_GB2312" w:cs="仿宋_GB2312" w:eastAsia="仿宋_GB2312"/>
                <w:sz w:val="20"/>
                <w:b/>
              </w:rPr>
              <w:t>3.</w:t>
            </w:r>
            <w:r>
              <w:rPr>
                <w:rFonts w:ascii="仿宋_GB2312" w:hAnsi="仿宋_GB2312" w:cs="仿宋_GB2312" w:eastAsia="仿宋_GB2312"/>
                <w:sz w:val="20"/>
                <w:b/>
              </w:rPr>
              <w:t>交接要求：</w:t>
            </w:r>
            <w:r>
              <w:rPr>
                <w:rFonts w:ascii="仿宋_GB2312" w:hAnsi="仿宋_GB2312" w:cs="仿宋_GB2312" w:eastAsia="仿宋_GB2312"/>
                <w:sz w:val="20"/>
              </w:rPr>
              <w:t>按照甲方的要求在约定时间和约定地点交货（并负责分次发放）。</w:t>
            </w:r>
          </w:p>
          <w:p>
            <w:pPr>
              <w:pStyle w:val="null3"/>
              <w:jc w:val="both"/>
            </w:pPr>
            <w:r>
              <w:rPr>
                <w:rFonts w:ascii="仿宋_GB2312" w:hAnsi="仿宋_GB2312" w:cs="仿宋_GB2312" w:eastAsia="仿宋_GB2312"/>
                <w:sz w:val="20"/>
              </w:rPr>
              <w:t>产品规格、数量：即交付的产品规格、数量与投标文件所指明的，或者与本合同所指明的产品规格相一致。交接后三个月内如有产品质量问题，乙方应无条件退换。中标单位未征得采购单位同意和谅解而单方面延迟交货，将按违约终止合同。中标单位遇到可能妨碍按时交货和提供服务的情况，应当及时以书面形式通知采购单位，说明原由、拖延的期限等；采购单位、采购代理机构在收到通知后，尽快进行情况评估并确定是否通过修改合同，酌情延长交货时间或者通过协商加收误期赔偿金。</w:t>
            </w:r>
          </w:p>
          <w:p>
            <w:pPr>
              <w:pStyle w:val="null3"/>
              <w:jc w:val="both"/>
            </w:pPr>
            <w:r>
              <w:rPr>
                <w:rFonts w:ascii="仿宋_GB2312" w:hAnsi="仿宋_GB2312" w:cs="仿宋_GB2312" w:eastAsia="仿宋_GB2312"/>
                <w:sz w:val="20"/>
                <w:b/>
              </w:rPr>
              <w:t>4.交货期限：</w:t>
            </w:r>
            <w:r>
              <w:rPr>
                <w:rFonts w:ascii="仿宋_GB2312" w:hAnsi="仿宋_GB2312" w:cs="仿宋_GB2312" w:eastAsia="仿宋_GB2312"/>
                <w:sz w:val="20"/>
                <w:b/>
              </w:rPr>
              <w:t>按照每个节日分批送货，</w:t>
            </w:r>
            <w:r>
              <w:rPr>
                <w:rFonts w:ascii="仿宋_GB2312" w:hAnsi="仿宋_GB2312" w:cs="仿宋_GB2312" w:eastAsia="仿宋_GB2312"/>
                <w:sz w:val="20"/>
                <w:b/>
              </w:rPr>
              <w:t>每批次接到发货通知后</w:t>
            </w:r>
            <w:r>
              <w:rPr>
                <w:rFonts w:ascii="仿宋_GB2312" w:hAnsi="仿宋_GB2312" w:cs="仿宋_GB2312" w:eastAsia="仿宋_GB2312"/>
                <w:sz w:val="20"/>
                <w:b/>
              </w:rPr>
              <w:t>10</w:t>
            </w:r>
            <w:r>
              <w:rPr>
                <w:rFonts w:ascii="仿宋_GB2312" w:hAnsi="仿宋_GB2312" w:cs="仿宋_GB2312" w:eastAsia="仿宋_GB2312"/>
                <w:sz w:val="20"/>
                <w:b/>
              </w:rPr>
              <w:t>日历天内完成。</w:t>
            </w:r>
          </w:p>
          <w:p>
            <w:pPr>
              <w:pStyle w:val="null3"/>
              <w:jc w:val="both"/>
            </w:pPr>
            <w:r>
              <w:rPr>
                <w:rFonts w:ascii="仿宋_GB2312" w:hAnsi="仿宋_GB2312" w:cs="仿宋_GB2312" w:eastAsia="仿宋_GB2312"/>
                <w:sz w:val="20"/>
                <w:b/>
              </w:rPr>
              <w:t>5.</w:t>
            </w:r>
            <w:r>
              <w:rPr>
                <w:rFonts w:ascii="仿宋_GB2312" w:hAnsi="仿宋_GB2312" w:cs="仿宋_GB2312" w:eastAsia="仿宋_GB2312"/>
                <w:sz w:val="20"/>
                <w:b/>
              </w:rPr>
              <w:t>其他要求：</w:t>
            </w:r>
            <w:r>
              <w:rPr>
                <w:rFonts w:ascii="仿宋_GB2312" w:hAnsi="仿宋_GB2312" w:cs="仿宋_GB2312" w:eastAsia="仿宋_GB2312"/>
                <w:sz w:val="20"/>
                <w:b/>
              </w:rPr>
              <w:t>香菇、木耳、黄花菜</w:t>
            </w:r>
            <w:r>
              <w:rPr>
                <w:rFonts w:ascii="仿宋_GB2312" w:hAnsi="仿宋_GB2312" w:cs="仿宋_GB2312" w:eastAsia="仿宋_GB2312"/>
                <w:sz w:val="20"/>
                <w:b/>
              </w:rPr>
              <w:t>、鸡蛋采购为扶贫项目，此项费用固定为</w:t>
            </w:r>
            <w:r>
              <w:rPr>
                <w:rFonts w:ascii="仿宋_GB2312" w:hAnsi="仿宋_GB2312" w:cs="仿宋_GB2312" w:eastAsia="仿宋_GB2312"/>
                <w:sz w:val="20"/>
                <w:b/>
              </w:rPr>
              <w:t>27</w:t>
            </w:r>
            <w:r>
              <w:rPr>
                <w:rFonts w:ascii="仿宋_GB2312" w:hAnsi="仿宋_GB2312" w:cs="仿宋_GB2312" w:eastAsia="仿宋_GB2312"/>
                <w:sz w:val="20"/>
                <w:b/>
              </w:rPr>
              <w:t>0</w:t>
            </w:r>
            <w:r>
              <w:rPr>
                <w:rFonts w:ascii="仿宋_GB2312" w:hAnsi="仿宋_GB2312" w:cs="仿宋_GB2312" w:eastAsia="仿宋_GB2312"/>
                <w:sz w:val="20"/>
                <w:b/>
              </w:rPr>
              <w:t>元</w:t>
            </w:r>
            <w:r>
              <w:rPr>
                <w:rFonts w:ascii="仿宋_GB2312" w:hAnsi="仿宋_GB2312" w:cs="仿宋_GB2312" w:eastAsia="仿宋_GB2312"/>
                <w:sz w:val="20"/>
                <w:b/>
              </w:rPr>
              <w:t>/</w:t>
            </w:r>
            <w:r>
              <w:rPr>
                <w:rFonts w:ascii="仿宋_GB2312" w:hAnsi="仿宋_GB2312" w:cs="仿宋_GB2312" w:eastAsia="仿宋_GB2312"/>
                <w:sz w:val="20"/>
                <w:b/>
              </w:rPr>
              <w:t>份</w:t>
            </w:r>
            <w:r>
              <w:rPr>
                <w:rFonts w:ascii="仿宋_GB2312" w:hAnsi="仿宋_GB2312" w:cs="仿宋_GB2312" w:eastAsia="仿宋_GB2312"/>
                <w:sz w:val="20"/>
                <w:b/>
              </w:rPr>
              <w:t>/</w:t>
            </w:r>
            <w:r>
              <w:rPr>
                <w:rFonts w:ascii="仿宋_GB2312" w:hAnsi="仿宋_GB2312" w:cs="仿宋_GB2312" w:eastAsia="仿宋_GB2312"/>
                <w:sz w:val="20"/>
                <w:b/>
              </w:rPr>
              <w:t>人，此项费用为不可竞争费用。</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其它要求及说明</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运输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1）中标单位负责所有货物的运输。确保货物安全、完整到达使用地点，运杂费用包含在总价内，包括货物从供货地点到使用地点的运输费、保险费、搬运费等。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2）所有货物在运输、搬运的过程中，造成采购单位损失的，由中标单位承担。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3）中标单位可根据交货期、运输条件自行选择运输方式（另有规定的除外），承担一切运输费用 。</w:t>
            </w:r>
          </w:p>
          <w:p>
            <w:pPr>
              <w:pStyle w:val="null3"/>
              <w:jc w:val="both"/>
            </w:pPr>
            <w:r>
              <w:rPr>
                <w:rFonts w:ascii="仿宋_GB2312" w:hAnsi="仿宋_GB2312" w:cs="仿宋_GB2312" w:eastAsia="仿宋_GB2312"/>
                <w:sz w:val="20"/>
              </w:rPr>
              <w:t>2.质量保证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1）所供货物必须是经过办理正常手续的全新产品。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2）所供货物是经过国家法定检验、注册、准许市场销售的合法产品。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3）货物质量保证措施完善，符合国家相关标准。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4）在质保期内，如果发现货物的质量、规格等存在与合同中任何一项不符，采购单位应在最短时间内，以书面形式向中标单位提出索赔。同时通告采购代理机构。</w:t>
            </w:r>
          </w:p>
          <w:p>
            <w:pPr>
              <w:pStyle w:val="null3"/>
              <w:jc w:val="both"/>
            </w:pPr>
            <w:r>
              <w:rPr>
                <w:rFonts w:ascii="仿宋_GB2312" w:hAnsi="仿宋_GB2312" w:cs="仿宋_GB2312" w:eastAsia="仿宋_GB2312"/>
                <w:sz w:val="20"/>
              </w:rPr>
              <w:t>3.采购项目执行内容需要调整时，经采购单位同意后，可以对相应的原材料进行调整，并协商确定 价格差额计算方法和负担办法。</w:t>
            </w:r>
          </w:p>
          <w:p>
            <w:pPr>
              <w:pStyle w:val="null3"/>
              <w:jc w:val="both"/>
            </w:pPr>
            <w:r>
              <w:rPr>
                <w:rFonts w:ascii="仿宋_GB2312" w:hAnsi="仿宋_GB2312" w:cs="仿宋_GB2312" w:eastAsia="仿宋_GB2312"/>
                <w:sz w:val="20"/>
              </w:rPr>
              <w:t>4.产品变更</w:t>
            </w:r>
          </w:p>
          <w:p>
            <w:pPr>
              <w:pStyle w:val="null3"/>
              <w:ind w:firstLine="396"/>
              <w:jc w:val="both"/>
            </w:pPr>
            <w:r>
              <w:rPr>
                <w:rFonts w:ascii="仿宋_GB2312" w:hAnsi="仿宋_GB2312" w:cs="仿宋_GB2312" w:eastAsia="仿宋_GB2312"/>
                <w:sz w:val="20"/>
              </w:rPr>
              <w:t>中标后，生产加工产品的数量需要变更、调整时，应办理相应的变更、调整审批手续，并协商确定设计变更、数量调整后的产品价款计算方法和工期顺延等事宜。</w:t>
            </w:r>
          </w:p>
          <w:p>
            <w:pPr>
              <w:pStyle w:val="null3"/>
              <w:jc w:val="both"/>
            </w:pPr>
            <w:r>
              <w:rPr>
                <w:rFonts w:ascii="仿宋_GB2312" w:hAnsi="仿宋_GB2312" w:cs="仿宋_GB2312" w:eastAsia="仿宋_GB2312"/>
                <w:sz w:val="20"/>
              </w:rPr>
              <w:t>5.验收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1）由采购单位实施验收。</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2）验收依据：验收须以合同、招投标文件、澄清、及国家相应的标准、规范等为依据。</w:t>
            </w:r>
          </w:p>
          <w:p>
            <w:pPr>
              <w:pStyle w:val="null3"/>
              <w:jc w:val="both"/>
            </w:pPr>
            <w:r>
              <w:rPr>
                <w:rFonts w:ascii="仿宋_GB2312" w:hAnsi="仿宋_GB2312" w:cs="仿宋_GB2312" w:eastAsia="仿宋_GB2312"/>
                <w:sz w:val="20"/>
              </w:rPr>
              <w:t>6.合同争议的解决：合同执行中发生争议的，当事人双方应协商解决，协商达不成一致时，可向人民法院提请诉讼。</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在发生不可抗力情况下的应对措施和解决办法。</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合同一经签订，不得擅自变更、中止或者终止合同。对确需变更、调整或者中止、终止合同的，应按规定履行相应的手续。</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其他未列明事项以合同为准。对于上述项目要求，投标人应在投标文件中进行回应，作出承诺及说明。</w:t>
            </w:r>
          </w:p>
          <w:p>
            <w:pPr>
              <w:pStyle w:val="null3"/>
              <w:jc w:val="both"/>
            </w:pPr>
            <w:r>
              <w:rPr>
                <w:rFonts w:ascii="仿宋_GB2312" w:hAnsi="仿宋_GB2312" w:cs="仿宋_GB2312" w:eastAsia="仿宋_GB2312"/>
                <w:sz w:val="20"/>
              </w:rPr>
              <w:t>10、样品要求：</w:t>
            </w:r>
          </w:p>
          <w:p>
            <w:pPr>
              <w:pStyle w:val="null3"/>
              <w:jc w:val="both"/>
            </w:pPr>
            <w:r>
              <w:rPr>
                <w:rFonts w:ascii="仿宋_GB2312" w:hAnsi="仿宋_GB2312" w:cs="仿宋_GB2312" w:eastAsia="仿宋_GB2312"/>
                <w:sz w:val="20"/>
              </w:rPr>
              <w:t>10.1本项目要求提供样品，并对样品进行评审（样品不需提供检测报告）。</w:t>
            </w:r>
          </w:p>
          <w:p>
            <w:pPr>
              <w:pStyle w:val="null3"/>
              <w:jc w:val="both"/>
            </w:pPr>
            <w:r>
              <w:rPr>
                <w:rFonts w:ascii="仿宋_GB2312" w:hAnsi="仿宋_GB2312" w:cs="仿宋_GB2312" w:eastAsia="仿宋_GB2312"/>
                <w:sz w:val="20"/>
              </w:rPr>
              <w:t>10.2样品：</w:t>
            </w:r>
          </w:p>
          <w:p>
            <w:pPr>
              <w:pStyle w:val="null3"/>
              <w:jc w:val="both"/>
            </w:pPr>
            <w:r>
              <w:rPr>
                <w:rFonts w:ascii="仿宋_GB2312" w:hAnsi="仿宋_GB2312" w:cs="仿宋_GB2312" w:eastAsia="仿宋_GB2312"/>
                <w:sz w:val="20"/>
                <w:b/>
              </w:rPr>
              <w:t>端午节</w:t>
            </w:r>
            <w:r>
              <w:rPr>
                <w:rFonts w:ascii="仿宋_GB2312" w:hAnsi="仿宋_GB2312" w:cs="仿宋_GB2312" w:eastAsia="仿宋_GB2312"/>
                <w:sz w:val="20"/>
              </w:rPr>
              <w:t>：</w:t>
            </w:r>
            <w:r>
              <w:rPr>
                <w:rFonts w:ascii="仿宋_GB2312" w:hAnsi="仿宋_GB2312" w:cs="仿宋_GB2312" w:eastAsia="仿宋_GB2312"/>
                <w:sz w:val="20"/>
                <w:b/>
              </w:rPr>
              <w:t>A套餐</w:t>
            </w:r>
            <w:r>
              <w:rPr>
                <w:rFonts w:ascii="仿宋_GB2312" w:hAnsi="仿宋_GB2312" w:cs="仿宋_GB2312" w:eastAsia="仿宋_GB2312"/>
                <w:sz w:val="20"/>
              </w:rPr>
              <w:t>（</w:t>
            </w:r>
            <w:r>
              <w:rPr>
                <w:rFonts w:ascii="仿宋_GB2312" w:hAnsi="仿宋_GB2312" w:cs="仿宋_GB2312" w:eastAsia="仿宋_GB2312"/>
                <w:sz w:val="20"/>
              </w:rPr>
              <w:t>粽子礼盒、五常稻花香米、亚麻籽油、杂粮粥料礼盒、香菇</w:t>
            </w:r>
            <w:r>
              <w:rPr>
                <w:rFonts w:ascii="仿宋_GB2312" w:hAnsi="仿宋_GB2312" w:cs="仿宋_GB2312" w:eastAsia="仿宋_GB2312"/>
                <w:sz w:val="20"/>
              </w:rPr>
              <w:t>），</w:t>
            </w:r>
            <w:r>
              <w:rPr>
                <w:rFonts w:ascii="仿宋_GB2312" w:hAnsi="仿宋_GB2312" w:cs="仿宋_GB2312" w:eastAsia="仿宋_GB2312"/>
                <w:sz w:val="20"/>
                <w:b/>
              </w:rPr>
              <w:t>B套餐</w:t>
            </w:r>
            <w:r>
              <w:rPr>
                <w:rFonts w:ascii="仿宋_GB2312" w:hAnsi="仿宋_GB2312" w:cs="仿宋_GB2312" w:eastAsia="仿宋_GB2312"/>
                <w:sz w:val="20"/>
              </w:rPr>
              <w:t>（</w:t>
            </w:r>
            <w:r>
              <w:rPr>
                <w:rFonts w:ascii="仿宋_GB2312" w:hAnsi="仿宋_GB2312" w:cs="仿宋_GB2312" w:eastAsia="仿宋_GB2312"/>
                <w:sz w:val="20"/>
              </w:rPr>
              <w:t>粽子礼盒</w:t>
            </w:r>
            <w:r>
              <w:rPr>
                <w:rFonts w:ascii="仿宋_GB2312" w:hAnsi="仿宋_GB2312" w:cs="仿宋_GB2312" w:eastAsia="仿宋_GB2312"/>
                <w:sz w:val="20"/>
              </w:rPr>
              <w:t>、</w:t>
            </w:r>
            <w:r>
              <w:rPr>
                <w:rFonts w:ascii="仿宋_GB2312" w:hAnsi="仿宋_GB2312" w:cs="仿宋_GB2312" w:eastAsia="仿宋_GB2312"/>
                <w:sz w:val="20"/>
              </w:rPr>
              <w:t>五常稻花香米</w:t>
            </w:r>
            <w:r>
              <w:rPr>
                <w:rFonts w:ascii="仿宋_GB2312" w:hAnsi="仿宋_GB2312" w:cs="仿宋_GB2312" w:eastAsia="仿宋_GB2312"/>
                <w:sz w:val="20"/>
              </w:rPr>
              <w:t>、</w:t>
            </w:r>
            <w:r>
              <w:rPr>
                <w:rFonts w:ascii="仿宋_GB2312" w:hAnsi="仿宋_GB2312" w:cs="仿宋_GB2312" w:eastAsia="仿宋_GB2312"/>
                <w:sz w:val="20"/>
              </w:rPr>
              <w:t>果汁礼盒</w:t>
            </w:r>
            <w:r>
              <w:rPr>
                <w:rFonts w:ascii="仿宋_GB2312" w:hAnsi="仿宋_GB2312" w:cs="仿宋_GB2312" w:eastAsia="仿宋_GB2312"/>
                <w:sz w:val="20"/>
              </w:rPr>
              <w:t>、</w:t>
            </w:r>
            <w:r>
              <w:rPr>
                <w:rFonts w:ascii="仿宋_GB2312" w:hAnsi="仿宋_GB2312" w:cs="仿宋_GB2312" w:eastAsia="仿宋_GB2312"/>
                <w:sz w:val="20"/>
              </w:rPr>
              <w:t>阿胶糕</w:t>
            </w:r>
            <w:r>
              <w:rPr>
                <w:rFonts w:ascii="仿宋_GB2312" w:hAnsi="仿宋_GB2312" w:cs="仿宋_GB2312" w:eastAsia="仿宋_GB2312"/>
                <w:sz w:val="20"/>
              </w:rPr>
              <w:t>、</w:t>
            </w:r>
            <w:r>
              <w:rPr>
                <w:rFonts w:ascii="仿宋_GB2312" w:hAnsi="仿宋_GB2312" w:cs="仿宋_GB2312" w:eastAsia="仿宋_GB2312"/>
                <w:sz w:val="20"/>
              </w:rPr>
              <w:t>木耳</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中秋节：</w:t>
            </w:r>
            <w:r>
              <w:rPr>
                <w:rFonts w:ascii="仿宋_GB2312" w:hAnsi="仿宋_GB2312" w:cs="仿宋_GB2312" w:eastAsia="仿宋_GB2312"/>
                <w:sz w:val="20"/>
                <w:b/>
              </w:rPr>
              <w:t>A套餐</w:t>
            </w:r>
            <w:r>
              <w:rPr>
                <w:rFonts w:ascii="仿宋_GB2312" w:hAnsi="仿宋_GB2312" w:cs="仿宋_GB2312" w:eastAsia="仿宋_GB2312"/>
                <w:sz w:val="20"/>
              </w:rPr>
              <w:t>（雪花粉、二酯油、调味品礼盒（醋、蚝油、料酒、生抽、老抽）、老婆饼、黄花菜、鸡蛋</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b/>
              </w:rPr>
              <w:t>B套餐</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0"/>
              </w:rPr>
              <w:t>曲奇礼盒、</w:t>
            </w:r>
            <w:r>
              <w:rPr>
                <w:rFonts w:ascii="仿宋_GB2312" w:hAnsi="仿宋_GB2312" w:cs="仿宋_GB2312" w:eastAsia="仿宋_GB2312"/>
                <w:sz w:val="20"/>
              </w:rPr>
              <w:t>二酯油</w:t>
            </w:r>
            <w:r>
              <w:rPr>
                <w:rFonts w:ascii="仿宋_GB2312" w:hAnsi="仿宋_GB2312" w:cs="仿宋_GB2312" w:eastAsia="仿宋_GB2312"/>
                <w:sz w:val="20"/>
              </w:rPr>
              <w:t>、</w:t>
            </w:r>
            <w:r>
              <w:rPr>
                <w:rFonts w:ascii="仿宋_GB2312" w:hAnsi="仿宋_GB2312" w:cs="仿宋_GB2312" w:eastAsia="仿宋_GB2312"/>
                <w:sz w:val="20"/>
              </w:rPr>
              <w:t>杂粮粥料礼盒</w:t>
            </w:r>
            <w:r>
              <w:rPr>
                <w:rFonts w:ascii="仿宋_GB2312" w:hAnsi="仿宋_GB2312" w:cs="仿宋_GB2312" w:eastAsia="仿宋_GB2312"/>
                <w:sz w:val="20"/>
              </w:rPr>
              <w:t>、</w:t>
            </w:r>
            <w:r>
              <w:rPr>
                <w:rFonts w:ascii="仿宋_GB2312" w:hAnsi="仿宋_GB2312" w:cs="仿宋_GB2312" w:eastAsia="仿宋_GB2312"/>
                <w:sz w:val="20"/>
              </w:rPr>
              <w:t>老婆饼</w:t>
            </w:r>
            <w:r>
              <w:rPr>
                <w:rFonts w:ascii="仿宋_GB2312" w:hAnsi="仿宋_GB2312" w:cs="仿宋_GB2312" w:eastAsia="仿宋_GB2312"/>
                <w:sz w:val="20"/>
              </w:rPr>
              <w:t>、</w:t>
            </w:r>
            <w:r>
              <w:rPr>
                <w:rFonts w:ascii="仿宋_GB2312" w:hAnsi="仿宋_GB2312" w:cs="仿宋_GB2312" w:eastAsia="仿宋_GB2312"/>
                <w:sz w:val="20"/>
              </w:rPr>
              <w:t>黄花菜</w:t>
            </w:r>
            <w:r>
              <w:rPr>
                <w:rFonts w:ascii="仿宋_GB2312" w:hAnsi="仿宋_GB2312" w:cs="仿宋_GB2312" w:eastAsia="仿宋_GB2312"/>
                <w:sz w:val="20"/>
              </w:rPr>
              <w:t>、</w:t>
            </w:r>
            <w:r>
              <w:rPr>
                <w:rFonts w:ascii="仿宋_GB2312" w:hAnsi="仿宋_GB2312" w:cs="仿宋_GB2312" w:eastAsia="仿宋_GB2312"/>
                <w:sz w:val="20"/>
              </w:rPr>
              <w:t>鸡蛋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春节：</w:t>
            </w:r>
            <w:r>
              <w:rPr>
                <w:rFonts w:ascii="仿宋_GB2312" w:hAnsi="仿宋_GB2312" w:cs="仿宋_GB2312" w:eastAsia="仿宋_GB2312"/>
                <w:sz w:val="20"/>
                <w:b/>
              </w:rPr>
              <w:t>A套餐</w:t>
            </w:r>
            <w:r>
              <w:rPr>
                <w:rFonts w:ascii="仿宋_GB2312" w:hAnsi="仿宋_GB2312" w:cs="仿宋_GB2312" w:eastAsia="仿宋_GB2312"/>
                <w:sz w:val="20"/>
              </w:rPr>
              <w:t>（雪花粉、五常稻花香米、组合油、瓜子礼盒、坚果礼盒、鸡蛋</w:t>
            </w:r>
            <w:r>
              <w:rPr>
                <w:rFonts w:ascii="仿宋_GB2312" w:hAnsi="仿宋_GB2312" w:cs="仿宋_GB2312" w:eastAsia="仿宋_GB2312"/>
                <w:sz w:val="21"/>
              </w:rPr>
              <w:t>），</w:t>
            </w:r>
            <w:r>
              <w:rPr>
                <w:rFonts w:ascii="仿宋_GB2312" w:hAnsi="仿宋_GB2312" w:cs="仿宋_GB2312" w:eastAsia="仿宋_GB2312"/>
                <w:sz w:val="20"/>
                <w:b/>
              </w:rPr>
              <w:t>B套餐</w:t>
            </w:r>
            <w:r>
              <w:rPr>
                <w:rFonts w:ascii="仿宋_GB2312" w:hAnsi="仿宋_GB2312" w:cs="仿宋_GB2312" w:eastAsia="仿宋_GB2312"/>
                <w:sz w:val="21"/>
                <w:b/>
              </w:rPr>
              <w:t xml:space="preserve"> </w:t>
            </w:r>
            <w:r>
              <w:rPr>
                <w:rFonts w:ascii="仿宋_GB2312" w:hAnsi="仿宋_GB2312" w:cs="仿宋_GB2312" w:eastAsia="仿宋_GB2312"/>
                <w:sz w:val="20"/>
              </w:rPr>
              <w:t>（</w:t>
            </w:r>
            <w:r>
              <w:rPr>
                <w:rFonts w:ascii="仿宋_GB2312" w:hAnsi="仿宋_GB2312" w:cs="仿宋_GB2312" w:eastAsia="仿宋_GB2312"/>
                <w:sz w:val="20"/>
              </w:rPr>
              <w:t>雪花粉、甜糯玉米礼盒装、组合油、瓜子礼盒、饼干礼盒、鸡蛋</w:t>
            </w:r>
            <w:r>
              <w:rPr>
                <w:rFonts w:ascii="仿宋_GB2312" w:hAnsi="仿宋_GB2312" w:cs="仿宋_GB2312" w:eastAsia="仿宋_GB2312"/>
                <w:sz w:val="21"/>
              </w:rPr>
              <w:t>）。</w:t>
            </w:r>
          </w:p>
          <w:p>
            <w:pPr>
              <w:pStyle w:val="null3"/>
              <w:jc w:val="both"/>
            </w:pPr>
            <w:r>
              <w:rPr>
                <w:rFonts w:ascii="仿宋_GB2312" w:hAnsi="仿宋_GB2312" w:cs="仿宋_GB2312" w:eastAsia="仿宋_GB2312"/>
                <w:sz w:val="20"/>
              </w:rPr>
              <w:t>10.3样品递交截止时间：与投标截止时间一致。</w:t>
            </w:r>
          </w:p>
          <w:p>
            <w:pPr>
              <w:pStyle w:val="null3"/>
              <w:jc w:val="both"/>
            </w:pPr>
            <w:r>
              <w:rPr>
                <w:rFonts w:ascii="仿宋_GB2312" w:hAnsi="仿宋_GB2312" w:cs="仿宋_GB2312" w:eastAsia="仿宋_GB2312"/>
                <w:sz w:val="20"/>
              </w:rPr>
              <w:t>10.4样品递交地点：西安市雁塔区朱雀大街南段69号长丰园三区5号楼9层9006室</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10.5样品确认：样品递交时应注明投标人名称及项目名称、项目编号。</w:t>
            </w:r>
          </w:p>
          <w:p>
            <w:pPr>
              <w:pStyle w:val="null3"/>
            </w:pPr>
            <w:r>
              <w:rPr>
                <w:rFonts w:ascii="仿宋_GB2312" w:hAnsi="仿宋_GB2312" w:cs="仿宋_GB2312" w:eastAsia="仿宋_GB2312"/>
                <w:sz w:val="20"/>
              </w:rPr>
              <w:t>10.6样品退还：中标单位提供的样品，由采购人进行保管、封存，并作为履约验收的依据。未中标单位提供的样品，将在结果公告期满后通知退还。</w:t>
            </w:r>
          </w:p>
          <w:p>
            <w:pPr>
              <w:pStyle w:val="null3"/>
            </w:pPr>
            <w:r>
              <w:rPr>
                <w:rFonts w:ascii="仿宋_GB2312" w:hAnsi="仿宋_GB2312" w:cs="仿宋_GB2312" w:eastAsia="仿宋_GB2312"/>
                <w:sz w:val="20"/>
              </w:rPr>
              <w:t xml:space="preserve"> 10.7投标人提供的样品，应符合采购需求的制作标准和要求。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每批次接到发货通知后10日历天内完成。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每批次货物送达甲方指定点（并负责分次发放）并经采购人验收合格后提供90％的增值税发票后，采购人将在一个月内支付给投标人90％的货款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三个月内乙方向甲方提供剩余货款的增值税发票后，采购人支付剩余的货款。中标单位的投标内容及其中标总金额，合同总价一次包死，不受市场价变化的影响</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（1）由采购单位实施验收。（2）验收依据：验收须以合同、招投标文件、澄清、及国家相应的标准、规范等为依据。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（1）投标保证金须从投标人基本户户名转出，如从个人户名或非投标人户名转出，将被拒绝，视为自动放弃投标权利 （该个人是供应商的情形除外）；以保函形式交纳投标保证金的，投标人应在投标截止时间前2日内将保函原件递交至代理机 构进行备案；投标人应在投标文件中附保函复印件。保函必须由具有开具投标保函资格的单位开具；若供应商违约，开具保函单位承担连带责任；（2）投标保证金的提交金额、时间不满足招标文件要求的，投标无效；（3）线下纸质文件递交截止时间：开标后两个工作日内；线下提交纸质版响应文件正本壹份、副本贰份、电子版壹份（U盘一套标明供应商名称），线下纸质文件递交地点：西安市雁塔区朱雀大街南段69号长丰园三区5号楼9层。（纸质响应文件可邮寄，开标后两个工作日内邮寄递交，联系人：杨工；联系电话：029-85578186-829；邮寄地址：西安市雁塔区朱雀大街南段69号长丰园三区5号楼9层。) （4）样品递交截止时间：同在线递交电子投标文件截止时间一致。（5）样品递交地点：西安市雁塔区朱雀大街南段69号长丰园三区5号楼9层。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 自然人应提供有效的自然人身份证明。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提供2024年度或2025年度经审计的完整的财务审计报告(成立时间至提交投标文件截止时间不足一年的可提供成立后任意时段的资产负债表)，或其开标前六个月内基本存款账户开户银行出具的资信证明。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提供2025年4月至今已缴纳的至少三个月的纳税证明或完税证明，依法免税的单位应提供相关证明材料。</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提供2025年4月至今任意三个月的社会保障资金缴存单据或社保机构开具的社会保险参保缴费情况证明，依法不需要缴纳社会保障资金的单位应提供相关证明材料。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投标人为生产厂家的须提供食品生产许可证或全国工业产品生产许可证；投标人为代理商的须同时提供食品经营许可证及生产厂家的食品生产许可证或全国工业产品生产许可证。</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提供具备履行合同所必需的设备和专业技术能力的证明材料承诺。</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信用中国查询</w:t>
            </w:r>
          </w:p>
        </w:tc>
        <w:tc>
          <w:tcPr>
            <w:tcW w:type="dxa" w:w="3322"/>
          </w:tcPr>
          <w:p>
            <w:pPr>
              <w:pStyle w:val="null3"/>
            </w:pPr>
            <w:r>
              <w:rPr>
                <w:rFonts w:ascii="仿宋_GB2312" w:hAnsi="仿宋_GB2312" w:cs="仿宋_GB2312" w:eastAsia="仿宋_GB2312"/>
              </w:rPr>
              <w:t>供应商不得为“信用中国” 网站（www.creditchi na.gov.cn）中列入失信被执行人和重大税收违法案 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响应文件的签字盖章是否按照招标文件要求进行的</w:t>
            </w:r>
          </w:p>
        </w:tc>
        <w:tc>
          <w:tcPr>
            <w:tcW w:type="dxa" w:w="1661"/>
          </w:tcPr>
          <w:p>
            <w:pPr>
              <w:pStyle w:val="null3"/>
            </w:pPr>
            <w:r>
              <w:rPr>
                <w:rFonts w:ascii="仿宋_GB2312" w:hAnsi="仿宋_GB2312" w:cs="仿宋_GB2312" w:eastAsia="仿宋_GB2312"/>
              </w:rPr>
              <w:t>开标一览表 产品技术参数表 技术要求（货物）.docx 投标函 中小企业声明函 残疾人福利性单位声明函 商务应答表 标的清单 投标文件封面 分项报价.docx 相关资格证明材料.docx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投标有效期是否满足投标最低要求90天的</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商务要求是否满足实质性要求的（交货期、货物质量、付款方式）</w:t>
            </w:r>
          </w:p>
        </w:tc>
        <w:tc>
          <w:tcPr>
            <w:tcW w:type="dxa" w:w="1661"/>
          </w:tcPr>
          <w:p>
            <w:pPr>
              <w:pStyle w:val="null3"/>
            </w:pPr>
            <w:r>
              <w:rPr>
                <w:rFonts w:ascii="仿宋_GB2312" w:hAnsi="仿宋_GB2312" w:cs="仿宋_GB2312" w:eastAsia="仿宋_GB2312"/>
              </w:rPr>
              <w:t>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针对本项目的理解，提供整体服务方案、整体服务流程、食品配送方案，方案各部分内容全面详细、阐述条理清晰详尽、符合本项目要求的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针对本项目所投产品技术参数描述明确，满足采购要求的计10分（须提供相关技术指标证明材料予以佐证，证明材料不限于检测报告等，未提供证明材料或证明材料提供不全视为负偏离，负偏离每项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所投产品的产品来源渠道合法，货物存量充足（提供不限于原厂授权、销售协议、代理协议、副食品采购点照片、在各大卖场有售照片、库存照片等)，方案各部分内容全面详细、阐述条理清晰详尽、符合本项目要求的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供应商质量保证方案</w:t>
            </w:r>
          </w:p>
        </w:tc>
        <w:tc>
          <w:tcPr>
            <w:tcW w:type="dxa" w:w="2492"/>
          </w:tcPr>
          <w:p>
            <w:pPr>
              <w:pStyle w:val="null3"/>
            </w:pPr>
            <w:r>
              <w:rPr>
                <w:rFonts w:ascii="仿宋_GB2312" w:hAnsi="仿宋_GB2312" w:cs="仿宋_GB2312" w:eastAsia="仿宋_GB2312"/>
              </w:rPr>
              <w:t>供应商针对食品质量、食品安全与卫生、安全执行标准、检验检查、日常检查的措施；方案详细、合理可行的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提供天气、车辆故障等突发事件、配送或使用过程出现问题的应急预案及补救措施；具有完整、规范的应急方案，并有充足的应急资源储备及较强的应急调配响应能力计10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时效保障措施</w:t>
            </w:r>
          </w:p>
        </w:tc>
        <w:tc>
          <w:tcPr>
            <w:tcW w:type="dxa" w:w="2492"/>
          </w:tcPr>
          <w:p>
            <w:pPr>
              <w:pStyle w:val="null3"/>
            </w:pPr>
            <w:r>
              <w:rPr>
                <w:rFonts w:ascii="仿宋_GB2312" w:hAnsi="仿宋_GB2312" w:cs="仿宋_GB2312" w:eastAsia="仿宋_GB2312"/>
              </w:rPr>
              <w:t>针对本项目的时效保障措施，包括但不限于：采买时间计划、运输路线规划、响应的及时性等；保障措施针对性强、全面完整、时效性强计5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满足用户的实际要求，对服务期内所提供产品食品安全、质量等方面具有详细的服务承诺及保证措施； 方案完善、科学合理、服务承诺明确计5分，若上述内容存在缺陷，每出现一处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提供2023年5月至开标前同类的业绩，须提供合同复印件加盖公章，提供不全不计分，每提供一份计1分，此项共计5分。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的每项样品（规格要求满足招标文件技术要求）进行评分（样品不需提供检测报告）：提供的样品包装规范、标识齐全表述清晰、选型、成分等符合采购要求得5分，若上述内容存在缺陷，每出现一处缺陷扣1分，扣完为止。“缺陷”是指内容缺项、不完整或缺少关键点等任意一种情形。 未提供样品、样品规格要求与招标文件要求不一致、样品不全的不得分。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满足招标文件要求且投标价格最低的投标报价为评标基准价，其价格分为满分。其他投标投标人的价格分统一按照下列公式计算：投标报价得分=（评标基准价/投标报价）×30 符合招标文件规定的小微企业、监狱企业、残疾人福利性单位优惠条件的投标人，价格给予10%的扣除，用扣除后的价格参与评审。 （投标人的报价明显低于其他投标报价，评标委员会应当要求该投标人作出书面说明并提供相关证明材料。投标人不能合理说明或者不能提供相关证明材料的，由评标委员会认定该投标人以低于成本报价竞标，其投标应作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详见附件：分项报价.docx</w:t>
      </w:r>
    </w:p>
    <w:p>
      <w:pPr>
        <w:pStyle w:val="null3"/>
        <w:ind w:firstLine="960"/>
      </w:pPr>
      <w:r>
        <w:rPr>
          <w:rFonts w:ascii="仿宋_GB2312" w:hAnsi="仿宋_GB2312" w:cs="仿宋_GB2312" w:eastAsia="仿宋_GB2312"/>
        </w:rPr>
        <w:t>详见附件：技术要求（货物）.docx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