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版本号：HSGJ2026-143.1B120260623001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2026年度EMC核心设备维保服务项目(二次)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HSGJ2026-143.1B1</w:t>
      </w:r>
      <w:r>
        <w:br/>
      </w:r>
      <w:r>
        <w:br/>
      </w:r>
      <w:r>
        <w:br/>
      </w:r>
    </w:p>
    <w:p>
      <w:pPr>
        <w:pStyle w:val="null3"/>
        <w:jc w:val="center"/>
        <w:outlineLvl w:val="5"/>
      </w:pPr>
      <w:r>
        <w:rPr>
          <w:rFonts w:ascii="仿宋_GB2312" w:hAnsi="仿宋_GB2312" w:cs="仿宋_GB2312" w:eastAsia="仿宋_GB2312"/>
          <w:sz w:val="15"/>
          <w:b/>
        </w:rPr>
        <w:t>陕西省福利彩票发行中心</w:t>
      </w:r>
    </w:p>
    <w:p>
      <w:pPr>
        <w:pStyle w:val="null3"/>
        <w:jc w:val="center"/>
        <w:outlineLvl w:val="5"/>
      </w:pPr>
      <w:r>
        <w:rPr>
          <w:rFonts w:ascii="仿宋_GB2312" w:hAnsi="仿宋_GB2312" w:cs="仿宋_GB2312" w:eastAsia="仿宋_GB2312"/>
          <w:sz w:val="15"/>
          <w:b/>
        </w:rPr>
        <w:t>华晟国际项目管理有限公司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陕西省福利彩票发行中心</w:t>
      </w:r>
      <w:r>
        <w:rPr>
          <w:rFonts w:ascii="仿宋_GB2312" w:hAnsi="仿宋_GB2312" w:cs="仿宋_GB2312" w:eastAsia="仿宋_GB2312"/>
        </w:rPr>
        <w:t>委托，拟对</w:t>
      </w:r>
      <w:r>
        <w:rPr>
          <w:rFonts w:ascii="仿宋_GB2312" w:hAnsi="仿宋_GB2312" w:cs="仿宋_GB2312" w:eastAsia="仿宋_GB2312"/>
        </w:rPr>
        <w:t>2026年度EMC核心设备维保服务项目(二次)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HSGJ2026-143.1B1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2026年度EMC核心设备维保服务项目(二次)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2026年度EMC核心设备维保服务项目，具体采购内容详见第三章。</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采购包1（2026年度EMC核心设备维保服务项目）：属于专门面向中小企业采购。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2、财务状况报告：提供2024或2025年度的财务审计报告或开标前六个月内其基本存款账户开户银行出具的资信证明（附开户许可证或开户备案证明或基本账户信息）；</w:t>
      </w:r>
    </w:p>
    <w:p>
      <w:pPr>
        <w:pStyle w:val="null3"/>
      </w:pPr>
      <w:r>
        <w:rPr>
          <w:rFonts w:ascii="仿宋_GB2312" w:hAnsi="仿宋_GB2312" w:cs="仿宋_GB2312" w:eastAsia="仿宋_GB2312"/>
        </w:rPr>
        <w:t>3、税收缴纳证明：提供2025年7月至今已缴存的至少一个月的纳税证明或完税证明，依法免税的单位应提供相关证明材料；</w:t>
      </w:r>
    </w:p>
    <w:p>
      <w:pPr>
        <w:pStyle w:val="null3"/>
      </w:pPr>
      <w:r>
        <w:rPr>
          <w:rFonts w:ascii="仿宋_GB2312" w:hAnsi="仿宋_GB2312" w:cs="仿宋_GB2312" w:eastAsia="仿宋_GB2312"/>
        </w:rPr>
        <w:t>4、社会保障资金缴纳证明：提供2025年7月至今已缴存的至少一个月的社会保障资金缴存单据或社保机构开具的社会保险参保缴费情况证明，依法不需要缴纳社会保障资金的单位应提供相关证明材料；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5、无重大违法记录声明：近3年内在经营活动中没有重大违法记录的书面声明；</w:t>
      </w:r>
    </w:p>
    <w:p>
      <w:pPr>
        <w:pStyle w:val="null3"/>
      </w:pPr>
      <w:r>
        <w:rPr>
          <w:rFonts w:ascii="仿宋_GB2312" w:hAnsi="仿宋_GB2312" w:cs="仿宋_GB2312" w:eastAsia="仿宋_GB2312"/>
        </w:rPr>
        <w:t>6、专业技术能力证明：具备履行合同所必需的设备和专业技术能力的证明材料(由供应商根据项目需求提供说明材料或者承诺)；</w:t>
      </w:r>
    </w:p>
    <w:p>
      <w:pPr>
        <w:pStyle w:val="null3"/>
      </w:pPr>
      <w:r>
        <w:rPr>
          <w:rFonts w:ascii="仿宋_GB2312" w:hAnsi="仿宋_GB2312" w:cs="仿宋_GB2312" w:eastAsia="仿宋_GB2312"/>
        </w:rPr>
        <w:t>7、法定代表人委托授权书\身份证明：供应商应授权合法的人员参加单一来源采购全过程，其中法定代表人直接参加单一来源采购的，须出具法定代表人身份证，并与营业执照上信息一致。法定代表人授权代表参加投标的，须出具法定代表人授权书及授权代表身份证。（其他组织或自然人参照执行）</w:t>
      </w:r>
    </w:p>
    <w:p>
      <w:pPr>
        <w:pStyle w:val="null3"/>
      </w:pPr>
      <w:r>
        <w:rPr>
          <w:rFonts w:ascii="仿宋_GB2312" w:hAnsi="仿宋_GB2312" w:cs="仿宋_GB2312" w:eastAsia="仿宋_GB2312"/>
        </w:rPr>
        <w:t>8、信用查询：在“信用中国”网站（www.creditchina.gov.cn)和“中国政府采购网”（ccgp.gov.cn）对响应单位信用信息进行查询，如果响应单位被查实在开标前已列入失信被执行人、重大税收违法失信主体、政府采购严重违法失信行为记录名单，其响应为无效；（以开标当天代理公司核查为准）</w:t>
      </w:r>
    </w:p>
    <w:p>
      <w:pPr>
        <w:pStyle w:val="null3"/>
      </w:pPr>
      <w:r>
        <w:rPr>
          <w:rFonts w:ascii="仿宋_GB2312" w:hAnsi="仿宋_GB2312" w:cs="仿宋_GB2312" w:eastAsia="仿宋_GB2312"/>
        </w:rPr>
        <w:t>9、协商保证金：单一来源采购保证金缴纳凭证或担保机构出具的保函（供应商若提交保函，应于响应文件递交截止时间前将保函扫描件发送至代理机构邮箱）；</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陕西省福利彩票发行中心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西安市未央路副102号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毛老师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029-65652521</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屈晨、杨帆、贾娜娜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029-81779899转8009</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开户名称：华晟国际项目管理有限公司</w:t>
            </w:r>
          </w:p>
          <w:p>
            <w:pPr>
              <w:pStyle w:val="null3"/>
            </w:pPr>
            <w:r>
              <w:rPr>
                <w:rFonts w:ascii="仿宋_GB2312" w:hAnsi="仿宋_GB2312" w:cs="仿宋_GB2312" w:eastAsia="仿宋_GB2312"/>
              </w:rPr>
              <w:t>开户银行：建设银行西安劳动路支行</w:t>
            </w:r>
          </w:p>
          <w:p>
            <w:pPr>
              <w:pStyle w:val="null3"/>
            </w:pPr>
            <w:r>
              <w:rPr>
                <w:rFonts w:ascii="仿宋_GB2312" w:hAnsi="仿宋_GB2312" w:cs="仿宋_GB2312" w:eastAsia="仿宋_GB2312"/>
              </w:rPr>
              <w:t>银行账号：610501 740015 00000 427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代理服务费收费标准：按照国家计委颁布的《招标代理服务收费管理暂行办法》（计价格[2002]1980号）和（发改办价格[2003]857号）收费标准计取。银行户名：华晟国际项目管理有限公司 开户银行：建设银行西安劳动路支行 账 号：610501 740015 00000 427 转账事由：HSGJ2026-143项目代理服务费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陕西省福利彩票发行中心</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陕西省福利彩票发行中心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联系人：屈晨、杨帆、贾娜娜</w:t>
      </w:r>
    </w:p>
    <w:p>
      <w:pPr>
        <w:pStyle w:val="null3"/>
      </w:pPr>
      <w:r>
        <w:rPr>
          <w:rFonts w:ascii="仿宋_GB2312" w:hAnsi="仿宋_GB2312" w:cs="仿宋_GB2312" w:eastAsia="仿宋_GB2312"/>
        </w:rPr>
        <w:t>联系电话：029-81779899转8009</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2026年度EMC核心设备维保服务项目。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2026年度EMC核心设备维保服务项目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标的名称：2026年度EMC核心设备维保服务项目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EMC核心设备及系统承担着全省所有彩票品种和游戏生产数据的存储、使用和管理等功能，是数据安全的重要保障，根据国家《彩票管理条例》及其实施细则，以及中彩中心关于加强技术系统管理尤其是数据存储系统安全的相关工作要求，为确保全省业务系统和数据的安全、平稳、高效运行。</w:t>
            </w:r>
          </w:p>
          <w:p>
            <w:pPr>
              <w:pStyle w:val="null3"/>
              <w:jc w:val="both"/>
            </w:pPr>
            <w:r>
              <w:rPr>
                <w:rFonts w:ascii="仿宋_GB2312" w:hAnsi="仿宋_GB2312" w:cs="仿宋_GB2312" w:eastAsia="仿宋_GB2312"/>
                <w:sz w:val="24"/>
                <w:b/>
                <w:color w:val="000000"/>
              </w:rPr>
              <w:t>二、</w:t>
            </w:r>
            <w:r>
              <w:rPr>
                <w:rFonts w:ascii="仿宋_GB2312" w:hAnsi="仿宋_GB2312" w:cs="仿宋_GB2312" w:eastAsia="仿宋_GB2312"/>
                <w:sz w:val="24"/>
                <w:b/>
              </w:rPr>
              <w:t>服务要求</w:t>
            </w:r>
          </w:p>
          <w:p>
            <w:pPr>
              <w:pStyle w:val="null3"/>
              <w:jc w:val="both"/>
            </w:pPr>
            <w:r>
              <w:rPr>
                <w:rFonts w:ascii="仿宋_GB2312" w:hAnsi="仿宋_GB2312" w:cs="仿宋_GB2312" w:eastAsia="仿宋_GB2312"/>
                <w:sz w:val="24"/>
              </w:rPr>
              <w:t>提</w:t>
            </w:r>
            <w:r>
              <w:rPr>
                <w:rFonts w:ascii="仿宋_GB2312" w:hAnsi="仿宋_GB2312" w:cs="仿宋_GB2312" w:eastAsia="仿宋_GB2312"/>
                <w:sz w:val="24"/>
              </w:rPr>
              <w:t>根据相关的技术和管理要求，针对在用</w:t>
            </w:r>
            <w:r>
              <w:rPr>
                <w:rFonts w:ascii="仿宋_GB2312" w:hAnsi="仿宋_GB2312" w:cs="仿宋_GB2312" w:eastAsia="仿宋_GB2312"/>
                <w:sz w:val="24"/>
              </w:rPr>
              <w:t>EMC核心设备（设备清单见附表）在运行中出现或可能出现的问题和故障，拟对EMC核心设备维保服务提出如下具体要求：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核心业务支持</w:t>
            </w:r>
          </w:p>
          <w:p>
            <w:pPr>
              <w:pStyle w:val="null3"/>
              <w:jc w:val="both"/>
            </w:pPr>
            <w:r>
              <w:rPr>
                <w:rFonts w:ascii="仿宋_GB2312" w:hAnsi="仿宋_GB2312" w:cs="仿宋_GB2312" w:eastAsia="仿宋_GB2312"/>
                <w:sz w:val="24"/>
              </w:rPr>
              <w:t>包含</w:t>
            </w:r>
            <w:r>
              <w:rPr>
                <w:rFonts w:ascii="仿宋_GB2312" w:hAnsi="仿宋_GB2312" w:cs="仿宋_GB2312" w:eastAsia="仿宋_GB2312"/>
                <w:sz w:val="24"/>
              </w:rPr>
              <w:t>24x7技术支持及监控、重大问题优先现场支持、操作环境更新安装、驱动程序和系统升级等。</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快速故障处理</w:t>
            </w:r>
          </w:p>
          <w:p>
            <w:pPr>
              <w:pStyle w:val="null3"/>
              <w:jc w:val="both"/>
            </w:pPr>
            <w:r>
              <w:rPr>
                <w:rFonts w:ascii="仿宋_GB2312" w:hAnsi="仿宋_GB2312" w:cs="仿宋_GB2312" w:eastAsia="仿宋_GB2312"/>
                <w:sz w:val="24"/>
              </w:rPr>
              <w:t>EMC存储及虚拟化网关，硬盘、工作单元、引擎、电源、电池等故障要求在4小时内响应，8小时内解决故障；引擎板及主控板故障要求24小时内解决故障；EMC光纤交换机设备故障，要求24小时内解决故障。</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故障部件更换</w:t>
            </w:r>
          </w:p>
          <w:p>
            <w:pPr>
              <w:pStyle w:val="null3"/>
              <w:jc w:val="both"/>
            </w:pPr>
            <w:r>
              <w:rPr>
                <w:rFonts w:ascii="仿宋_GB2312" w:hAnsi="仿宋_GB2312" w:cs="仿宋_GB2312" w:eastAsia="仿宋_GB2312"/>
                <w:sz w:val="24"/>
              </w:rPr>
              <w:t>更换部件必须是原厂正品。要求所有服务产品在本地常用备品备件库。更换部件服务保修不以合同终止为准。</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定期巡检保障</w:t>
            </w:r>
          </w:p>
          <w:p>
            <w:pPr>
              <w:pStyle w:val="null3"/>
              <w:jc w:val="both"/>
            </w:pPr>
            <w:r>
              <w:rPr>
                <w:rFonts w:ascii="仿宋_GB2312" w:hAnsi="仿宋_GB2312" w:cs="仿宋_GB2312" w:eastAsia="仿宋_GB2312"/>
                <w:sz w:val="24"/>
              </w:rPr>
              <w:t>每月及国家法定节日进行一次巡检，并提供巡检报告。</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配合业务需求</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rPr>
              <w:t>提供</w:t>
            </w:r>
            <w:r>
              <w:rPr>
                <w:rFonts w:ascii="仿宋_GB2312" w:hAnsi="仿宋_GB2312" w:cs="仿宋_GB2312" w:eastAsia="仿宋_GB2312"/>
                <w:sz w:val="24"/>
              </w:rPr>
              <w:t>6人次（单次时长不限）综合故障判断或配置变更或设备及数据迁移服务。</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人员培训</w:t>
            </w:r>
          </w:p>
          <w:p>
            <w:pPr>
              <w:pStyle w:val="null3"/>
              <w:jc w:val="both"/>
            </w:pPr>
            <w:r>
              <w:rPr>
                <w:rFonts w:ascii="仿宋_GB2312" w:hAnsi="仿宋_GB2312" w:cs="仿宋_GB2312" w:eastAsia="仿宋_GB2312"/>
                <w:sz w:val="24"/>
              </w:rPr>
              <w:t>提供每年不少于</w:t>
            </w:r>
            <w:r>
              <w:rPr>
                <w:rFonts w:ascii="仿宋_GB2312" w:hAnsi="仿宋_GB2312" w:cs="仿宋_GB2312" w:eastAsia="仿宋_GB2312"/>
                <w:sz w:val="24"/>
              </w:rPr>
              <w:t>2次的原厂技术培训。</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基线要求</w:t>
            </w:r>
          </w:p>
          <w:p>
            <w:pPr>
              <w:pStyle w:val="null3"/>
              <w:jc w:val="both"/>
            </w:pPr>
            <w:r>
              <w:rPr>
                <w:rFonts w:ascii="仿宋_GB2312" w:hAnsi="仿宋_GB2312" w:cs="仿宋_GB2312" w:eastAsia="仿宋_GB2312"/>
                <w:sz w:val="24"/>
              </w:rPr>
              <w:t>所有服务均应在不影响业务的前提下进行。</w:t>
            </w:r>
          </w:p>
          <w:p>
            <w:pPr>
              <w:pStyle w:val="null3"/>
              <w:jc w:val="both"/>
            </w:pPr>
            <w:r>
              <w:rPr>
                <w:rFonts w:ascii="仿宋_GB2312" w:hAnsi="仿宋_GB2312" w:cs="仿宋_GB2312" w:eastAsia="仿宋_GB2312"/>
                <w:sz w:val="24"/>
                <w:b/>
              </w:rPr>
              <w:t>附件：</w:t>
            </w:r>
          </w:p>
          <w:tbl>
            <w:tblPr>
              <w:tblBorders>
                <w:top w:val="none" w:color="000000" w:sz="4"/>
                <w:left w:val="none" w:color="000000" w:sz="4"/>
                <w:bottom w:val="none" w:color="000000" w:sz="4"/>
                <w:right w:val="none" w:color="000000" w:sz="4"/>
                <w:insideH w:val="none"/>
                <w:insideV w:val="none"/>
              </w:tblBorders>
            </w:tblPr>
            <w:tblGrid>
              <w:gridCol w:w="535"/>
              <w:gridCol w:w="717"/>
              <w:gridCol w:w="1000"/>
              <w:gridCol w:w="294"/>
            </w:tblGrid>
            <w:tr>
              <w:tc>
                <w:tcPr>
                  <w:tcW w:type="dxa" w:w="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设备名称</w:t>
                  </w:r>
                </w:p>
              </w:tc>
              <w:tc>
                <w:tcPr>
                  <w:tcW w:type="dxa" w:w="7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型号</w:t>
                  </w:r>
                </w:p>
              </w:tc>
              <w:tc>
                <w:tcPr>
                  <w:tcW w:type="dxa" w:w="10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描述</w:t>
                  </w:r>
                </w:p>
              </w:tc>
              <w:tc>
                <w:tcPr>
                  <w:tcW w:type="dxa" w:w="2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r>
            <w:tr>
              <w:tc>
                <w:tcPr>
                  <w:tcW w:type="dxa" w:w="5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光纤交换机</w:t>
                  </w:r>
                  <w:r>
                    <w:rPr>
                      <w:rFonts w:ascii="仿宋_GB2312" w:hAnsi="仿宋_GB2312" w:cs="仿宋_GB2312" w:eastAsia="仿宋_GB2312"/>
                      <w:sz w:val="24"/>
                      <w:color w:val="000000"/>
                    </w:rPr>
                    <w:t>EMC DS-6510R</w:t>
                  </w: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CTX-OM3-10M</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OM3 50/125 FIBER CABLE LC- LC 10 METER</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r>
            <w:tr>
              <w:tc>
                <w:tcPr>
                  <w:tcW w:type="dxa" w:w="535"/>
                  <w:vMerge/>
                  <w:tcBorders>
                    <w:top w:val="none" w:color="000000" w:sz="4"/>
                    <w:left w:val="single" w:color="000000" w:sz="4"/>
                    <w:bottom w:val="single" w:color="000000" w:sz="4"/>
                    <w:right w:val="singl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DS-6510R-8GB</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DS-6510R-B 24P/48P 8GB RTF BASE SWITCH(含24块8G FC模块)</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5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光纤交换机</w:t>
                  </w:r>
                  <w:r>
                    <w:rPr>
                      <w:rFonts w:ascii="仿宋_GB2312" w:hAnsi="仿宋_GB2312" w:cs="仿宋_GB2312" w:eastAsia="仿宋_GB2312"/>
                      <w:sz w:val="24"/>
                      <w:color w:val="000000"/>
                    </w:rPr>
                    <w:t>EMC DS-6510R</w:t>
                  </w: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CTX-OM3-10M</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OM3 50/125 FIBER CABLE LC- LC 10 METER</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r>
            <w:tr>
              <w:tc>
                <w:tcPr>
                  <w:tcW w:type="dxa" w:w="535"/>
                  <w:vMerge/>
                  <w:tcBorders>
                    <w:top w:val="none" w:color="000000" w:sz="4"/>
                    <w:left w:val="single" w:color="000000" w:sz="4"/>
                    <w:bottom w:val="single" w:color="000000" w:sz="4"/>
                    <w:right w:val="singl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DS-6510R-8GB</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DS-6510R-B 24P/48P 8GB RTF BASE SWITCH(含24块8G FC模块)</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5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数据存储</w:t>
                  </w:r>
                </w:p>
                <w:p>
                  <w:pPr>
                    <w:pStyle w:val="null3"/>
                    <w:jc w:val="center"/>
                  </w:pPr>
                  <w:r>
                    <w:rPr>
                      <w:rFonts w:ascii="仿宋_GB2312" w:hAnsi="仿宋_GB2312" w:cs="仿宋_GB2312" w:eastAsia="仿宋_GB2312"/>
                      <w:sz w:val="24"/>
                      <w:color w:val="000000"/>
                    </w:rPr>
                    <w:t>EMCVNX5400</w:t>
                  </w: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FLV42S6F-100</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VNX 100GB FAST CACHE 25X2.5 DPE/DAE</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535"/>
                  <w:vMerge/>
                  <w:tcBorders>
                    <w:top w:val="none" w:color="000000" w:sz="4"/>
                    <w:left w:val="single" w:color="000000" w:sz="4"/>
                    <w:bottom w:val="single" w:color="000000" w:sz="4"/>
                    <w:right w:val="singl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UNISB-VNX5400</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VNX5400 UNISPHERE BLOCK SUITE=IC</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535"/>
                  <w:vMerge/>
                  <w:tcBorders>
                    <w:top w:val="none" w:color="000000" w:sz="4"/>
                    <w:left w:val="single" w:color="000000" w:sz="4"/>
                    <w:bottom w:val="single" w:color="000000" w:sz="4"/>
                    <w:right w:val="singl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V4-2S15-300</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VNX 300GB 15K SAS 25X2.5 DPE/DAE</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r>
            <w:tr>
              <w:tc>
                <w:tcPr>
                  <w:tcW w:type="dxa" w:w="535"/>
                  <w:vMerge/>
                  <w:tcBorders>
                    <w:top w:val="none" w:color="000000" w:sz="4"/>
                    <w:left w:val="single" w:color="000000" w:sz="4"/>
                    <w:bottom w:val="single" w:color="000000" w:sz="4"/>
                    <w:right w:val="singl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VNXB54DP25F</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VNX5400 DPE 25X2.5" DRIVE SLOTS-FLD IN</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535"/>
                  <w:vMerge/>
                  <w:tcBorders>
                    <w:top w:val="none" w:color="000000" w:sz="4"/>
                    <w:left w:val="single" w:color="000000" w:sz="4"/>
                    <w:bottom w:val="single" w:color="000000" w:sz="4"/>
                    <w:right w:val="singl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VSPBM8GFFEA</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VNXB 4 PORT 8G FC IO MODULE PAIR</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5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存储虚拟化网关</w:t>
                  </w:r>
                </w:p>
                <w:p>
                  <w:pPr>
                    <w:pStyle w:val="null3"/>
                    <w:jc w:val="center"/>
                  </w:pPr>
                  <w:r>
                    <w:rPr>
                      <w:rFonts w:ascii="仿宋_GB2312" w:hAnsi="仿宋_GB2312" w:cs="仿宋_GB2312" w:eastAsia="仿宋_GB2312"/>
                      <w:sz w:val="24"/>
                      <w:color w:val="000000"/>
                    </w:rPr>
                    <w:t>EMC VPLEX METRO</w:t>
                  </w: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VS2-CM10GE</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VPLEX VS2 10GB ETHERNET COM MODULES</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535"/>
                  <w:vMerge/>
                  <w:tcBorders>
                    <w:top w:val="none" w:color="000000" w:sz="4"/>
                    <w:left w:val="single" w:color="000000" w:sz="4"/>
                    <w:bottom w:val="single" w:color="000000" w:sz="4"/>
                    <w:right w:val="singl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VS2-ENG-AD-FD</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VPLEX VS2 ENGINE ADD (RACKABLE)</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535"/>
                  <w:vMerge/>
                  <w:tcBorders>
                    <w:top w:val="none" w:color="000000" w:sz="4"/>
                    <w:left w:val="single" w:color="000000" w:sz="4"/>
                    <w:bottom w:val="single" w:color="000000" w:sz="4"/>
                    <w:right w:val="singl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VS2-ENG-BS-FD</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VPLEX VS2 BASE ENGINE (RACKABLE)</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535"/>
                  <w:vMerge/>
                  <w:tcBorders>
                    <w:top w:val="none" w:color="000000" w:sz="4"/>
                    <w:left w:val="single" w:color="000000" w:sz="4"/>
                    <w:bottom w:val="single" w:color="000000" w:sz="4"/>
                    <w:right w:val="singl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VS2-FM8GFC</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CHINOOK FRONT END I/O OPTION (8GFC)</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535"/>
                  <w:vMerge/>
                  <w:tcBorders>
                    <w:top w:val="none" w:color="000000" w:sz="4"/>
                    <w:left w:val="single" w:color="000000" w:sz="4"/>
                    <w:bottom w:val="single" w:color="000000" w:sz="4"/>
                    <w:right w:val="singl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VS2-SERVER-FD</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VPLEX VS2 MANAGEMENT SERVER (RACKABLE)</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535"/>
                  <w:vMerge/>
                  <w:tcBorders>
                    <w:top w:val="none" w:color="000000" w:sz="4"/>
                    <w:left w:val="single" w:color="000000" w:sz="4"/>
                    <w:bottom w:val="single" w:color="000000" w:sz="4"/>
                    <w:right w:val="singl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VS2-SWITCH-FD</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VPLEX VS2 FC COM SWITCH (RACKABLE)</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535"/>
                  <w:vMerge/>
                  <w:tcBorders>
                    <w:top w:val="none" w:color="000000" w:sz="4"/>
                    <w:left w:val="single" w:color="000000" w:sz="4"/>
                    <w:bottom w:val="single" w:color="000000" w:sz="4"/>
                    <w:right w:val="singl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VS2-UPS-FD</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VPLEX VS2 350VA ROHS UPS (RACKABLE)</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535"/>
                  <w:vMerge/>
                  <w:tcBorders>
                    <w:top w:val="none" w:color="000000" w:sz="4"/>
                    <w:left w:val="single" w:color="000000" w:sz="4"/>
                    <w:bottom w:val="single" w:color="000000" w:sz="4"/>
                    <w:right w:val="singl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VS-MET-PBASE</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VPLEX METRO BASE NEW LICENSE</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535"/>
                  <w:vMerge/>
                  <w:tcBorders>
                    <w:top w:val="none" w:color="000000" w:sz="4"/>
                    <w:left w:val="single" w:color="000000" w:sz="4"/>
                    <w:bottom w:val="single" w:color="000000" w:sz="4"/>
                    <w:right w:val="singl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VS-MET-T1LIC</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VPLEX METRO 0-14 TB</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r>
            <w:tr>
              <w:tc>
                <w:tcPr>
                  <w:tcW w:type="dxa" w:w="5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存储虚拟化网关</w:t>
                  </w:r>
                </w:p>
                <w:p>
                  <w:pPr>
                    <w:pStyle w:val="null3"/>
                    <w:jc w:val="center"/>
                  </w:pPr>
                  <w:r>
                    <w:rPr>
                      <w:rFonts w:ascii="仿宋_GB2312" w:hAnsi="仿宋_GB2312" w:cs="仿宋_GB2312" w:eastAsia="仿宋_GB2312"/>
                      <w:sz w:val="24"/>
                      <w:color w:val="000000"/>
                    </w:rPr>
                    <w:t>EMC VPLEX METRO</w:t>
                  </w: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VS2-CM10GE</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VPLEX VS2 10GB ETHERNET COM MODULES</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535"/>
                  <w:vMerge/>
                  <w:tcBorders>
                    <w:top w:val="none" w:color="000000" w:sz="4"/>
                    <w:left w:val="single" w:color="000000" w:sz="4"/>
                    <w:bottom w:val="single" w:color="000000" w:sz="4"/>
                    <w:right w:val="singl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VS2-ENG-AD-FD</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VPLEX VS2 ENGINE ADD (RACKABLE)</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535"/>
                  <w:vMerge/>
                  <w:tcBorders>
                    <w:top w:val="none" w:color="000000" w:sz="4"/>
                    <w:left w:val="single" w:color="000000" w:sz="4"/>
                    <w:bottom w:val="single" w:color="000000" w:sz="4"/>
                    <w:right w:val="singl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VS2-ENG-BS-FD</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VPLEX VS2 BASE ENGINE (RACKABLE)</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535"/>
                  <w:vMerge/>
                  <w:tcBorders>
                    <w:top w:val="none" w:color="000000" w:sz="4"/>
                    <w:left w:val="single" w:color="000000" w:sz="4"/>
                    <w:bottom w:val="single" w:color="000000" w:sz="4"/>
                    <w:right w:val="singl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VS2-FM8GFC</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CHINOOK FRONT END I/O OPTION (8GFC)</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535"/>
                  <w:vMerge/>
                  <w:tcBorders>
                    <w:top w:val="none" w:color="000000" w:sz="4"/>
                    <w:left w:val="single" w:color="000000" w:sz="4"/>
                    <w:bottom w:val="single" w:color="000000" w:sz="4"/>
                    <w:right w:val="singl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VS2-SERVER-FD</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VPLEX VS2 MANAGEMENT SERVER (RACKABLE)</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535"/>
                  <w:vMerge/>
                  <w:tcBorders>
                    <w:top w:val="none" w:color="000000" w:sz="4"/>
                    <w:left w:val="single" w:color="000000" w:sz="4"/>
                    <w:bottom w:val="single" w:color="000000" w:sz="4"/>
                    <w:right w:val="singl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VS2-SWITCH-FD</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VPLEX VS2 FC COM SWITCH (RACKABLE)</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535"/>
                  <w:vMerge/>
                  <w:tcBorders>
                    <w:top w:val="none" w:color="000000" w:sz="4"/>
                    <w:left w:val="single" w:color="000000" w:sz="4"/>
                    <w:bottom w:val="single" w:color="000000" w:sz="4"/>
                    <w:right w:val="singl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VS2-UPS-FD</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VPLEX VS2 350VA ROHS UPS (RACKABLE)</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535"/>
                  <w:vMerge/>
                  <w:tcBorders>
                    <w:top w:val="none" w:color="000000" w:sz="4"/>
                    <w:left w:val="single" w:color="000000" w:sz="4"/>
                    <w:bottom w:val="single" w:color="000000" w:sz="4"/>
                    <w:right w:val="singl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VS-MET-T1LIC</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VPLEX METRO 0-14 TB</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r>
            <w:tr>
              <w:tc>
                <w:tcPr>
                  <w:tcW w:type="dxa" w:w="5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数据存储</w:t>
                  </w:r>
                </w:p>
                <w:p>
                  <w:pPr>
                    <w:pStyle w:val="null3"/>
                    <w:jc w:val="center"/>
                  </w:pPr>
                  <w:r>
                    <w:rPr>
                      <w:rFonts w:ascii="仿宋_GB2312" w:hAnsi="仿宋_GB2312" w:cs="仿宋_GB2312" w:eastAsia="仿宋_GB2312"/>
                      <w:sz w:val="24"/>
                      <w:color w:val="000000"/>
                    </w:rPr>
                    <w:t>EMCVNX5500</w:t>
                  </w: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UNIB-V55</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UNISPHERE FOR BLOCK FOR VNX5500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535"/>
                  <w:vMerge/>
                  <w:tcBorders>
                    <w:top w:val="none" w:color="000000" w:sz="4"/>
                    <w:left w:val="single" w:color="000000" w:sz="4"/>
                    <w:bottom w:val="single" w:color="000000" w:sz="4"/>
                    <w:right w:val="singl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VNX5500DP15F</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VNX5500 DPE; 15X3.5 DRV SLOTS-FLD INST</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535"/>
                  <w:vMerge/>
                  <w:tcBorders>
                    <w:top w:val="none" w:color="000000" w:sz="4"/>
                    <w:left w:val="single" w:color="000000" w:sz="4"/>
                    <w:bottom w:val="single" w:color="000000" w:sz="4"/>
                    <w:right w:val="singl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VNXOEPERFTB</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VNX OE PER TB PER FOR VNX5500;5700;7500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r>
            <w:tr>
              <w:tc>
                <w:tcPr>
                  <w:tcW w:type="dxa" w:w="535"/>
                  <w:vMerge/>
                  <w:tcBorders>
                    <w:top w:val="none" w:color="000000" w:sz="4"/>
                    <w:left w:val="single" w:color="000000" w:sz="4"/>
                    <w:bottom w:val="single" w:color="000000" w:sz="4"/>
                    <w:right w:val="singl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VSPM1GI4CUA</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VNX 4 PT 1GBASE-T ISCSI IO MOD PR</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535"/>
                  <w:vMerge/>
                  <w:tcBorders>
                    <w:top w:val="none" w:color="000000" w:sz="4"/>
                    <w:left w:val="single" w:color="000000" w:sz="4"/>
                    <w:bottom w:val="single" w:color="000000" w:sz="4"/>
                    <w:right w:val="singl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VX-VS15-600</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600GB 15K 520BPS 6GB SAS 3.5 CARRIER</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数据存储</w:t>
                  </w:r>
                  <w:r>
                    <w:rPr>
                      <w:rFonts w:ascii="仿宋_GB2312" w:hAnsi="仿宋_GB2312" w:cs="仿宋_GB2312" w:eastAsia="仿宋_GB2312"/>
                      <w:sz w:val="24"/>
                      <w:color w:val="000000"/>
                    </w:rPr>
                    <w:t>EMC VNX5600</w:t>
                  </w: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EMC VNX5600</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EMC VNX5600:2个SAN控制器，48GB高速缓存，8个8Gb FC接口，可在线添加FC，Iscsi,FCoE接口；配置4块600GB 10000转SAS硬盘（系统盘），34块900GB 10000 转SAS硬盘，3块100G SLC固态硬盘（用于二级缓存）。</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存储扩容</w:t>
                  </w: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EMC VNX5400升级25块900GB 10000转SAS硬盘；1个2.5寸25槽位磁</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EMC VNX5400升级25块900GB 10000转SAS硬盘；1个2.5寸25槽位磁盘扩展柜及相应连接电缆。</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bl>
          <w:p>
            <w:pPr>
              <w:pStyle w:val="null3"/>
              <w:jc w:val="both"/>
            </w:pPr>
            <w:r>
              <w:rPr>
                <w:rFonts w:ascii="仿宋_GB2312" w:hAnsi="仿宋_GB2312" w:cs="仿宋_GB2312" w:eastAsia="仿宋_GB2312"/>
                <w:sz w:val="24"/>
                <w:b/>
              </w:rPr>
              <w:t>三、服务标准</w:t>
            </w:r>
            <w:r>
              <w:rPr>
                <w:rFonts w:ascii="仿宋_GB2312" w:hAnsi="仿宋_GB2312" w:cs="仿宋_GB2312" w:eastAsia="仿宋_GB2312"/>
                <w:sz w:val="24"/>
              </w:rPr>
              <w:t>：符合国家及行业有关现行规范、标准的要求。</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2026年9月1日至2027年8月31日。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进度款，服务期开始之日起，供应商提供原厂服务证明及发票，达到付款条件起30个工作日内，支付合同总金额的40.0%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进度款，维保服务期满6个月，供应商提供发票，达到付款条件起30个工作日内，支付合同总金额的30.0%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进度款，维保期满后供应商提供服务期全部巡检报告（含故障维修记录）及发票，达到付款条件起30个工作日内，支付合同总金额的30.0%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参照《财政部关于进一步加强政府采购需求和履约验收管理的指导意见》(财库(2016) 205号），经采购人组织验收。</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（1）服务范围：2026年度EMC核心设备维保服务项目；（2）服务要求：满足采购需求及采购文件要求 ；（3）服务标准：符合国家及行业有关现行规范、标准的要求。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4资质证明文件（参考格式）.docx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提供2024或2025年度的财务审计报告或开标前六个月内其基本存款账户开户银行出具的资信证明（附开户许可证或开户备案证明或基本账户信息）；</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提供2025年7月至今已缴存的至少一个月的纳税证明或完税证明，依法免税的单位应提供相关证明材料；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具备履行合同所必需的设备和专业技术能力的证明材料(由供应商根据项目需求提供说明材料或者承诺)；</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供应商应授权合法的人员参加单一来源采购全过程，其中法定代表人直接参加单一来源采购的，须出具法定代表人身份证，并与营业执照上信息一致。法定代表人授权代表参加投标的，须出具法定代表人授权书及授权代表身份证。（其他组织或自然人参照执行）</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在“信用中国”网站（www.creditchina.gov.cn)和“中国政府采购网”（ccgp.gov.cn）对响应单位信用信息进行查询，如果响应单位被查实在开标前已列入失信被执行人、重大税收违法失信主体、政府采购严重违法失信行为记录名单，其响应为无效；（以开标当天代理公司核查为准）</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协商保证金</w:t>
            </w:r>
          </w:p>
        </w:tc>
        <w:tc>
          <w:tcPr>
            <w:tcW w:type="dxa" w:w="3322"/>
          </w:tcPr>
          <w:p>
            <w:pPr>
              <w:pStyle w:val="null3"/>
            </w:pPr>
            <w:r>
              <w:rPr>
                <w:rFonts w:ascii="仿宋_GB2312" w:hAnsi="仿宋_GB2312" w:cs="仿宋_GB2312" w:eastAsia="仿宋_GB2312"/>
              </w:rPr>
              <w:t>单一来源采购保证金缴纳凭证或担保机构出具的保函（供应商若提交保函，应于响应文件递交截止时间前将保函扫描件发送至代理机构邮箱）；</w:t>
            </w:r>
          </w:p>
        </w:tc>
        <w:tc>
          <w:tcPr>
            <w:tcW w:type="dxa" w:w="1661"/>
          </w:tcPr>
          <w:p>
            <w:pPr>
              <w:pStyle w:val="null3"/>
            </w:pPr>
            <w:r>
              <w:rPr>
                <w:rFonts w:ascii="仿宋_GB2312" w:hAnsi="仿宋_GB2312" w:cs="仿宋_GB2312" w:eastAsia="仿宋_GB2312"/>
              </w:rPr>
              <w:t>4资质证明文件（参考格式）.docx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协商内容未出现漏项或数量与要求不符，未出现重大负偏差；</w:t>
            </w:r>
          </w:p>
        </w:tc>
        <w:tc>
          <w:tcPr>
            <w:tcW w:type="dxa" w:w="1661"/>
          </w:tcPr>
          <w:p>
            <w:pPr>
              <w:pStyle w:val="null3"/>
            </w:pPr>
            <w:r>
              <w:rPr>
                <w:rFonts w:ascii="仿宋_GB2312" w:hAnsi="仿宋_GB2312" w:cs="仿宋_GB2312" w:eastAsia="仿宋_GB2312"/>
              </w:rPr>
              <w:t>响应函 3商务响应表.docx 2服务要求响应表.docx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1分项报价表.docx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完全理解并接受法律法规和单一来源采购文件对供应商合法经营的各类规约和责任义务要求，未出现法律、法规或单一来源采购文件规定的其他无效情形的。</w:t>
            </w:r>
          </w:p>
        </w:tc>
        <w:tc>
          <w:tcPr>
            <w:tcW w:type="dxa" w:w="1661"/>
          </w:tcPr>
          <w:p>
            <w:pPr>
              <w:pStyle w:val="null3"/>
            </w:pPr>
            <w:r>
              <w:rPr>
                <w:rFonts w:ascii="仿宋_GB2312" w:hAnsi="仿宋_GB2312" w:cs="仿宋_GB2312" w:eastAsia="仿宋_GB2312"/>
              </w:rPr>
              <w:t>响应文件封面 1分项报价表.docx 6供应商拒绝政府采购领域商业贿赂承诺书.docx 4资质证明文件（参考格式）.docx 标的清单 报价表 响应函 5服务方案.docx 3商务响应表.docx 2服务要求响应表.docx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响应文件的签署、加盖公章有效；</w:t>
            </w:r>
          </w:p>
        </w:tc>
        <w:tc>
          <w:tcPr>
            <w:tcW w:type="dxa" w:w="1661"/>
          </w:tcPr>
          <w:p>
            <w:pPr>
              <w:pStyle w:val="null3"/>
            </w:pPr>
            <w:r>
              <w:rPr>
                <w:rFonts w:ascii="仿宋_GB2312" w:hAnsi="仿宋_GB2312" w:cs="仿宋_GB2312" w:eastAsia="仿宋_GB2312"/>
              </w:rPr>
              <w:t>响应文件封面 1分项报价表.docx 6供应商拒绝政府采购领域商业贿赂承诺书.docx 4资质证明文件（参考格式）.docx 标的清单 报价表 响应函 3商务响应表.docx 2服务要求响应表.docx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响应文件按有效期达到单一来源采购文件的要求；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单一来源采购文件报价</w:t>
            </w:r>
          </w:p>
        </w:tc>
        <w:tc>
          <w:tcPr>
            <w:tcW w:type="dxa" w:w="3322"/>
          </w:tcPr>
          <w:p>
            <w:pPr>
              <w:pStyle w:val="null3"/>
            </w:pPr>
            <w:r>
              <w:rPr>
                <w:rFonts w:ascii="仿宋_GB2312" w:hAnsi="仿宋_GB2312" w:cs="仿宋_GB2312" w:eastAsia="仿宋_GB2312"/>
              </w:rPr>
              <w:t>报价未超过单一来源采购文件中规定的最高限价的</w:t>
            </w:r>
          </w:p>
        </w:tc>
        <w:tc>
          <w:tcPr>
            <w:tcW w:type="dxa" w:w="1661"/>
          </w:tcPr>
          <w:p>
            <w:pPr>
              <w:pStyle w:val="null3"/>
            </w:pPr>
            <w:r>
              <w:rPr>
                <w:rFonts w:ascii="仿宋_GB2312" w:hAnsi="仿宋_GB2312" w:cs="仿宋_GB2312" w:eastAsia="仿宋_GB2312"/>
              </w:rPr>
              <w:t>1分项报价表.docx 标的清单 报价表</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详见附件：2服务要求响应表.docx</w:t>
      </w:r>
    </w:p>
    <w:p>
      <w:pPr>
        <w:pStyle w:val="null3"/>
        <w:ind w:firstLine="960"/>
      </w:pPr>
      <w:r>
        <w:rPr>
          <w:rFonts w:ascii="仿宋_GB2312" w:hAnsi="仿宋_GB2312" w:cs="仿宋_GB2312" w:eastAsia="仿宋_GB2312"/>
        </w:rPr>
        <w:t>详见附件：3商务响应表.docx</w:t>
      </w:r>
    </w:p>
    <w:p>
      <w:pPr>
        <w:pStyle w:val="null3"/>
        <w:ind w:firstLine="960"/>
      </w:pPr>
      <w:r>
        <w:rPr>
          <w:rFonts w:ascii="仿宋_GB2312" w:hAnsi="仿宋_GB2312" w:cs="仿宋_GB2312" w:eastAsia="仿宋_GB2312"/>
        </w:rPr>
        <w:t>详见附件：4资质证明文件（参考格式）.docx</w:t>
      </w:r>
    </w:p>
    <w:p>
      <w:pPr>
        <w:pStyle w:val="null3"/>
        <w:ind w:firstLine="960"/>
      </w:pPr>
      <w:r>
        <w:rPr>
          <w:rFonts w:ascii="仿宋_GB2312" w:hAnsi="仿宋_GB2312" w:cs="仿宋_GB2312" w:eastAsia="仿宋_GB2312"/>
        </w:rPr>
        <w:t>详见附件：5服务方案.docx</w:t>
      </w:r>
    </w:p>
    <w:p>
      <w:pPr>
        <w:pStyle w:val="null3"/>
        <w:ind w:firstLine="960"/>
      </w:pPr>
      <w:r>
        <w:rPr>
          <w:rFonts w:ascii="仿宋_GB2312" w:hAnsi="仿宋_GB2312" w:cs="仿宋_GB2312" w:eastAsia="仿宋_GB2312"/>
        </w:rPr>
        <w:t>详见附件：6供应商拒绝政府采购领域商业贿赂承诺书.docx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