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40DC90">
      <w:pPr>
        <w:pStyle w:val="19"/>
        <w:ind w:left="0" w:leftChars="0" w:firstLine="0" w:firstLineChars="0"/>
        <w:rPr>
          <w:rFonts w:hint="eastAsia" w:ascii="仿宋" w:hAnsi="仿宋" w:eastAsia="仿宋" w:cs="仿宋"/>
          <w:b/>
          <w:bCs/>
          <w:caps w:val="0"/>
          <w:color w:val="000000"/>
          <w:spacing w:val="0"/>
          <w:kern w:val="0"/>
          <w:sz w:val="52"/>
          <w:szCs w:val="52"/>
          <w:lang w:eastAsia="zh-CN"/>
        </w:rPr>
      </w:pPr>
    </w:p>
    <w:p w14:paraId="00626483">
      <w:pPr>
        <w:rPr>
          <w:rFonts w:hint="eastAsia"/>
          <w:lang w:eastAsia="zh-CN"/>
        </w:rPr>
      </w:pPr>
    </w:p>
    <w:p w14:paraId="6845BD14">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b/>
          <w:bCs/>
          <w:caps w:val="0"/>
          <w:color w:val="000000"/>
          <w:spacing w:val="0"/>
          <w:kern w:val="0"/>
          <w:sz w:val="52"/>
          <w:szCs w:val="52"/>
          <w:lang w:eastAsia="zh-CN"/>
        </w:rPr>
      </w:pPr>
      <w:r>
        <w:rPr>
          <w:rFonts w:hint="eastAsia" w:ascii="仿宋" w:hAnsi="仿宋" w:eastAsia="仿宋" w:cs="仿宋"/>
          <w:b/>
          <w:bCs/>
          <w:caps w:val="0"/>
          <w:color w:val="000000"/>
          <w:spacing w:val="0"/>
          <w:kern w:val="0"/>
          <w:sz w:val="52"/>
          <w:szCs w:val="52"/>
          <w:lang w:eastAsia="zh-CN"/>
        </w:rPr>
        <w:t>2026年度EMC核心设备维保服务项目</w:t>
      </w:r>
    </w:p>
    <w:p w14:paraId="4FA3A759">
      <w:pPr>
        <w:keepNext w:val="0"/>
        <w:keepLines w:val="0"/>
        <w:pageBreakBefore w:val="0"/>
        <w:widowControl w:val="0"/>
        <w:kinsoku/>
        <w:wordWrap w:val="0"/>
        <w:overflowPunct/>
        <w:topLinePunct w:val="0"/>
        <w:autoSpaceDE w:val="0"/>
        <w:autoSpaceDN w:val="0"/>
        <w:bidi w:val="0"/>
        <w:jc w:val="center"/>
        <w:outlineLvl w:val="9"/>
        <w:rPr>
          <w:rFonts w:hint="default" w:ascii="仿宋" w:hAnsi="仿宋" w:eastAsia="仿宋" w:cs="仿宋"/>
          <w:b/>
          <w:bCs/>
          <w:caps w:val="0"/>
          <w:color w:val="000000"/>
          <w:spacing w:val="0"/>
          <w:kern w:val="0"/>
          <w:sz w:val="52"/>
          <w:szCs w:val="52"/>
          <w:lang w:val="en-US" w:eastAsia="zh-CN"/>
        </w:rPr>
      </w:pPr>
      <w:r>
        <w:rPr>
          <w:rFonts w:hint="eastAsia" w:ascii="仿宋" w:hAnsi="仿宋" w:eastAsia="仿宋" w:cs="仿宋"/>
          <w:b/>
          <w:bCs/>
          <w:caps w:val="0"/>
          <w:color w:val="000000"/>
          <w:spacing w:val="0"/>
          <w:kern w:val="0"/>
          <w:sz w:val="52"/>
          <w:szCs w:val="52"/>
          <w:lang w:val="en-US" w:eastAsia="zh-CN"/>
        </w:rPr>
        <w:t>合同</w:t>
      </w:r>
    </w:p>
    <w:p w14:paraId="340EA358">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b/>
          <w:bCs/>
          <w:caps w:val="0"/>
          <w:color w:val="000000"/>
          <w:spacing w:val="0"/>
          <w:kern w:val="0"/>
          <w:sz w:val="40"/>
          <w:szCs w:val="48"/>
        </w:rPr>
      </w:pPr>
    </w:p>
    <w:p w14:paraId="3BEDD3CB">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b/>
          <w:bCs/>
          <w:caps w:val="0"/>
          <w:color w:val="000000"/>
          <w:spacing w:val="0"/>
          <w:kern w:val="0"/>
          <w:sz w:val="40"/>
          <w:szCs w:val="48"/>
        </w:rPr>
      </w:pPr>
    </w:p>
    <w:p w14:paraId="0CB18A2E">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caps w:val="0"/>
          <w:spacing w:val="0"/>
          <w:kern w:val="0"/>
          <w:sz w:val="44"/>
          <w:szCs w:val="44"/>
        </w:rPr>
      </w:pPr>
    </w:p>
    <w:p w14:paraId="3A9CF9D5">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caps w:val="0"/>
          <w:spacing w:val="0"/>
          <w:kern w:val="0"/>
          <w:sz w:val="44"/>
          <w:szCs w:val="44"/>
        </w:rPr>
      </w:pPr>
    </w:p>
    <w:p w14:paraId="50B94658">
      <w:pPr>
        <w:keepNext w:val="0"/>
        <w:keepLines w:val="0"/>
        <w:pageBreakBefore w:val="0"/>
        <w:widowControl w:val="0"/>
        <w:kinsoku/>
        <w:wordWrap w:val="0"/>
        <w:overflowPunct/>
        <w:topLinePunct w:val="0"/>
        <w:autoSpaceDE w:val="0"/>
        <w:autoSpaceDN w:val="0"/>
        <w:bidi w:val="0"/>
        <w:jc w:val="center"/>
        <w:outlineLvl w:val="9"/>
        <w:rPr>
          <w:rFonts w:hint="eastAsia" w:ascii="仿宋" w:hAnsi="仿宋" w:eastAsia="仿宋" w:cs="仿宋"/>
          <w:caps w:val="0"/>
          <w:spacing w:val="0"/>
          <w:kern w:val="0"/>
          <w:sz w:val="44"/>
          <w:szCs w:val="44"/>
        </w:rPr>
      </w:pPr>
    </w:p>
    <w:p w14:paraId="7EE9FFF6">
      <w:pPr>
        <w:keepNext w:val="0"/>
        <w:keepLines w:val="0"/>
        <w:pageBreakBefore w:val="0"/>
        <w:widowControl w:val="0"/>
        <w:kinsoku/>
        <w:wordWrap w:val="0"/>
        <w:overflowPunct/>
        <w:topLinePunct w:val="0"/>
        <w:autoSpaceDE w:val="0"/>
        <w:autoSpaceDN w:val="0"/>
        <w:bidi w:val="0"/>
        <w:spacing w:before="156" w:beforeLines="50" w:line="400" w:lineRule="exact"/>
        <w:jc w:val="center"/>
        <w:outlineLvl w:val="9"/>
        <w:rPr>
          <w:rFonts w:hint="eastAsia" w:ascii="仿宋" w:hAnsi="仿宋" w:eastAsia="仿宋" w:cs="仿宋"/>
          <w:bCs/>
          <w:caps w:val="0"/>
          <w:spacing w:val="0"/>
          <w:kern w:val="0"/>
          <w:sz w:val="48"/>
          <w:szCs w:val="48"/>
        </w:rPr>
      </w:pPr>
    </w:p>
    <w:p w14:paraId="1D1F995B">
      <w:pPr>
        <w:keepNext w:val="0"/>
        <w:keepLines w:val="0"/>
        <w:pageBreakBefore w:val="0"/>
        <w:widowControl w:val="0"/>
        <w:kinsoku/>
        <w:wordWrap w:val="0"/>
        <w:overflowPunct/>
        <w:topLinePunct w:val="0"/>
        <w:autoSpaceDE w:val="0"/>
        <w:autoSpaceDN w:val="0"/>
        <w:bidi w:val="0"/>
        <w:outlineLvl w:val="9"/>
        <w:rPr>
          <w:rFonts w:hint="eastAsia" w:ascii="仿宋" w:hAnsi="仿宋" w:eastAsia="仿宋" w:cs="仿宋"/>
          <w:bCs/>
          <w:caps w:val="0"/>
          <w:spacing w:val="0"/>
          <w:kern w:val="0"/>
          <w:sz w:val="48"/>
          <w:szCs w:val="48"/>
        </w:rPr>
      </w:pPr>
    </w:p>
    <w:p w14:paraId="3D121460">
      <w:pPr>
        <w:keepNext w:val="0"/>
        <w:keepLines w:val="0"/>
        <w:pageBreakBefore w:val="0"/>
        <w:widowControl w:val="0"/>
        <w:kinsoku/>
        <w:wordWrap w:val="0"/>
        <w:overflowPunct/>
        <w:topLinePunct w:val="0"/>
        <w:autoSpaceDE w:val="0"/>
        <w:autoSpaceDN w:val="0"/>
        <w:bidi w:val="0"/>
        <w:outlineLvl w:val="9"/>
        <w:rPr>
          <w:rFonts w:hint="eastAsia" w:ascii="仿宋" w:hAnsi="仿宋" w:eastAsia="仿宋" w:cs="仿宋"/>
          <w:bCs/>
          <w:caps w:val="0"/>
          <w:spacing w:val="0"/>
          <w:kern w:val="0"/>
          <w:sz w:val="48"/>
          <w:szCs w:val="48"/>
        </w:rPr>
      </w:pPr>
    </w:p>
    <w:p w14:paraId="14C307FC">
      <w:pPr>
        <w:keepNext w:val="0"/>
        <w:keepLines w:val="0"/>
        <w:pageBreakBefore w:val="0"/>
        <w:widowControl w:val="0"/>
        <w:kinsoku/>
        <w:wordWrap w:val="0"/>
        <w:overflowPunct/>
        <w:topLinePunct w:val="0"/>
        <w:autoSpaceDE w:val="0"/>
        <w:autoSpaceDN w:val="0"/>
        <w:bidi w:val="0"/>
        <w:outlineLvl w:val="9"/>
        <w:rPr>
          <w:rFonts w:hint="eastAsia" w:ascii="仿宋" w:hAnsi="仿宋" w:eastAsia="仿宋" w:cs="仿宋"/>
          <w:bCs/>
          <w:caps w:val="0"/>
          <w:spacing w:val="0"/>
          <w:kern w:val="0"/>
          <w:sz w:val="48"/>
          <w:szCs w:val="48"/>
        </w:rPr>
      </w:pPr>
    </w:p>
    <w:p w14:paraId="188BBB8D">
      <w:pPr>
        <w:keepNext w:val="0"/>
        <w:keepLines w:val="0"/>
        <w:pageBreakBefore w:val="0"/>
        <w:widowControl w:val="0"/>
        <w:kinsoku/>
        <w:wordWrap w:val="0"/>
        <w:overflowPunct/>
        <w:topLinePunct w:val="0"/>
        <w:bidi w:val="0"/>
        <w:adjustRightInd w:val="0"/>
        <w:snapToGrid w:val="0"/>
        <w:spacing w:line="359" w:lineRule="auto"/>
        <w:ind w:left="0" w:leftChars="0" w:firstLine="1606" w:firstLineChars="500"/>
        <w:jc w:val="both"/>
        <w:rPr>
          <w:rFonts w:hint="eastAsia" w:ascii="仿宋" w:hAnsi="仿宋" w:eastAsia="仿宋" w:cs="仿宋"/>
          <w:b/>
          <w:bCs/>
          <w:caps w:val="0"/>
          <w:spacing w:val="0"/>
          <w:w w:val="100"/>
          <w:kern w:val="0"/>
          <w:position w:val="0"/>
          <w:sz w:val="32"/>
          <w:szCs w:val="32"/>
          <w:u w:val="single"/>
          <w:lang w:val="en-US" w:eastAsia="zh-CN"/>
        </w:rPr>
      </w:pPr>
      <w:r>
        <w:rPr>
          <w:rFonts w:hint="eastAsia" w:ascii="仿宋" w:hAnsi="仿宋" w:eastAsia="仿宋" w:cs="仿宋"/>
          <w:b/>
          <w:bCs/>
          <w:caps w:val="0"/>
          <w:spacing w:val="0"/>
          <w:w w:val="100"/>
          <w:kern w:val="0"/>
          <w:position w:val="0"/>
          <w:sz w:val="32"/>
          <w:szCs w:val="32"/>
        </w:rPr>
        <w:t>采购人（甲方全称）：</w:t>
      </w:r>
      <w:r>
        <w:rPr>
          <w:rFonts w:hint="eastAsia" w:ascii="仿宋" w:hAnsi="仿宋" w:eastAsia="仿宋" w:cs="仿宋"/>
          <w:b/>
          <w:bCs/>
          <w:caps w:val="0"/>
          <w:spacing w:val="0"/>
          <w:w w:val="100"/>
          <w:kern w:val="0"/>
          <w:position w:val="0"/>
          <w:sz w:val="32"/>
          <w:szCs w:val="32"/>
          <w:u w:val="single"/>
          <w:lang w:val="en-US" w:eastAsia="zh-CN"/>
        </w:rPr>
        <w:t xml:space="preserve">            </w:t>
      </w:r>
    </w:p>
    <w:p w14:paraId="4974E43A">
      <w:pPr>
        <w:keepNext w:val="0"/>
        <w:keepLines w:val="0"/>
        <w:pageBreakBefore w:val="0"/>
        <w:kinsoku/>
        <w:wordWrap/>
        <w:topLinePunct w:val="0"/>
        <w:bidi w:val="0"/>
        <w:snapToGrid/>
        <w:spacing w:line="360" w:lineRule="auto"/>
        <w:ind w:firstLine="1606" w:firstLineChars="500"/>
        <w:textAlignment w:val="auto"/>
        <w:rPr>
          <w:rFonts w:hint="eastAsia" w:ascii="仿宋" w:hAnsi="仿宋" w:eastAsia="仿宋" w:cs="仿宋"/>
          <w:b/>
          <w:bCs/>
          <w:caps w:val="0"/>
          <w:spacing w:val="0"/>
          <w:w w:val="100"/>
          <w:kern w:val="0"/>
          <w:position w:val="0"/>
          <w:sz w:val="32"/>
          <w:szCs w:val="32"/>
          <w:u w:val="single"/>
          <w:lang w:val="en-US" w:eastAsia="zh-CN"/>
        </w:rPr>
      </w:pPr>
      <w:r>
        <w:rPr>
          <w:rFonts w:hint="eastAsia" w:ascii="仿宋" w:hAnsi="仿宋" w:eastAsia="仿宋" w:cs="仿宋"/>
          <w:b/>
          <w:bCs/>
          <w:caps w:val="0"/>
          <w:spacing w:val="0"/>
          <w:w w:val="100"/>
          <w:kern w:val="0"/>
          <w:position w:val="0"/>
          <w:sz w:val="32"/>
          <w:szCs w:val="32"/>
        </w:rPr>
        <w:t>供应商（乙方全称）：</w:t>
      </w:r>
      <w:r>
        <w:rPr>
          <w:rFonts w:hint="eastAsia" w:ascii="仿宋" w:hAnsi="仿宋" w:eastAsia="仿宋" w:cs="仿宋"/>
          <w:b/>
          <w:bCs/>
          <w:caps w:val="0"/>
          <w:spacing w:val="0"/>
          <w:w w:val="100"/>
          <w:kern w:val="0"/>
          <w:position w:val="0"/>
          <w:sz w:val="32"/>
          <w:szCs w:val="32"/>
          <w:u w:val="single"/>
          <w:lang w:val="en-US" w:eastAsia="zh-CN"/>
        </w:rPr>
        <w:t xml:space="preserve">            </w:t>
      </w:r>
    </w:p>
    <w:p w14:paraId="213F6415">
      <w:pPr>
        <w:rPr>
          <w:rFonts w:hint="eastAsia" w:ascii="仿宋" w:hAnsi="仿宋" w:eastAsia="仿宋" w:cs="仿宋"/>
          <w:b/>
          <w:bCs/>
          <w:caps w:val="0"/>
          <w:spacing w:val="0"/>
          <w:w w:val="100"/>
          <w:kern w:val="0"/>
          <w:position w:val="0"/>
          <w:sz w:val="32"/>
          <w:szCs w:val="32"/>
          <w:u w:val="single"/>
          <w:lang w:val="en-US" w:eastAsia="zh-CN"/>
        </w:rPr>
      </w:pPr>
      <w:r>
        <w:rPr>
          <w:rFonts w:hint="eastAsia" w:ascii="仿宋" w:hAnsi="仿宋" w:eastAsia="仿宋" w:cs="仿宋"/>
          <w:b/>
          <w:bCs/>
          <w:caps w:val="0"/>
          <w:spacing w:val="0"/>
          <w:w w:val="100"/>
          <w:kern w:val="0"/>
          <w:position w:val="0"/>
          <w:sz w:val="32"/>
          <w:szCs w:val="32"/>
          <w:u w:val="single"/>
          <w:lang w:val="en-US" w:eastAsia="zh-CN"/>
        </w:rPr>
        <w:br w:type="page"/>
      </w:r>
    </w:p>
    <w:p w14:paraId="1DFEAC7B">
      <w:pPr>
        <w:keepNext w:val="0"/>
        <w:keepLines w:val="0"/>
        <w:pageBreakBefore w:val="0"/>
        <w:kinsoku/>
        <w:wordWrap/>
        <w:topLinePunct w:val="0"/>
        <w:bidi w:val="0"/>
        <w:snapToGrid/>
        <w:spacing w:line="360" w:lineRule="auto"/>
        <w:ind w:firstLine="480" w:firstLineChars="200"/>
        <w:textAlignment w:val="auto"/>
        <w:rPr>
          <w:rFonts w:hint="default"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rPr>
        <w:t>采购人（以下简称甲方）：</w:t>
      </w:r>
      <w:r>
        <w:rPr>
          <w:rFonts w:hint="eastAsia" w:ascii="宋体" w:hAnsi="宋体" w:cs="宋体"/>
          <w:color w:val="auto"/>
          <w:sz w:val="24"/>
          <w:szCs w:val="32"/>
          <w:highlight w:val="none"/>
          <w:u w:val="single"/>
          <w:lang w:val="en-US" w:eastAsia="zh-CN"/>
        </w:rPr>
        <w:t xml:space="preserve">                        </w:t>
      </w:r>
      <w:r>
        <w:rPr>
          <w:rFonts w:hint="eastAsia" w:ascii="宋体" w:hAnsi="宋体" w:cs="宋体"/>
          <w:color w:val="auto"/>
          <w:sz w:val="24"/>
          <w:szCs w:val="32"/>
          <w:highlight w:val="none"/>
          <w:lang w:val="en-US" w:eastAsia="zh-CN"/>
        </w:rPr>
        <w:t xml:space="preserve">      </w:t>
      </w:r>
    </w:p>
    <w:p w14:paraId="77DB8B6C">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供应商（以下简称乙方）：</w:t>
      </w:r>
      <w:r>
        <w:rPr>
          <w:rFonts w:hint="eastAsia" w:ascii="宋体" w:hAnsi="宋体" w:cs="宋体"/>
          <w:color w:val="auto"/>
          <w:sz w:val="24"/>
          <w:szCs w:val="32"/>
          <w:highlight w:val="none"/>
          <w:u w:val="single"/>
          <w:lang w:val="en-US" w:eastAsia="zh-CN"/>
        </w:rPr>
        <w:t xml:space="preserve">                        </w:t>
      </w:r>
    </w:p>
    <w:p w14:paraId="693F80A3">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根据《中华人民共和国民法典》、《中华人民共和国政府采购法》及其它有关法律、行政法规，为明确双方在</w:t>
      </w:r>
      <w:r>
        <w:rPr>
          <w:rFonts w:hint="eastAsia" w:ascii="宋体" w:hAnsi="宋体" w:cs="宋体"/>
          <w:bCs/>
          <w:color w:val="auto"/>
          <w:sz w:val="24"/>
          <w:highlight w:val="none"/>
          <w:lang w:eastAsia="zh-CN"/>
        </w:rPr>
        <w:t>实施</w:t>
      </w:r>
      <w:r>
        <w:rPr>
          <w:rFonts w:hint="eastAsia" w:ascii="宋体" w:hAnsi="宋体" w:eastAsia="宋体" w:cs="宋体"/>
          <w:bCs/>
          <w:color w:val="auto"/>
          <w:sz w:val="24"/>
          <w:highlight w:val="none"/>
        </w:rPr>
        <w:t>过程中的权利、义务，经双方协商自愿签订本合同。</w:t>
      </w:r>
    </w:p>
    <w:p w14:paraId="19A5037D">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一、合同组成</w:t>
      </w:r>
    </w:p>
    <w:p w14:paraId="1DB907F8">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下述文件是构成本合同不可分割的部分</w:t>
      </w:r>
      <w:r>
        <w:rPr>
          <w:rFonts w:hint="eastAsia" w:ascii="宋体" w:hAnsi="宋体" w:eastAsia="宋体" w:cs="宋体"/>
          <w:color w:val="auto"/>
          <w:sz w:val="24"/>
          <w:highlight w:val="none"/>
        </w:rPr>
        <w:t>:</w:t>
      </w:r>
    </w:p>
    <w:p w14:paraId="67542D0A">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本合同条款及其所有附件。</w:t>
      </w:r>
    </w:p>
    <w:p w14:paraId="024EB552">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甲方的</w:t>
      </w:r>
      <w:r>
        <w:rPr>
          <w:rFonts w:hint="eastAsia" w:ascii="宋体" w:hAnsi="宋体" w:cs="宋体"/>
          <w:color w:val="auto"/>
          <w:sz w:val="24"/>
          <w:highlight w:val="none"/>
          <w:lang w:val="en-US" w:eastAsia="zh-CN"/>
        </w:rPr>
        <w:t>单一来源采购</w:t>
      </w:r>
      <w:r>
        <w:rPr>
          <w:rFonts w:hint="eastAsia" w:ascii="宋体" w:hAnsi="宋体" w:eastAsia="宋体" w:cs="宋体"/>
          <w:color w:val="auto"/>
          <w:sz w:val="24"/>
          <w:highlight w:val="none"/>
          <w:lang w:val="zh-CN"/>
        </w:rPr>
        <w:t>文件及澄清文件。</w:t>
      </w:r>
    </w:p>
    <w:p w14:paraId="0A6FF0CB">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zh-CN"/>
        </w:rPr>
        <w:t>乙方的响应文件及质疑解答文件。</w:t>
      </w:r>
    </w:p>
    <w:p w14:paraId="1A66D1B8">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zh-CN"/>
        </w:rPr>
        <w:t>成交通知书。</w:t>
      </w:r>
    </w:p>
    <w:p w14:paraId="1535F219">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zh-CN"/>
        </w:rPr>
        <w:t>法定代表人授权书。</w:t>
      </w:r>
    </w:p>
    <w:p w14:paraId="2384B07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（6）双方与合同有关的往来信函、传真经双方法定代表人或其授权代表签字并加盖单位公章确认后视为本合同的组成部分。</w:t>
      </w:r>
    </w:p>
    <w:p w14:paraId="376D5AE6">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（7）经双方法定代表人或其授权代表签字并加盖单位公章确认的补充协议。</w:t>
      </w:r>
    </w:p>
    <w:p w14:paraId="566C0B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如果乙方的响应文件及质疑解答文件内容违背或低于甲方</w:t>
      </w:r>
      <w:r>
        <w:rPr>
          <w:rFonts w:hint="eastAsia" w:ascii="宋体" w:hAnsi="宋体" w:cs="宋体"/>
          <w:color w:val="auto"/>
          <w:sz w:val="24"/>
          <w:highlight w:val="none"/>
          <w:lang w:val="en-US" w:eastAsia="zh-CN"/>
        </w:rPr>
        <w:t>单一来源采购</w:t>
      </w:r>
      <w:r>
        <w:rPr>
          <w:rFonts w:hint="eastAsia" w:ascii="宋体" w:hAnsi="宋体" w:eastAsia="宋体" w:cs="宋体"/>
          <w:color w:val="auto"/>
          <w:sz w:val="24"/>
          <w:highlight w:val="none"/>
          <w:lang w:val="zh-CN"/>
        </w:rPr>
        <w:t>文件要求或任何可能导致影响当次采购目的的情形，均应当被视为乙方自动放弃响应文件及质疑解答文件中相应部分而同意以</w:t>
      </w:r>
      <w:r>
        <w:rPr>
          <w:rFonts w:hint="eastAsia" w:ascii="宋体" w:hAnsi="宋体" w:cs="宋体"/>
          <w:color w:val="auto"/>
          <w:sz w:val="24"/>
          <w:highlight w:val="none"/>
          <w:lang w:val="en-US" w:eastAsia="zh-CN"/>
        </w:rPr>
        <w:t>单一来源采购</w:t>
      </w:r>
      <w:r>
        <w:rPr>
          <w:rFonts w:hint="eastAsia" w:ascii="宋体" w:hAnsi="宋体" w:eastAsia="宋体" w:cs="宋体"/>
          <w:color w:val="auto"/>
          <w:sz w:val="24"/>
          <w:highlight w:val="none"/>
          <w:lang w:val="zh-CN"/>
        </w:rPr>
        <w:t>文件相应内容为准。如果乙方的响应文件及质疑解答文件内容高于甲方</w:t>
      </w:r>
      <w:r>
        <w:rPr>
          <w:rFonts w:hint="eastAsia" w:ascii="宋体" w:hAnsi="宋体" w:cs="宋体"/>
          <w:color w:val="auto"/>
          <w:sz w:val="24"/>
          <w:highlight w:val="none"/>
          <w:lang w:val="en-US" w:eastAsia="zh-CN"/>
        </w:rPr>
        <w:t>单一来源采购</w:t>
      </w:r>
      <w:r>
        <w:rPr>
          <w:rFonts w:hint="eastAsia" w:ascii="宋体" w:hAnsi="宋体" w:eastAsia="宋体" w:cs="宋体"/>
          <w:color w:val="auto"/>
          <w:sz w:val="24"/>
          <w:highlight w:val="none"/>
          <w:lang w:val="zh-CN"/>
        </w:rPr>
        <w:t>文件要求，则以乙方的响应文件及质疑解答文件内容为准。如果合同条款与合同附件有矛盾之处，以合同条款内容为准。</w:t>
      </w:r>
      <w:r>
        <w:rPr>
          <w:rFonts w:hint="eastAsia" w:ascii="宋体" w:hAnsi="宋体" w:eastAsia="宋体" w:cs="宋体"/>
          <w:color w:val="auto"/>
          <w:sz w:val="24"/>
          <w:highlight w:val="none"/>
        </w:rPr>
        <w:t>如果合同附件之间有矛盾之处，以有利于甲方的附件内容为准。</w:t>
      </w:r>
    </w:p>
    <w:p w14:paraId="445C2660">
      <w:pPr>
        <w:keepNext w:val="0"/>
        <w:keepLines w:val="0"/>
        <w:pageBreakBefore w:val="0"/>
        <w:kinsoku/>
        <w:wordWrap/>
        <w:overflowPunct w:val="0"/>
        <w:topLinePunct w:val="0"/>
        <w:bidi w:val="0"/>
        <w:snapToGrid/>
        <w:spacing w:line="360" w:lineRule="auto"/>
        <w:ind w:firstLine="480"/>
        <w:textAlignment w:val="auto"/>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572DA3B4">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二、项目概况</w:t>
      </w:r>
    </w:p>
    <w:p w14:paraId="75BB0184">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highlight w:val="none"/>
        </w:rPr>
        <w:t>1.服务内容：</w:t>
      </w:r>
      <w:bookmarkStart w:id="0" w:name="_GoBack"/>
      <w:bookmarkEnd w:id="0"/>
    </w:p>
    <w:p w14:paraId="453794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highlight w:val="none"/>
          <w:lang w:val="en-US" w:eastAsia="zh-CN"/>
        </w:rPr>
      </w:pPr>
      <w:r>
        <w:rPr>
          <w:rFonts w:hint="eastAsia" w:ascii="宋体" w:hAnsi="宋体" w:eastAsia="宋体" w:cs="宋体"/>
          <w:color w:val="auto"/>
          <w:sz w:val="24"/>
          <w:highlight w:val="none"/>
        </w:rPr>
        <w:t>2.</w:t>
      </w:r>
      <w:r>
        <w:rPr>
          <w:rFonts w:hint="eastAsia" w:ascii="宋体" w:hAnsi="宋体" w:cs="宋体"/>
          <w:color w:val="auto"/>
          <w:sz w:val="24"/>
          <w:highlight w:val="none"/>
          <w:lang w:val="en-US" w:eastAsia="zh-CN"/>
        </w:rPr>
        <w:t>服务期</w:t>
      </w:r>
      <w:r>
        <w:rPr>
          <w:rFonts w:hint="eastAsia" w:ascii="宋体" w:hAnsi="宋体" w:eastAsia="宋体" w:cs="宋体"/>
          <w:color w:val="auto"/>
          <w:sz w:val="24"/>
          <w:highlight w:val="none"/>
        </w:rPr>
        <w:t>：2026年9月1日至2027年8月31日</w:t>
      </w:r>
      <w:r>
        <w:rPr>
          <w:rFonts w:hint="eastAsia" w:ascii="宋体" w:hAnsi="宋体" w:cs="宋体"/>
          <w:sz w:val="24"/>
          <w:highlight w:val="none"/>
          <w:lang w:val="en-US" w:eastAsia="zh-CN"/>
        </w:rPr>
        <w:t xml:space="preserve"> </w:t>
      </w:r>
    </w:p>
    <w:p w14:paraId="1FAE274D">
      <w:pPr>
        <w:keepNext w:val="0"/>
        <w:keepLines w:val="0"/>
        <w:pageBreakBefore w:val="0"/>
        <w:kinsoku/>
        <w:wordWrap/>
        <w:topLinePunct w:val="0"/>
        <w:bidi w:val="0"/>
        <w:snapToGrid/>
        <w:spacing w:line="360" w:lineRule="auto"/>
        <w:ind w:firstLine="480" w:firstLineChars="200"/>
        <w:textAlignment w:val="auto"/>
        <w:rPr>
          <w:rFonts w:hint="eastAsia" w:ascii="宋体" w:hAnsi="宋体" w:cs="宋体"/>
          <w:sz w:val="24"/>
          <w:highlight w:val="none"/>
        </w:rPr>
      </w:pP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lang w:eastAsia="zh-CN"/>
        </w:rPr>
        <w:t>服务地点：</w:t>
      </w:r>
      <w:r>
        <w:rPr>
          <w:rFonts w:hint="eastAsia" w:ascii="宋体" w:hAnsi="宋体" w:cs="宋体"/>
          <w:sz w:val="24"/>
          <w:highlight w:val="none"/>
        </w:rPr>
        <w:t>采购人指定地点</w:t>
      </w:r>
    </w:p>
    <w:p w14:paraId="1C5A02A4">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质量要求：符合国家</w:t>
      </w:r>
      <w:r>
        <w:rPr>
          <w:rFonts w:hint="eastAsia" w:ascii="宋体" w:hAnsi="宋体" w:eastAsia="宋体" w:cs="宋体"/>
          <w:color w:val="auto"/>
          <w:sz w:val="24"/>
          <w:highlight w:val="none"/>
          <w:lang w:val="en-US" w:eastAsia="zh-CN"/>
        </w:rPr>
        <w:t>及行业</w:t>
      </w:r>
      <w:r>
        <w:rPr>
          <w:rFonts w:hint="eastAsia" w:ascii="宋体" w:hAnsi="宋体" w:eastAsia="宋体" w:cs="宋体"/>
          <w:color w:val="auto"/>
          <w:sz w:val="24"/>
          <w:highlight w:val="none"/>
        </w:rPr>
        <w:t>有关现行规范、标准的要求</w:t>
      </w:r>
    </w:p>
    <w:p w14:paraId="028ED3C2">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w:t>
      </w:r>
      <w:r>
        <w:rPr>
          <w:rFonts w:hint="eastAsia" w:ascii="宋体" w:hAnsi="宋体" w:eastAsia="宋体" w:cs="宋体"/>
          <w:b/>
          <w:bCs/>
          <w:color w:val="auto"/>
          <w:sz w:val="24"/>
          <w:highlight w:val="none"/>
        </w:rPr>
        <w:t>合同价款及付款比例</w:t>
      </w:r>
    </w:p>
    <w:p w14:paraId="7A75A3DC">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1.合同价款：</w:t>
      </w:r>
      <w:r>
        <w:rPr>
          <w:rFonts w:hint="eastAsia" w:ascii="宋体" w:hAnsi="宋体" w:eastAsia="宋体" w:cs="宋体"/>
          <w:color w:val="auto"/>
          <w:sz w:val="24"/>
          <w:szCs w:val="24"/>
          <w:highlight w:val="none"/>
        </w:rPr>
        <w:t>合同总价款</w:t>
      </w:r>
      <w:r>
        <w:rPr>
          <w:rFonts w:hint="eastAsia" w:ascii="宋体" w:hAnsi="宋体" w:eastAsia="宋体" w:cs="宋体"/>
          <w:color w:val="auto"/>
          <w:sz w:val="24"/>
          <w:highlight w:val="none"/>
        </w:rPr>
        <w:t>人民币（大写）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元，（小写）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w:t>
      </w:r>
    </w:p>
    <w:p w14:paraId="732C5B6F">
      <w:pPr>
        <w:adjustRightInd/>
        <w:snapToGrid/>
        <w:spacing w:line="360" w:lineRule="auto"/>
        <w:ind w:firstLine="480" w:firstLineChars="200"/>
        <w:rPr>
          <w:rFonts w:ascii="宋体" w:hAnsi="宋体" w:cs="宋体"/>
          <w:color w:val="auto"/>
          <w:sz w:val="24"/>
          <w:highlight w:val="none"/>
        </w:rPr>
      </w:pPr>
      <w:r>
        <w:rPr>
          <w:rFonts w:hint="eastAsia" w:ascii="宋体" w:hAnsi="宋体" w:eastAsia="宋体" w:cs="宋体"/>
          <w:bCs/>
          <w:color w:val="000000" w:themeColor="text1"/>
          <w:sz w:val="24"/>
          <w:highlight w:val="none"/>
          <w:lang w:val="en-US" w:eastAsia="zh-CN"/>
          <w14:textFill>
            <w14:solidFill>
              <w14:schemeClr w14:val="tx1"/>
            </w14:solidFill>
          </w14:textFill>
        </w:rPr>
        <w:t>2.</w:t>
      </w:r>
      <w:r>
        <w:rPr>
          <w:rFonts w:hint="eastAsia" w:ascii="宋体" w:hAnsi="宋体"/>
          <w:color w:val="000000" w:themeColor="text1"/>
          <w:sz w:val="24"/>
          <w:highlight w:val="none"/>
          <w:lang w:val="en-US" w:eastAsia="zh-CN"/>
          <w14:textFill>
            <w14:solidFill>
              <w14:schemeClr w14:val="tx1"/>
            </w14:solidFill>
          </w14:textFill>
        </w:rPr>
        <w:t>付款方式：</w:t>
      </w:r>
      <w:r>
        <w:rPr>
          <w:rFonts w:hint="eastAsia" w:ascii="宋体" w:hAnsi="宋体" w:eastAsia="宋体" w:cs="宋体"/>
          <w:sz w:val="24"/>
          <w:szCs w:val="24"/>
          <w:highlight w:val="none"/>
          <w:lang w:val="en-US" w:eastAsia="zh-CN"/>
        </w:rPr>
        <w:t>服务期开始之日起</w:t>
      </w:r>
      <w:r>
        <w:rPr>
          <w:rFonts w:hint="eastAsia" w:ascii="宋体" w:hAnsi="宋体" w:eastAsia="宋体" w:cs="宋体"/>
          <w:sz w:val="24"/>
          <w:szCs w:val="24"/>
          <w:highlight w:val="none"/>
          <w:lang w:eastAsia="zh-CN"/>
        </w:rPr>
        <w:t>，供应商提供原厂服务证明及发票，达到付款条件起30</w:t>
      </w:r>
      <w:r>
        <w:rPr>
          <w:rFonts w:hint="eastAsia" w:ascii="宋体" w:hAnsi="宋体" w:cs="宋体"/>
          <w:sz w:val="24"/>
          <w:szCs w:val="24"/>
          <w:highlight w:val="none"/>
          <w:lang w:val="en-US" w:eastAsia="zh-CN"/>
        </w:rPr>
        <w:t>个工作日</w:t>
      </w:r>
      <w:r>
        <w:rPr>
          <w:rFonts w:hint="eastAsia" w:ascii="宋体" w:hAnsi="宋体" w:eastAsia="宋体" w:cs="宋体"/>
          <w:sz w:val="24"/>
          <w:szCs w:val="24"/>
          <w:highlight w:val="none"/>
          <w:lang w:eastAsia="zh-CN"/>
        </w:rPr>
        <w:t>内，支付合同总金额的</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0.00%</w:t>
      </w:r>
      <w:r>
        <w:rPr>
          <w:rFonts w:hint="eastAsia" w:ascii="宋体" w:hAnsi="宋体" w:cs="宋体"/>
          <w:sz w:val="24"/>
          <w:szCs w:val="24"/>
          <w:highlight w:val="none"/>
          <w:lang w:eastAsia="zh-CN"/>
        </w:rPr>
        <w:t>；</w:t>
      </w:r>
      <w:r>
        <w:rPr>
          <w:rFonts w:hint="eastAsia" w:ascii="宋体" w:hAnsi="宋体" w:eastAsia="宋体" w:cs="宋体"/>
          <w:sz w:val="24"/>
          <w:szCs w:val="24"/>
          <w:highlight w:val="none"/>
          <w:lang w:eastAsia="zh-CN"/>
        </w:rPr>
        <w:t>维保服务期满6个月，供应商提供发票，达到付款条件起30</w:t>
      </w:r>
      <w:r>
        <w:rPr>
          <w:rFonts w:hint="eastAsia" w:ascii="宋体" w:hAnsi="宋体" w:cs="宋体"/>
          <w:sz w:val="24"/>
          <w:szCs w:val="24"/>
          <w:highlight w:val="none"/>
          <w:lang w:val="en-US" w:eastAsia="zh-CN"/>
        </w:rPr>
        <w:t>个工作日</w:t>
      </w:r>
      <w:r>
        <w:rPr>
          <w:rFonts w:hint="eastAsia" w:ascii="宋体" w:hAnsi="宋体" w:eastAsia="宋体" w:cs="宋体"/>
          <w:sz w:val="24"/>
          <w:szCs w:val="24"/>
          <w:highlight w:val="none"/>
          <w:lang w:eastAsia="zh-CN"/>
        </w:rPr>
        <w:t xml:space="preserve">内，支付合同总金额的 </w:t>
      </w:r>
      <w:r>
        <w:rPr>
          <w:rFonts w:hint="eastAsia" w:ascii="宋体" w:hAnsi="宋体" w:eastAsia="宋体" w:cs="宋体"/>
          <w:sz w:val="24"/>
          <w:szCs w:val="24"/>
          <w:highlight w:val="none"/>
          <w:lang w:val="en-US" w:eastAsia="zh-CN"/>
        </w:rPr>
        <w:t>30</w:t>
      </w:r>
      <w:r>
        <w:rPr>
          <w:rFonts w:hint="eastAsia" w:ascii="宋体" w:hAnsi="宋体" w:eastAsia="宋体" w:cs="宋体"/>
          <w:sz w:val="24"/>
          <w:szCs w:val="24"/>
          <w:highlight w:val="none"/>
          <w:lang w:eastAsia="zh-CN"/>
        </w:rPr>
        <w:t>.00%</w:t>
      </w:r>
      <w:r>
        <w:rPr>
          <w:rFonts w:hint="eastAsia" w:ascii="宋体" w:hAnsi="宋体" w:cs="宋体"/>
          <w:sz w:val="24"/>
          <w:szCs w:val="24"/>
          <w:highlight w:val="none"/>
          <w:lang w:eastAsia="zh-CN"/>
        </w:rPr>
        <w:t>；</w:t>
      </w:r>
      <w:r>
        <w:rPr>
          <w:rFonts w:hint="eastAsia" w:ascii="宋体" w:hAnsi="宋体" w:eastAsia="宋体" w:cs="宋体"/>
          <w:sz w:val="24"/>
          <w:szCs w:val="24"/>
          <w:highlight w:val="none"/>
          <w:lang w:eastAsia="zh-CN"/>
        </w:rPr>
        <w:t>维保期满后供应商提供服务期全部巡检报告（含故障维修记录）及发票，达到付款条件起30</w:t>
      </w:r>
      <w:r>
        <w:rPr>
          <w:rFonts w:hint="eastAsia" w:ascii="宋体" w:hAnsi="宋体" w:cs="宋体"/>
          <w:sz w:val="24"/>
          <w:szCs w:val="24"/>
          <w:highlight w:val="none"/>
          <w:lang w:val="en-US" w:eastAsia="zh-CN"/>
        </w:rPr>
        <w:t>个工作日</w:t>
      </w:r>
      <w:r>
        <w:rPr>
          <w:rFonts w:hint="eastAsia" w:ascii="宋体" w:hAnsi="宋体" w:eastAsia="宋体" w:cs="宋体"/>
          <w:sz w:val="24"/>
          <w:szCs w:val="24"/>
          <w:highlight w:val="none"/>
          <w:lang w:eastAsia="zh-CN"/>
        </w:rPr>
        <w:t>内，支付合同总金额的</w:t>
      </w:r>
      <w:r>
        <w:rPr>
          <w:rFonts w:hint="eastAsia" w:ascii="宋体" w:hAnsi="宋体" w:eastAsia="宋体" w:cs="宋体"/>
          <w:sz w:val="24"/>
          <w:szCs w:val="24"/>
          <w:highlight w:val="none"/>
          <w:lang w:val="en-US" w:eastAsia="zh-CN"/>
        </w:rPr>
        <w:t>30</w:t>
      </w:r>
      <w:r>
        <w:rPr>
          <w:rFonts w:hint="eastAsia" w:ascii="宋体" w:hAnsi="宋体" w:eastAsia="宋体" w:cs="宋体"/>
          <w:sz w:val="24"/>
          <w:szCs w:val="24"/>
          <w:highlight w:val="none"/>
          <w:lang w:eastAsia="zh-CN"/>
        </w:rPr>
        <w:t>.00%。</w:t>
      </w:r>
    </w:p>
    <w:p w14:paraId="07F66FA0">
      <w:pPr>
        <w:keepNext w:val="0"/>
        <w:keepLines w:val="0"/>
        <w:pageBreakBefore w:val="0"/>
        <w:widowControl/>
        <w:tabs>
          <w:tab w:val="left" w:pos="426"/>
        </w:tabs>
        <w:kinsoku/>
        <w:wordWrap/>
        <w:overflowPunct/>
        <w:topLinePunct w:val="0"/>
        <w:autoSpaceDE/>
        <w:autoSpaceDN/>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3.乙方开户银行指定账户为：</w:t>
      </w:r>
    </w:p>
    <w:p w14:paraId="7F73CD60">
      <w:pPr>
        <w:keepNext w:val="0"/>
        <w:keepLines w:val="0"/>
        <w:pageBreakBefore w:val="0"/>
        <w:widowControl/>
        <w:tabs>
          <w:tab w:val="left" w:pos="426"/>
        </w:tabs>
        <w:kinsoku/>
        <w:wordWrap/>
        <w:topLinePunct w:val="0"/>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收款人：</w:t>
      </w:r>
    </w:p>
    <w:p w14:paraId="3F5496AD">
      <w:pPr>
        <w:keepNext w:val="0"/>
        <w:keepLines w:val="0"/>
        <w:pageBreakBefore w:val="0"/>
        <w:widowControl/>
        <w:tabs>
          <w:tab w:val="left" w:pos="426"/>
        </w:tabs>
        <w:kinsoku/>
        <w:wordWrap/>
        <w:topLinePunct w:val="0"/>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开户行：</w:t>
      </w:r>
    </w:p>
    <w:p w14:paraId="4AD6A8B3">
      <w:pPr>
        <w:keepNext w:val="0"/>
        <w:keepLines w:val="0"/>
        <w:pageBreakBefore w:val="0"/>
        <w:widowControl/>
        <w:tabs>
          <w:tab w:val="left" w:pos="426"/>
        </w:tabs>
        <w:kinsoku/>
        <w:wordWrap/>
        <w:topLinePunct w:val="0"/>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p w14:paraId="4270EAD8">
      <w:pPr>
        <w:keepNext w:val="0"/>
        <w:keepLines w:val="0"/>
        <w:pageBreakBefore w:val="0"/>
        <w:numPr>
          <w:ilvl w:val="0"/>
          <w:numId w:val="0"/>
        </w:numPr>
        <w:kinsoku/>
        <w:wordWrap/>
        <w:topLinePunct w:val="0"/>
        <w:bidi w:val="0"/>
        <w:snapToGrid/>
        <w:spacing w:line="360" w:lineRule="auto"/>
        <w:textAlignment w:val="auto"/>
        <w:rPr>
          <w:rFonts w:hint="eastAsia" w:ascii="宋体" w:hAnsi="宋体" w:eastAsia="宋体" w:cs="宋体"/>
          <w:b/>
          <w:color w:val="auto"/>
          <w:sz w:val="24"/>
          <w:szCs w:val="24"/>
          <w:highlight w:val="none"/>
          <w:lang w:val="zh-CN"/>
        </w:rPr>
      </w:pPr>
      <w:r>
        <w:rPr>
          <w:rFonts w:hint="eastAsia" w:ascii="宋体" w:hAnsi="宋体" w:cs="宋体"/>
          <w:b/>
          <w:color w:val="auto"/>
          <w:sz w:val="24"/>
          <w:szCs w:val="24"/>
          <w:highlight w:val="none"/>
          <w:lang w:val="en-US" w:eastAsia="zh-CN"/>
        </w:rPr>
        <w:t>四</w:t>
      </w:r>
      <w:r>
        <w:rPr>
          <w:rFonts w:hint="eastAsia" w:ascii="宋体" w:hAnsi="宋体" w:eastAsia="宋体" w:cs="宋体"/>
          <w:b/>
          <w:color w:val="auto"/>
          <w:sz w:val="24"/>
          <w:szCs w:val="24"/>
          <w:highlight w:val="none"/>
          <w:lang w:val="zh-CN"/>
        </w:rPr>
        <w:t>、甲方的主要责任和权利</w:t>
      </w:r>
    </w:p>
    <w:p w14:paraId="7B0FD92C">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1.乙方在为甲方提供服务时所形成的成果及成果的知识产权归甲方所有。</w:t>
      </w:r>
    </w:p>
    <w:p w14:paraId="3E854FD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2.甲方有权随时了解乙方的工作进展情况，并对经费使用进行监督检查。</w:t>
      </w:r>
    </w:p>
    <w:p w14:paraId="17CBD3A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3.甲方将向乙方提供为完成服务工作所需要的信息、资料和其他相关协助。</w:t>
      </w:r>
    </w:p>
    <w:p w14:paraId="0C8BB4A7">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4.甲方若认为乙方履行合同不力严重影响项目服务质量，甲方有权要求更换乙方主要人员，直至终止合同。</w:t>
      </w:r>
    </w:p>
    <w:p w14:paraId="36B612FD">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5.甲方支持乙方的工作，按合同保证乙方责任和权力的统一。</w:t>
      </w:r>
    </w:p>
    <w:p w14:paraId="570D52EB">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6.甲方有权阐述对具体问题的意见和建议。</w:t>
      </w:r>
    </w:p>
    <w:p w14:paraId="37BC9F94">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7.甲方有权根据项目的具体情况，要求乙方按期到项目现场解决争议。</w:t>
      </w:r>
    </w:p>
    <w:p w14:paraId="63F3589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8.甲方有权对服务质量进行评估，若服务评估结果不合格，甲方有权扣除不超过10%的合同金额或终止合同。</w:t>
      </w:r>
    </w:p>
    <w:p w14:paraId="08A94588">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cs="宋体"/>
          <w:b/>
          <w:bCs/>
          <w:color w:val="auto"/>
          <w:sz w:val="24"/>
          <w:highlight w:val="none"/>
          <w:lang w:val="en-US" w:eastAsia="zh-CN"/>
        </w:rPr>
        <w:t>五</w:t>
      </w:r>
      <w:r>
        <w:rPr>
          <w:rFonts w:hint="eastAsia" w:ascii="宋体" w:hAnsi="宋体" w:eastAsia="宋体" w:cs="宋体"/>
          <w:b/>
          <w:bCs/>
          <w:color w:val="auto"/>
          <w:sz w:val="24"/>
          <w:highlight w:val="none"/>
        </w:rPr>
        <w:t>、乙方的主要责任和权利</w:t>
      </w:r>
    </w:p>
    <w:p w14:paraId="3C832A6A">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1.乙方必须具有履行本合同书所需的技能，必须按照相关的职业准则完成其全部职责。</w:t>
      </w:r>
    </w:p>
    <w:p w14:paraId="484ACBA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2.乙方应根据本合同的约定提交相关文件、资料。</w:t>
      </w:r>
    </w:p>
    <w:p w14:paraId="71033ECD">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cs="宋体"/>
          <w:color w:val="auto"/>
          <w:sz w:val="24"/>
          <w:highlight w:val="none"/>
          <w:lang w:val="en-US" w:eastAsia="zh-CN"/>
        </w:rPr>
        <w:t>.</w:t>
      </w:r>
      <w:r>
        <w:rPr>
          <w:rFonts w:hint="eastAsia" w:ascii="宋体" w:hAnsi="宋体" w:eastAsia="宋体" w:cs="宋体"/>
          <w:color w:val="auto"/>
          <w:sz w:val="24"/>
          <w:highlight w:val="none"/>
        </w:rPr>
        <w:t>对甲方提供的资料严格保密。</w:t>
      </w:r>
    </w:p>
    <w:p w14:paraId="295C9DB7">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.解答甲方提出的与项目有关的询问，接受甲方监督和检查。</w:t>
      </w:r>
    </w:p>
    <w:p w14:paraId="44925DDE">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.乙方应根据本合同的约定提供服务并提交工作成果，确保所提交成果的实用质量，具有可借鉴、可操作性。</w:t>
      </w:r>
    </w:p>
    <w:p w14:paraId="7EBC4AF2">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.乙方人员服务期中发生任何安全问题均与甲方无关，乙方应确保项目人员均购买人身保险。</w:t>
      </w:r>
    </w:p>
    <w:p w14:paraId="4D911F61">
      <w:pPr>
        <w:pStyle w:val="17"/>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六</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lang w:val="zh-CN" w:eastAsia="zh-CN"/>
        </w:rPr>
        <w:t>知识产权</w:t>
      </w:r>
    </w:p>
    <w:p w14:paraId="55EB567D">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605E0A73">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2.若乙方在为甲方提供服务时侵犯了第三人的权利，致使甲方受到索赔或起诉，由此给甲方造成的一切损失由乙方承担，同时甲方有权解除合同，同时乙方及时消除不良影响。</w:t>
      </w:r>
    </w:p>
    <w:p w14:paraId="06C4E7B0">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3.若未经甲方许可，乙方擅自使用或向第三方披露或许可第三方使用在为甲方提供服务时所获得的成果，甲方有权要求乙方或第三方停止侵权，并承担以此带来的所有损失，同时消除不良影响。</w:t>
      </w:r>
    </w:p>
    <w:p w14:paraId="192B51B8">
      <w:pPr>
        <w:pStyle w:val="1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宋体" w:hAnsi="宋体" w:cs="宋体"/>
          <w:sz w:val="24"/>
          <w:lang w:val="en-US" w:eastAsia="zh-CN"/>
        </w:rPr>
        <w:t>4.</w:t>
      </w:r>
      <w:r>
        <w:rPr>
          <w:rFonts w:hint="eastAsia" w:ascii="宋体" w:hAnsi="宋体" w:cs="宋体"/>
          <w:sz w:val="24"/>
        </w:rPr>
        <w:t>本合同条款的规定不因本合同的到期而失效。</w:t>
      </w:r>
    </w:p>
    <w:p w14:paraId="40F26A6E">
      <w:pPr>
        <w:pStyle w:val="17"/>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color w:val="000000" w:themeColor="text1"/>
          <w:highlight w:val="none"/>
          <w:lang w:val="en-US" w:eastAsia="zh-CN"/>
          <w14:textFill>
            <w14:solidFill>
              <w14:schemeClr w14:val="tx1"/>
            </w14:solidFill>
          </w14:textFill>
        </w:rPr>
        <w:t>七</w:t>
      </w:r>
      <w:r>
        <w:rPr>
          <w:rFonts w:hint="eastAsia" w:ascii="宋体" w:hAnsi="宋体" w:eastAsia="宋体" w:cs="宋体"/>
          <w:b/>
          <w:color w:val="000000" w:themeColor="text1"/>
          <w:highlight w:val="none"/>
          <w:lang w:val="en-US" w:eastAsia="zh-CN"/>
          <w14:textFill>
            <w14:solidFill>
              <w14:schemeClr w14:val="tx1"/>
            </w14:solidFill>
          </w14:textFill>
        </w:rPr>
        <w:t>、</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验收</w:t>
      </w:r>
    </w:p>
    <w:p w14:paraId="530AAB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验收时间：</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项目完成后采购人组织验收。</w:t>
      </w:r>
    </w:p>
    <w:p w14:paraId="293527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质量标准：</w:t>
      </w:r>
      <w:r>
        <w:rPr>
          <w:rFonts w:hint="eastAsia" w:ascii="宋体" w:hAnsi="宋体" w:eastAsia="宋体" w:cs="宋体"/>
          <w:sz w:val="24"/>
          <w:szCs w:val="24"/>
          <w:highlight w:val="none"/>
          <w:lang w:eastAsia="zh-CN"/>
        </w:rPr>
        <w:t>符合国家及行业有关现行规范、标准的要求</w:t>
      </w:r>
      <w:r>
        <w:rPr>
          <w:rFonts w:hint="eastAsia" w:ascii="宋体" w:hAnsi="宋体" w:cs="宋体"/>
          <w:color w:val="000000" w:themeColor="text1"/>
          <w:sz w:val="24"/>
          <w:highlight w:val="none"/>
          <w:lang w:eastAsia="zh-CN"/>
          <w14:textFill>
            <w14:solidFill>
              <w14:schemeClr w14:val="tx1"/>
            </w14:solidFill>
          </w14:textFill>
        </w:rPr>
        <w:t>。</w:t>
      </w:r>
    </w:p>
    <w:p w14:paraId="56B64C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验收合格条件：符合国家标准和技术规格书及合同要求，符合</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单一来源采购</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文件、成交供应商的</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响应</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文件、澄清文件和成交通知书的要求等,乙方应严格按照上述及采购人要求实施项目服务，甲方有权对乙方服务质量进行评估，当乙方出现较为严重的服务质量问题时，从乙方服务费中扣除合同总价的10%。</w:t>
      </w:r>
    </w:p>
    <w:p w14:paraId="7F08ADD6">
      <w:pPr>
        <w:pStyle w:val="17"/>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color w:val="000000" w:themeColor="text1"/>
          <w:sz w:val="24"/>
          <w:szCs w:val="24"/>
          <w:highlight w:val="none"/>
          <w:lang w:val="zh-CN" w:eastAsia="zh-CN"/>
          <w14:textFill>
            <w14:solidFill>
              <w14:schemeClr w14:val="tx1"/>
            </w14:solidFill>
          </w14:textFill>
        </w:rPr>
      </w:pPr>
      <w:r>
        <w:rPr>
          <w:rFonts w:hint="eastAsia" w:ascii="宋体" w:hAnsi="宋体" w:cs="宋体"/>
          <w:b/>
          <w:color w:val="000000" w:themeColor="text1"/>
          <w:sz w:val="24"/>
          <w:szCs w:val="24"/>
          <w:highlight w:val="none"/>
          <w:lang w:val="en-US" w:eastAsia="zh-CN"/>
          <w14:textFill>
            <w14:solidFill>
              <w14:schemeClr w14:val="tx1"/>
            </w14:solidFill>
          </w14:textFill>
        </w:rPr>
        <w:t>八</w:t>
      </w:r>
      <w:r>
        <w:rPr>
          <w:rFonts w:hint="eastAsia" w:ascii="宋体" w:hAnsi="宋体" w:eastAsia="宋体" w:cs="宋体"/>
          <w:b/>
          <w:color w:val="000000" w:themeColor="text1"/>
          <w:sz w:val="24"/>
          <w:szCs w:val="24"/>
          <w:highlight w:val="none"/>
          <w:lang w:val="zh-CN" w:eastAsia="zh-CN"/>
          <w14:textFill>
            <w14:solidFill>
              <w14:schemeClr w14:val="tx1"/>
            </w14:solidFill>
          </w14:textFill>
        </w:rPr>
        <w:t>、保密</w:t>
      </w:r>
    </w:p>
    <w:p w14:paraId="18899802">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1.在本合同的履行期内，乙方获得与本项目相关的信息（包括获得的资料及成果等），应当采取适当有效的方式保护，不得未经授权使用、传播或公开。</w:t>
      </w:r>
    </w:p>
    <w:p w14:paraId="1AA92904">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2.乙方在项目实施过程中接触或产生涉密数据的，应严格按《中华人民共和国保守国家秘密法》以及其他相关法律法规和制度执行。如由于乙方的原因而导致泄密的，乙方应承担相应法律责任。</w:t>
      </w:r>
    </w:p>
    <w:p w14:paraId="3377F7B9">
      <w:pPr>
        <w:pStyle w:val="16"/>
        <w:keepNext w:val="0"/>
        <w:keepLines w:val="0"/>
        <w:pageBreakBefore w:val="0"/>
        <w:kinsoku/>
        <w:wordWrap/>
        <w:topLinePunct w:val="0"/>
        <w:bidi w:val="0"/>
        <w:snapToGrid/>
        <w:spacing w:line="360" w:lineRule="auto"/>
        <w:ind w:left="0" w:leftChars="0" w:firstLine="0" w:firstLineChars="0"/>
        <w:textAlignment w:val="auto"/>
        <w:rPr>
          <w:rFonts w:hint="eastAsia" w:ascii="宋体" w:hAnsi="宋体" w:eastAsia="宋体" w:cs="宋体"/>
          <w:b/>
          <w:bCs/>
          <w:color w:val="auto"/>
          <w:sz w:val="24"/>
          <w:highlight w:val="none"/>
        </w:rPr>
      </w:pPr>
      <w:r>
        <w:rPr>
          <w:rFonts w:hint="eastAsia" w:ascii="宋体" w:hAnsi="宋体" w:cs="宋体"/>
          <w:b/>
          <w:bCs/>
          <w:color w:val="auto"/>
          <w:sz w:val="24"/>
          <w:highlight w:val="none"/>
          <w:lang w:val="en-US" w:eastAsia="zh-CN"/>
        </w:rPr>
        <w:t>九</w:t>
      </w:r>
      <w:r>
        <w:rPr>
          <w:rFonts w:hint="eastAsia" w:ascii="宋体" w:hAnsi="宋体" w:eastAsia="宋体" w:cs="宋体"/>
          <w:b/>
          <w:bCs/>
          <w:color w:val="auto"/>
          <w:sz w:val="24"/>
          <w:highlight w:val="none"/>
        </w:rPr>
        <w:t>、不可抗力</w:t>
      </w:r>
    </w:p>
    <w:p w14:paraId="513BAFF3">
      <w:pPr>
        <w:pStyle w:val="16"/>
        <w:keepNext w:val="0"/>
        <w:keepLines w:val="0"/>
        <w:pageBreakBefore w:val="0"/>
        <w:kinsoku/>
        <w:wordWrap/>
        <w:topLinePunct w:val="0"/>
        <w:bidi w:val="0"/>
        <w:snapToGrid/>
        <w:spacing w:line="360" w:lineRule="auto"/>
        <w:ind w:firstLine="480"/>
        <w:textAlignment w:val="auto"/>
        <w:rPr>
          <w:rFonts w:hint="eastAsia" w:ascii="宋体" w:hAnsi="宋体" w:eastAsia="宋体" w:cs="宋体"/>
          <w:bCs/>
          <w:color w:val="auto"/>
          <w:sz w:val="24"/>
          <w:highlight w:val="none"/>
        </w:rPr>
      </w:pPr>
      <w:r>
        <w:rPr>
          <w:rFonts w:hint="eastAsia" w:ascii="宋体" w:hAnsi="宋体" w:eastAsia="宋体" w:cs="宋体"/>
          <w:color w:val="auto"/>
          <w:sz w:val="24"/>
          <w:highlight w:val="none"/>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2BECA207">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2.遭受不可抗力一方应在不可抗力事故发生后尽快以书面形式通知另一方；并在事故发生后</w:t>
      </w:r>
      <w:r>
        <w:rPr>
          <w:rFonts w:hint="eastAsia" w:ascii="宋体" w:hAnsi="宋体" w:eastAsia="宋体" w:cs="宋体"/>
          <w:color w:val="auto"/>
          <w:sz w:val="24"/>
          <w:highlight w:val="none"/>
          <w:u w:val="single"/>
        </w:rPr>
        <w:t>十（10）</w:t>
      </w:r>
      <w:r>
        <w:rPr>
          <w:rFonts w:hint="eastAsia" w:ascii="宋体" w:hAnsi="宋体" w:eastAsia="宋体" w:cs="宋体"/>
          <w:color w:val="auto"/>
          <w:sz w:val="24"/>
          <w:highlight w:val="none"/>
        </w:rPr>
        <w:t>个日历日内，将有关部门出具的证明文件、详细情况报告以及不可抗力对合同影响程度的说明用特快专递或挂号信的形式寄给另一方。如果不可抗力影响时间延续</w:t>
      </w:r>
      <w:r>
        <w:rPr>
          <w:rFonts w:hint="eastAsia" w:ascii="宋体" w:hAnsi="宋体" w:cs="宋体"/>
          <w:color w:val="auto"/>
          <w:sz w:val="24"/>
          <w:highlight w:val="none"/>
          <w:lang w:val="en-US" w:eastAsia="zh-CN"/>
        </w:rPr>
        <w:t>三十</w:t>
      </w:r>
      <w:r>
        <w:rPr>
          <w:rFonts w:hint="eastAsia" w:ascii="宋体" w:hAnsi="宋体" w:eastAsia="宋体" w:cs="宋体"/>
          <w:color w:val="auto"/>
          <w:sz w:val="24"/>
          <w:highlight w:val="none"/>
          <w:u w:val="single"/>
        </w:rPr>
        <w:t>（</w:t>
      </w:r>
      <w:r>
        <w:rPr>
          <w:rFonts w:hint="eastAsia" w:ascii="宋体" w:hAnsi="宋体" w:cs="宋体"/>
          <w:color w:val="auto"/>
          <w:sz w:val="24"/>
          <w:highlight w:val="none"/>
          <w:u w:val="single"/>
          <w:lang w:val="en-US" w:eastAsia="zh-CN"/>
        </w:rPr>
        <w:t>30</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rPr>
        <w:t>个日历日以上，双方应通过友好协商在合理的时间内达成进一步履行合同或终止合同的协议。</w:t>
      </w:r>
    </w:p>
    <w:p w14:paraId="153D59BE">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十、破产终止合同</w:t>
      </w:r>
    </w:p>
    <w:p w14:paraId="1750B03A">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当乙方破产或无供货（或提供服务）能力时，甲方可在任何时候以书面形式通知乙方单方解除合同；并且该终止合同不损害或不影响甲方已采取或将采取补救措施的权利。</w:t>
      </w:r>
    </w:p>
    <w:p w14:paraId="2B133C13">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cs="宋体"/>
          <w:b/>
          <w:bCs/>
          <w:color w:val="auto"/>
          <w:sz w:val="24"/>
          <w:highlight w:val="none"/>
          <w:lang w:val="en-US" w:eastAsia="zh-CN"/>
        </w:rPr>
        <w:t>一</w:t>
      </w:r>
      <w:r>
        <w:rPr>
          <w:rFonts w:hint="eastAsia" w:ascii="宋体" w:hAnsi="宋体" w:eastAsia="宋体" w:cs="宋体"/>
          <w:b/>
          <w:bCs/>
          <w:color w:val="auto"/>
          <w:sz w:val="24"/>
          <w:highlight w:val="none"/>
        </w:rPr>
        <w:t>、转让</w:t>
      </w:r>
    </w:p>
    <w:p w14:paraId="6417B0D3">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未经甲方事先书面同意，乙方不得部分转让或全部转让其应履行的合同义务。乙方擅自转让自身合同义务，甲方有权单方解除合同，并要求乙方赔偿因此产生的一切损失。</w:t>
      </w:r>
    </w:p>
    <w:p w14:paraId="62628231">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lang w:val="zh-CN"/>
        </w:rPr>
      </w:pPr>
      <w:r>
        <w:rPr>
          <w:rFonts w:hint="eastAsia" w:ascii="宋体" w:hAnsi="宋体" w:eastAsia="宋体" w:cs="宋体"/>
          <w:b/>
          <w:bCs/>
          <w:color w:val="auto"/>
          <w:sz w:val="24"/>
          <w:highlight w:val="none"/>
          <w:lang w:val="zh-CN"/>
        </w:rPr>
        <w:t>十</w:t>
      </w:r>
      <w:r>
        <w:rPr>
          <w:rFonts w:hint="eastAsia" w:ascii="宋体" w:hAnsi="宋体" w:cs="宋体"/>
          <w:b/>
          <w:bCs/>
          <w:color w:val="auto"/>
          <w:sz w:val="24"/>
          <w:highlight w:val="none"/>
          <w:lang w:val="en-US" w:eastAsia="zh-CN"/>
        </w:rPr>
        <w:t>二</w:t>
      </w:r>
      <w:r>
        <w:rPr>
          <w:rFonts w:hint="eastAsia" w:ascii="宋体" w:hAnsi="宋体" w:eastAsia="宋体" w:cs="宋体"/>
          <w:b/>
          <w:bCs/>
          <w:color w:val="auto"/>
          <w:sz w:val="24"/>
          <w:highlight w:val="none"/>
          <w:lang w:val="zh-CN"/>
        </w:rPr>
        <w:t>、违约责任</w:t>
      </w:r>
    </w:p>
    <w:p w14:paraId="1973BB80">
      <w:pPr>
        <w:pStyle w:val="17"/>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1.按《中华人民共和国民法典》中的相关条款执行。</w:t>
      </w:r>
    </w:p>
    <w:p w14:paraId="283A591F">
      <w:pPr>
        <w:pStyle w:val="17"/>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2.未按合同或单一来源采购文件要求提供服务，质量不能满足采购方技术要求，采购单位有权终止合同，甚至对供方违约行为进行追究。</w:t>
      </w:r>
    </w:p>
    <w:p w14:paraId="2E094D82">
      <w:pPr>
        <w:pStyle w:val="17"/>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3.乙方由于自身过错，延误按本合同规定的服务成果交付时间，每延误一天，应减收本合同总额的2‰作为延误违约金。</w:t>
      </w:r>
    </w:p>
    <w:p w14:paraId="43E06531">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cs="宋体"/>
          <w:b/>
          <w:bCs/>
          <w:color w:val="auto"/>
          <w:sz w:val="24"/>
          <w:highlight w:val="none"/>
          <w:lang w:val="en-US" w:eastAsia="zh-CN"/>
        </w:rPr>
        <w:t>三</w:t>
      </w:r>
      <w:r>
        <w:rPr>
          <w:rFonts w:hint="eastAsia" w:ascii="宋体" w:hAnsi="宋体" w:eastAsia="宋体" w:cs="宋体"/>
          <w:b/>
          <w:bCs/>
          <w:color w:val="auto"/>
          <w:sz w:val="24"/>
          <w:highlight w:val="none"/>
        </w:rPr>
        <w:t>、合同争议和解决办法</w:t>
      </w:r>
    </w:p>
    <w:p w14:paraId="0E8D1956">
      <w:pPr>
        <w:pStyle w:val="6"/>
        <w:keepNext w:val="0"/>
        <w:keepLines w:val="0"/>
        <w:pageBreakBefore w:val="0"/>
        <w:kinsoku/>
        <w:wordWrap/>
        <w:topLinePunct w:val="0"/>
        <w:bidi w:val="0"/>
        <w:snapToGrid/>
        <w:spacing w:line="360"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执行本合同中产生纠纷，由采购人与成交单位双方协商解决；协商不成，向甲方所在地的人民法院提起诉讼。</w:t>
      </w:r>
    </w:p>
    <w:p w14:paraId="428F0DC9">
      <w:pPr>
        <w:autoSpaceDE w:val="0"/>
        <w:autoSpaceDN w:val="0"/>
        <w:adjustRightInd w:val="0"/>
        <w:spacing w:line="360" w:lineRule="auto"/>
        <w:rPr>
          <w:rFonts w:ascii="宋体"/>
          <w:b/>
          <w:bCs/>
          <w:sz w:val="24"/>
          <w:highlight w:val="none"/>
        </w:rPr>
      </w:pPr>
      <w:r>
        <w:rPr>
          <w:rFonts w:hint="eastAsia" w:ascii="宋体" w:hAnsi="宋体" w:cs="宋体"/>
          <w:b/>
          <w:bCs/>
          <w:sz w:val="24"/>
          <w:highlight w:val="none"/>
        </w:rPr>
        <w:t>十</w:t>
      </w:r>
      <w:r>
        <w:rPr>
          <w:rFonts w:hint="eastAsia" w:ascii="宋体" w:hAnsi="宋体" w:cs="宋体"/>
          <w:b/>
          <w:bCs/>
          <w:sz w:val="24"/>
          <w:highlight w:val="none"/>
          <w:lang w:val="en-US" w:eastAsia="zh-CN"/>
        </w:rPr>
        <w:t>四</w:t>
      </w:r>
      <w:r>
        <w:rPr>
          <w:rFonts w:hint="eastAsia" w:ascii="宋体" w:hAnsi="宋体" w:cs="宋体"/>
          <w:b/>
          <w:bCs/>
          <w:sz w:val="24"/>
          <w:highlight w:val="none"/>
        </w:rPr>
        <w:t>、合同生效</w:t>
      </w:r>
    </w:p>
    <w:p w14:paraId="50BD0F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rPr>
      </w:pPr>
      <w:r>
        <w:rPr>
          <w:rFonts w:hint="eastAsia" w:ascii="宋体" w:hAnsi="宋体" w:cs="宋体"/>
          <w:sz w:val="24"/>
          <w:highlight w:val="none"/>
          <w:lang w:val="en-US" w:eastAsia="zh-CN"/>
        </w:rPr>
        <w:t>1.</w:t>
      </w:r>
      <w:r>
        <w:rPr>
          <w:rFonts w:hint="eastAsia" w:ascii="宋体" w:hAnsi="宋体" w:cs="宋体"/>
          <w:sz w:val="24"/>
          <w:highlight w:val="none"/>
        </w:rPr>
        <w:t>本合同须经甲、乙双方的法定代表人（委托代理人）在合同书上签字并加盖本单位公章后正式生效。</w:t>
      </w:r>
    </w:p>
    <w:p w14:paraId="0CC5F456">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ascii="宋体"/>
          <w:sz w:val="24"/>
        </w:rPr>
      </w:pPr>
      <w:r>
        <w:rPr>
          <w:rFonts w:hint="eastAsia" w:ascii="宋体" w:hAnsi="宋体" w:cs="宋体"/>
          <w:sz w:val="24"/>
          <w:lang w:val="en-US" w:eastAsia="zh-CN"/>
        </w:rPr>
        <w:t>2.</w:t>
      </w:r>
      <w:r>
        <w:rPr>
          <w:rFonts w:hint="eastAsia" w:ascii="宋体" w:hAnsi="宋体" w:cs="宋体"/>
          <w:sz w:val="24"/>
        </w:rPr>
        <w:t>合同生效后，甲、乙双方须严格执行本合同条款的规定，全面履行合同，违者按《中华人民共和国民法典》的有关规定承担相应责任。</w:t>
      </w:r>
    </w:p>
    <w:p w14:paraId="3A5980C0">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ascii="宋体"/>
          <w:sz w:val="24"/>
        </w:rPr>
      </w:pPr>
      <w:r>
        <w:rPr>
          <w:rFonts w:hint="eastAsia" w:ascii="宋体" w:hAnsi="宋体" w:cs="宋体"/>
          <w:sz w:val="24"/>
          <w:lang w:val="en-US" w:eastAsia="zh-CN"/>
        </w:rPr>
        <w:t>3.</w:t>
      </w:r>
      <w:r>
        <w:rPr>
          <w:rFonts w:hint="eastAsia" w:ascii="宋体" w:hAnsi="宋体" w:cs="宋体"/>
          <w:sz w:val="24"/>
        </w:rPr>
        <w:t>本合同一式</w:t>
      </w:r>
      <w:r>
        <w:rPr>
          <w:rFonts w:hint="eastAsia" w:ascii="宋体" w:hAnsi="宋体" w:cs="宋体"/>
          <w:sz w:val="24"/>
          <w:u w:val="single"/>
        </w:rPr>
        <w:t xml:space="preserve">   </w:t>
      </w:r>
      <w:r>
        <w:rPr>
          <w:rFonts w:hint="eastAsia" w:ascii="宋体" w:hAnsi="宋体" w:cs="宋体"/>
          <w:sz w:val="24"/>
        </w:rPr>
        <w:t>份，甲乙双方各执</w:t>
      </w:r>
      <w:r>
        <w:rPr>
          <w:rFonts w:hint="eastAsia" w:ascii="宋体" w:hAnsi="宋体" w:cs="宋体"/>
          <w:sz w:val="24"/>
          <w:u w:val="single"/>
        </w:rPr>
        <w:t xml:space="preserve">   </w:t>
      </w:r>
      <w:r>
        <w:rPr>
          <w:rFonts w:hint="eastAsia" w:ascii="宋体" w:hAnsi="宋体" w:cs="宋体"/>
          <w:sz w:val="24"/>
        </w:rPr>
        <w:t>份。</w:t>
      </w:r>
    </w:p>
    <w:p w14:paraId="390B52DC">
      <w:pPr>
        <w:keepNext w:val="0"/>
        <w:keepLines w:val="0"/>
        <w:pageBreakBefore w:val="0"/>
        <w:widowControl w:val="0"/>
        <w:kinsoku/>
        <w:wordWrap/>
        <w:overflowPunct/>
        <w:topLinePunct w:val="0"/>
        <w:bidi w:val="0"/>
        <w:adjustRightInd/>
        <w:snapToGrid w:val="0"/>
        <w:spacing w:line="360" w:lineRule="auto"/>
        <w:ind w:firstLine="480" w:firstLineChars="200"/>
        <w:textAlignment w:val="auto"/>
        <w:rPr>
          <w:rFonts w:ascii="宋体"/>
          <w:sz w:val="24"/>
        </w:rPr>
      </w:pPr>
      <w:r>
        <w:rPr>
          <w:rFonts w:hint="eastAsia" w:ascii="宋体" w:hAnsi="宋体" w:cs="宋体"/>
          <w:sz w:val="24"/>
          <w:lang w:val="en-US" w:eastAsia="zh-CN"/>
        </w:rPr>
        <w:t>4.</w:t>
      </w:r>
      <w:r>
        <w:rPr>
          <w:rFonts w:hint="eastAsia" w:ascii="宋体" w:hAnsi="宋体" w:cs="宋体"/>
          <w:sz w:val="24"/>
        </w:rPr>
        <w:t>本合同如有未尽事宜，甲、乙双方协商解决。</w:t>
      </w:r>
    </w:p>
    <w:p w14:paraId="026E4D4A">
      <w:pPr>
        <w:rPr>
          <w:rFonts w:hint="eastAsia" w:ascii="宋体" w:hAnsi="宋体" w:cs="宋体"/>
          <w:b/>
          <w:bCs/>
          <w:color w:val="000000"/>
          <w:sz w:val="36"/>
          <w:szCs w:val="36"/>
        </w:rPr>
      </w:pPr>
    </w:p>
    <w:p w14:paraId="1F9E3477">
      <w:pPr>
        <w:pStyle w:val="4"/>
        <w:rPr>
          <w:rFonts w:hint="eastAsia"/>
        </w:rPr>
      </w:pPr>
    </w:p>
    <w:tbl>
      <w:tblPr>
        <w:tblStyle w:val="12"/>
        <w:tblpPr w:leftFromText="180" w:rightFromText="180" w:vertAnchor="text" w:horzAnchor="page" w:tblpX="1937" w:tblpY="99"/>
        <w:tblOverlap w:val="never"/>
        <w:tblW w:w="8403" w:type="dxa"/>
        <w:tblInd w:w="0" w:type="dxa"/>
        <w:tblLayout w:type="fixed"/>
        <w:tblCellMar>
          <w:top w:w="0" w:type="dxa"/>
          <w:left w:w="108" w:type="dxa"/>
          <w:bottom w:w="0" w:type="dxa"/>
          <w:right w:w="108" w:type="dxa"/>
        </w:tblCellMar>
      </w:tblPr>
      <w:tblGrid>
        <w:gridCol w:w="4201"/>
        <w:gridCol w:w="4202"/>
      </w:tblGrid>
      <w:tr w14:paraId="3E3160C3">
        <w:tblPrEx>
          <w:tblCellMar>
            <w:top w:w="0" w:type="dxa"/>
            <w:left w:w="108" w:type="dxa"/>
            <w:bottom w:w="0" w:type="dxa"/>
            <w:right w:w="108" w:type="dxa"/>
          </w:tblCellMar>
        </w:tblPrEx>
        <w:trPr>
          <w:trHeight w:val="454" w:hRule="atLeast"/>
        </w:trPr>
        <w:tc>
          <w:tcPr>
            <w:tcW w:w="4201" w:type="dxa"/>
            <w:vAlign w:val="center"/>
          </w:tcPr>
          <w:p w14:paraId="2F3B618A">
            <w:pPr>
              <w:spacing w:line="240" w:lineRule="auto"/>
              <w:ind w:firstLine="480" w:firstLineChars="200"/>
              <w:rPr>
                <w:rFonts w:ascii="宋体"/>
                <w:sz w:val="24"/>
              </w:rPr>
            </w:pPr>
            <w:r>
              <w:rPr>
                <w:rFonts w:hint="eastAsia" w:ascii="宋体" w:hAnsi="宋体" w:cs="宋体"/>
                <w:sz w:val="24"/>
              </w:rPr>
              <w:t>甲</w:t>
            </w:r>
            <w:r>
              <w:rPr>
                <w:rFonts w:ascii="宋体" w:hAnsi="宋体" w:cs="宋体"/>
                <w:sz w:val="24"/>
              </w:rPr>
              <w:t xml:space="preserve">  </w:t>
            </w:r>
            <w:r>
              <w:rPr>
                <w:rFonts w:hint="eastAsia" w:ascii="宋体" w:hAnsi="宋体" w:cs="宋体"/>
                <w:sz w:val="24"/>
              </w:rPr>
              <w:t>方</w:t>
            </w:r>
          </w:p>
        </w:tc>
        <w:tc>
          <w:tcPr>
            <w:tcW w:w="4202" w:type="dxa"/>
            <w:vAlign w:val="center"/>
          </w:tcPr>
          <w:p w14:paraId="1F342B2F">
            <w:pPr>
              <w:spacing w:line="240" w:lineRule="auto"/>
              <w:ind w:firstLine="480" w:firstLineChars="200"/>
              <w:rPr>
                <w:rFonts w:ascii="宋体"/>
                <w:sz w:val="24"/>
              </w:rPr>
            </w:pPr>
            <w:r>
              <w:rPr>
                <w:rFonts w:hint="eastAsia" w:ascii="宋体" w:hAnsi="宋体" w:cs="宋体"/>
                <w:sz w:val="24"/>
              </w:rPr>
              <w:t>乙</w:t>
            </w:r>
            <w:r>
              <w:rPr>
                <w:rFonts w:ascii="宋体" w:hAnsi="宋体" w:cs="宋体"/>
                <w:sz w:val="24"/>
              </w:rPr>
              <w:t xml:space="preserve">  </w:t>
            </w:r>
            <w:r>
              <w:rPr>
                <w:rFonts w:hint="eastAsia" w:ascii="宋体" w:hAnsi="宋体" w:cs="宋体"/>
                <w:sz w:val="24"/>
              </w:rPr>
              <w:t>方</w:t>
            </w:r>
          </w:p>
        </w:tc>
      </w:tr>
      <w:tr w14:paraId="62F5D579">
        <w:tblPrEx>
          <w:tblCellMar>
            <w:top w:w="0" w:type="dxa"/>
            <w:left w:w="108" w:type="dxa"/>
            <w:bottom w:w="0" w:type="dxa"/>
            <w:right w:w="108" w:type="dxa"/>
          </w:tblCellMar>
        </w:tblPrEx>
        <w:trPr>
          <w:trHeight w:val="454" w:hRule="atLeast"/>
        </w:trPr>
        <w:tc>
          <w:tcPr>
            <w:tcW w:w="4201" w:type="dxa"/>
            <w:vAlign w:val="center"/>
          </w:tcPr>
          <w:p w14:paraId="638DA055">
            <w:pPr>
              <w:spacing w:line="240" w:lineRule="auto"/>
              <w:ind w:firstLine="480" w:firstLineChars="200"/>
              <w:rPr>
                <w:rFonts w:ascii="宋体"/>
                <w:sz w:val="24"/>
              </w:rPr>
            </w:pPr>
            <w:r>
              <w:rPr>
                <w:rFonts w:hint="eastAsia" w:ascii="宋体" w:hAnsi="宋体" w:cs="宋体"/>
                <w:sz w:val="24"/>
              </w:rPr>
              <w:t>（盖章）</w:t>
            </w:r>
          </w:p>
        </w:tc>
        <w:tc>
          <w:tcPr>
            <w:tcW w:w="4202" w:type="dxa"/>
            <w:vAlign w:val="center"/>
          </w:tcPr>
          <w:p w14:paraId="188E7CE3">
            <w:pPr>
              <w:spacing w:line="240" w:lineRule="auto"/>
              <w:ind w:firstLine="480" w:firstLineChars="200"/>
              <w:rPr>
                <w:rFonts w:ascii="宋体"/>
                <w:sz w:val="24"/>
              </w:rPr>
            </w:pPr>
            <w:r>
              <w:rPr>
                <w:rFonts w:hint="eastAsia" w:ascii="宋体" w:hAnsi="宋体" w:cs="宋体"/>
                <w:sz w:val="24"/>
              </w:rPr>
              <w:t>（盖章）</w:t>
            </w:r>
          </w:p>
        </w:tc>
      </w:tr>
      <w:tr w14:paraId="7B3861EE">
        <w:tblPrEx>
          <w:tblCellMar>
            <w:top w:w="0" w:type="dxa"/>
            <w:left w:w="108" w:type="dxa"/>
            <w:bottom w:w="0" w:type="dxa"/>
            <w:right w:w="108" w:type="dxa"/>
          </w:tblCellMar>
        </w:tblPrEx>
        <w:trPr>
          <w:trHeight w:val="454" w:hRule="atLeast"/>
        </w:trPr>
        <w:tc>
          <w:tcPr>
            <w:tcW w:w="4201" w:type="dxa"/>
            <w:vAlign w:val="center"/>
          </w:tcPr>
          <w:p w14:paraId="70BD19AF">
            <w:pPr>
              <w:spacing w:line="240" w:lineRule="auto"/>
              <w:ind w:firstLine="480" w:firstLineChars="200"/>
              <w:rPr>
                <w:rFonts w:ascii="宋体" w:hAnsi="宋体" w:cs="宋体"/>
                <w:sz w:val="24"/>
              </w:rPr>
            </w:pPr>
            <w:r>
              <w:rPr>
                <w:rFonts w:hint="eastAsia" w:ascii="宋体" w:hAnsi="宋体" w:cs="宋体"/>
                <w:sz w:val="24"/>
              </w:rPr>
              <w:t>地址：</w:t>
            </w:r>
            <w:r>
              <w:rPr>
                <w:rFonts w:ascii="宋体" w:hAnsi="宋体" w:cs="宋体"/>
                <w:sz w:val="24"/>
              </w:rPr>
              <w:t xml:space="preserve"> </w:t>
            </w:r>
          </w:p>
        </w:tc>
        <w:tc>
          <w:tcPr>
            <w:tcW w:w="4202" w:type="dxa"/>
            <w:vAlign w:val="center"/>
          </w:tcPr>
          <w:p w14:paraId="20F48E07">
            <w:pPr>
              <w:spacing w:line="240" w:lineRule="auto"/>
              <w:ind w:firstLine="480" w:firstLineChars="200"/>
              <w:rPr>
                <w:rFonts w:ascii="宋体"/>
                <w:sz w:val="24"/>
              </w:rPr>
            </w:pPr>
            <w:r>
              <w:rPr>
                <w:rFonts w:hint="eastAsia" w:ascii="宋体" w:hAnsi="宋体" w:cs="宋体"/>
                <w:sz w:val="24"/>
              </w:rPr>
              <w:t>地址：</w:t>
            </w:r>
          </w:p>
        </w:tc>
      </w:tr>
      <w:tr w14:paraId="2D83391F">
        <w:tblPrEx>
          <w:tblCellMar>
            <w:top w:w="0" w:type="dxa"/>
            <w:left w:w="108" w:type="dxa"/>
            <w:bottom w:w="0" w:type="dxa"/>
            <w:right w:w="108" w:type="dxa"/>
          </w:tblCellMar>
        </w:tblPrEx>
        <w:trPr>
          <w:trHeight w:val="454" w:hRule="atLeast"/>
        </w:trPr>
        <w:tc>
          <w:tcPr>
            <w:tcW w:w="4201" w:type="dxa"/>
            <w:vAlign w:val="center"/>
          </w:tcPr>
          <w:p w14:paraId="4C2B5535">
            <w:pPr>
              <w:spacing w:line="240" w:lineRule="auto"/>
              <w:ind w:firstLine="480" w:firstLineChars="200"/>
              <w:rPr>
                <w:rFonts w:ascii="宋体"/>
                <w:sz w:val="24"/>
              </w:rPr>
            </w:pPr>
            <w:r>
              <w:rPr>
                <w:rFonts w:hint="eastAsia" w:ascii="宋体" w:hAnsi="宋体" w:cs="宋体"/>
                <w:sz w:val="24"/>
              </w:rPr>
              <w:t>邮编：</w:t>
            </w:r>
          </w:p>
        </w:tc>
        <w:tc>
          <w:tcPr>
            <w:tcW w:w="4202" w:type="dxa"/>
            <w:vAlign w:val="center"/>
          </w:tcPr>
          <w:p w14:paraId="3354C9F9">
            <w:pPr>
              <w:spacing w:line="240" w:lineRule="auto"/>
              <w:ind w:firstLine="480" w:firstLineChars="200"/>
              <w:rPr>
                <w:rFonts w:ascii="宋体"/>
                <w:sz w:val="24"/>
              </w:rPr>
            </w:pPr>
            <w:r>
              <w:rPr>
                <w:rFonts w:hint="eastAsia" w:ascii="宋体" w:hAnsi="宋体" w:cs="宋体"/>
                <w:sz w:val="24"/>
              </w:rPr>
              <w:t>邮编：</w:t>
            </w:r>
          </w:p>
        </w:tc>
      </w:tr>
      <w:tr w14:paraId="4916E88D">
        <w:tblPrEx>
          <w:tblCellMar>
            <w:top w:w="0" w:type="dxa"/>
            <w:left w:w="108" w:type="dxa"/>
            <w:bottom w:w="0" w:type="dxa"/>
            <w:right w:w="108" w:type="dxa"/>
          </w:tblCellMar>
        </w:tblPrEx>
        <w:trPr>
          <w:trHeight w:val="454" w:hRule="atLeast"/>
        </w:trPr>
        <w:tc>
          <w:tcPr>
            <w:tcW w:w="4201" w:type="dxa"/>
            <w:vAlign w:val="center"/>
          </w:tcPr>
          <w:p w14:paraId="6BC9C848">
            <w:pPr>
              <w:spacing w:line="240" w:lineRule="auto"/>
              <w:ind w:firstLine="480" w:firstLineChars="200"/>
              <w:rPr>
                <w:rFonts w:ascii="宋体" w:hAnsi="宋体" w:cs="宋体"/>
                <w:sz w:val="24"/>
              </w:rPr>
            </w:pPr>
            <w:r>
              <w:rPr>
                <w:rFonts w:hint="eastAsia" w:ascii="宋体" w:hAnsi="宋体" w:cs="宋体"/>
                <w:sz w:val="24"/>
              </w:rPr>
              <w:t>法定代表人：</w:t>
            </w:r>
            <w:r>
              <w:rPr>
                <w:rFonts w:ascii="宋体" w:hAnsi="宋体" w:cs="宋体"/>
                <w:sz w:val="24"/>
              </w:rPr>
              <w:t xml:space="preserve"> </w:t>
            </w:r>
          </w:p>
        </w:tc>
        <w:tc>
          <w:tcPr>
            <w:tcW w:w="4202" w:type="dxa"/>
            <w:vAlign w:val="center"/>
          </w:tcPr>
          <w:p w14:paraId="121FB769">
            <w:pPr>
              <w:spacing w:line="240" w:lineRule="auto"/>
              <w:ind w:firstLine="480" w:firstLineChars="200"/>
              <w:rPr>
                <w:rFonts w:ascii="宋体"/>
                <w:sz w:val="24"/>
              </w:rPr>
            </w:pPr>
            <w:r>
              <w:rPr>
                <w:rFonts w:hint="eastAsia" w:ascii="宋体" w:hAnsi="宋体" w:cs="宋体"/>
                <w:sz w:val="24"/>
              </w:rPr>
              <w:t>法定代表人：</w:t>
            </w:r>
          </w:p>
        </w:tc>
      </w:tr>
      <w:tr w14:paraId="5B044637">
        <w:tblPrEx>
          <w:tblCellMar>
            <w:top w:w="0" w:type="dxa"/>
            <w:left w:w="108" w:type="dxa"/>
            <w:bottom w:w="0" w:type="dxa"/>
            <w:right w:w="108" w:type="dxa"/>
          </w:tblCellMar>
        </w:tblPrEx>
        <w:trPr>
          <w:trHeight w:val="454" w:hRule="atLeast"/>
        </w:trPr>
        <w:tc>
          <w:tcPr>
            <w:tcW w:w="4201" w:type="dxa"/>
            <w:vAlign w:val="center"/>
          </w:tcPr>
          <w:p w14:paraId="51E0E3ED">
            <w:pPr>
              <w:spacing w:line="240" w:lineRule="auto"/>
              <w:ind w:firstLine="480" w:firstLineChars="200"/>
              <w:rPr>
                <w:rFonts w:ascii="宋体"/>
                <w:sz w:val="24"/>
              </w:rPr>
            </w:pPr>
            <w:r>
              <w:rPr>
                <w:rFonts w:hint="eastAsia" w:ascii="宋体" w:hAnsi="宋体" w:cs="宋体"/>
                <w:sz w:val="24"/>
              </w:rPr>
              <w:t>委托代理人：</w:t>
            </w:r>
          </w:p>
        </w:tc>
        <w:tc>
          <w:tcPr>
            <w:tcW w:w="4202" w:type="dxa"/>
            <w:vAlign w:val="center"/>
          </w:tcPr>
          <w:p w14:paraId="08ED6B4E">
            <w:pPr>
              <w:spacing w:line="240" w:lineRule="auto"/>
              <w:ind w:firstLine="480" w:firstLineChars="200"/>
              <w:rPr>
                <w:rFonts w:ascii="宋体"/>
                <w:sz w:val="24"/>
              </w:rPr>
            </w:pPr>
            <w:r>
              <w:rPr>
                <w:rFonts w:hint="eastAsia" w:ascii="宋体" w:hAnsi="宋体" w:cs="宋体"/>
                <w:sz w:val="24"/>
              </w:rPr>
              <w:t>委托代理人：</w:t>
            </w:r>
          </w:p>
        </w:tc>
      </w:tr>
      <w:tr w14:paraId="149ADE50">
        <w:tblPrEx>
          <w:tblCellMar>
            <w:top w:w="0" w:type="dxa"/>
            <w:left w:w="108" w:type="dxa"/>
            <w:bottom w:w="0" w:type="dxa"/>
            <w:right w:w="108" w:type="dxa"/>
          </w:tblCellMar>
        </w:tblPrEx>
        <w:trPr>
          <w:trHeight w:val="454" w:hRule="atLeast"/>
        </w:trPr>
        <w:tc>
          <w:tcPr>
            <w:tcW w:w="4201" w:type="dxa"/>
            <w:vAlign w:val="center"/>
          </w:tcPr>
          <w:p w14:paraId="59A7A8AB">
            <w:pPr>
              <w:spacing w:line="240" w:lineRule="auto"/>
              <w:ind w:firstLine="480" w:firstLineChars="200"/>
              <w:rPr>
                <w:rFonts w:ascii="宋体"/>
                <w:sz w:val="24"/>
              </w:rPr>
            </w:pPr>
            <w:r>
              <w:rPr>
                <w:rFonts w:hint="eastAsia" w:ascii="宋体" w:hAnsi="宋体" w:cs="宋体"/>
                <w:sz w:val="24"/>
              </w:rPr>
              <w:t>电话：</w:t>
            </w:r>
          </w:p>
        </w:tc>
        <w:tc>
          <w:tcPr>
            <w:tcW w:w="4202" w:type="dxa"/>
            <w:vAlign w:val="center"/>
          </w:tcPr>
          <w:p w14:paraId="7C5FCBB7">
            <w:pPr>
              <w:spacing w:line="240" w:lineRule="auto"/>
              <w:ind w:firstLine="480" w:firstLineChars="200"/>
              <w:rPr>
                <w:rFonts w:ascii="宋体"/>
                <w:sz w:val="24"/>
              </w:rPr>
            </w:pPr>
            <w:r>
              <w:rPr>
                <w:rFonts w:hint="eastAsia" w:ascii="宋体" w:hAnsi="宋体" w:cs="宋体"/>
                <w:sz w:val="24"/>
              </w:rPr>
              <w:t>电话：</w:t>
            </w:r>
          </w:p>
        </w:tc>
      </w:tr>
      <w:tr w14:paraId="6CEE2900">
        <w:tblPrEx>
          <w:tblCellMar>
            <w:top w:w="0" w:type="dxa"/>
            <w:left w:w="108" w:type="dxa"/>
            <w:bottom w:w="0" w:type="dxa"/>
            <w:right w:w="108" w:type="dxa"/>
          </w:tblCellMar>
        </w:tblPrEx>
        <w:trPr>
          <w:trHeight w:val="454" w:hRule="atLeast"/>
        </w:trPr>
        <w:tc>
          <w:tcPr>
            <w:tcW w:w="4201" w:type="dxa"/>
            <w:vAlign w:val="center"/>
          </w:tcPr>
          <w:p w14:paraId="3EDF4B9D">
            <w:pPr>
              <w:spacing w:line="240" w:lineRule="auto"/>
              <w:ind w:firstLine="480" w:firstLineChars="200"/>
              <w:rPr>
                <w:rFonts w:ascii="宋体"/>
                <w:sz w:val="24"/>
              </w:rPr>
            </w:pPr>
            <w:r>
              <w:rPr>
                <w:rFonts w:hint="eastAsia" w:ascii="宋体" w:hAnsi="宋体" w:cs="宋体"/>
                <w:sz w:val="24"/>
              </w:rPr>
              <w:t>传真：</w:t>
            </w:r>
          </w:p>
        </w:tc>
        <w:tc>
          <w:tcPr>
            <w:tcW w:w="4202" w:type="dxa"/>
            <w:vAlign w:val="center"/>
          </w:tcPr>
          <w:p w14:paraId="7C79AECD">
            <w:pPr>
              <w:spacing w:line="240" w:lineRule="auto"/>
              <w:ind w:firstLine="480" w:firstLineChars="200"/>
              <w:rPr>
                <w:rFonts w:ascii="宋体"/>
                <w:sz w:val="24"/>
              </w:rPr>
            </w:pPr>
            <w:r>
              <w:rPr>
                <w:rFonts w:hint="eastAsia" w:ascii="宋体" w:hAnsi="宋体" w:cs="宋体"/>
                <w:sz w:val="24"/>
              </w:rPr>
              <w:t>传真：</w:t>
            </w:r>
          </w:p>
        </w:tc>
      </w:tr>
      <w:tr w14:paraId="09E94B5E">
        <w:tblPrEx>
          <w:tblCellMar>
            <w:top w:w="0" w:type="dxa"/>
            <w:left w:w="108" w:type="dxa"/>
            <w:bottom w:w="0" w:type="dxa"/>
            <w:right w:w="108" w:type="dxa"/>
          </w:tblCellMar>
        </w:tblPrEx>
        <w:trPr>
          <w:trHeight w:val="454" w:hRule="atLeast"/>
        </w:trPr>
        <w:tc>
          <w:tcPr>
            <w:tcW w:w="4201" w:type="dxa"/>
            <w:vAlign w:val="center"/>
          </w:tcPr>
          <w:p w14:paraId="4EBA4F60">
            <w:pPr>
              <w:spacing w:line="240" w:lineRule="auto"/>
              <w:ind w:firstLine="480" w:firstLineChars="200"/>
              <w:rPr>
                <w:rFonts w:ascii="宋体"/>
                <w:sz w:val="24"/>
              </w:rPr>
            </w:pPr>
            <w:r>
              <w:rPr>
                <w:rFonts w:hint="eastAsia" w:ascii="宋体" w:hAnsi="宋体" w:cs="宋体"/>
                <w:sz w:val="24"/>
              </w:rPr>
              <w:t>开户银行：</w:t>
            </w:r>
          </w:p>
        </w:tc>
        <w:tc>
          <w:tcPr>
            <w:tcW w:w="4202" w:type="dxa"/>
            <w:vAlign w:val="center"/>
          </w:tcPr>
          <w:p w14:paraId="18B062A2">
            <w:pPr>
              <w:spacing w:line="240" w:lineRule="auto"/>
              <w:ind w:firstLine="480" w:firstLineChars="200"/>
              <w:rPr>
                <w:rFonts w:ascii="宋体"/>
                <w:sz w:val="24"/>
              </w:rPr>
            </w:pPr>
            <w:r>
              <w:rPr>
                <w:rFonts w:hint="eastAsia" w:ascii="宋体" w:hAnsi="宋体" w:cs="宋体"/>
                <w:sz w:val="24"/>
              </w:rPr>
              <w:t>开户银行：</w:t>
            </w:r>
          </w:p>
        </w:tc>
      </w:tr>
      <w:tr w14:paraId="0CC06027">
        <w:tblPrEx>
          <w:tblCellMar>
            <w:top w:w="0" w:type="dxa"/>
            <w:left w:w="108" w:type="dxa"/>
            <w:bottom w:w="0" w:type="dxa"/>
            <w:right w:w="108" w:type="dxa"/>
          </w:tblCellMar>
        </w:tblPrEx>
        <w:trPr>
          <w:trHeight w:val="454" w:hRule="atLeast"/>
        </w:trPr>
        <w:tc>
          <w:tcPr>
            <w:tcW w:w="4201" w:type="dxa"/>
            <w:vAlign w:val="center"/>
          </w:tcPr>
          <w:p w14:paraId="797AF790">
            <w:pPr>
              <w:spacing w:line="240" w:lineRule="auto"/>
              <w:ind w:firstLine="480" w:firstLineChars="200"/>
              <w:rPr>
                <w:rFonts w:ascii="宋体"/>
                <w:sz w:val="24"/>
              </w:rPr>
            </w:pPr>
            <w:r>
              <w:rPr>
                <w:rFonts w:hint="eastAsia" w:ascii="宋体" w:hAnsi="宋体" w:cs="宋体"/>
                <w:sz w:val="24"/>
              </w:rPr>
              <w:t>日期：</w:t>
            </w:r>
          </w:p>
        </w:tc>
        <w:tc>
          <w:tcPr>
            <w:tcW w:w="4202" w:type="dxa"/>
            <w:vAlign w:val="center"/>
          </w:tcPr>
          <w:p w14:paraId="7D16146E">
            <w:pPr>
              <w:spacing w:line="240" w:lineRule="auto"/>
              <w:ind w:firstLine="480" w:firstLineChars="200"/>
              <w:rPr>
                <w:rFonts w:ascii="宋体"/>
                <w:sz w:val="24"/>
              </w:rPr>
            </w:pPr>
            <w:r>
              <w:rPr>
                <w:rFonts w:hint="eastAsia" w:ascii="宋体" w:hAnsi="宋体" w:cs="宋体"/>
                <w:sz w:val="24"/>
              </w:rPr>
              <w:t>日期：</w:t>
            </w:r>
          </w:p>
        </w:tc>
      </w:tr>
    </w:tbl>
    <w:p w14:paraId="066B8537">
      <w:pPr>
        <w:rPr>
          <w:rFonts w:hint="eastAsia" w:ascii="宋体" w:hAnsi="宋体" w:cs="宋体"/>
          <w:b/>
          <w:bCs/>
          <w:color w:val="000000"/>
          <w:sz w:val="36"/>
          <w:szCs w:val="36"/>
        </w:rPr>
      </w:pPr>
    </w:p>
    <w:p w14:paraId="27461EA9">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7D6577"/>
    <w:rsid w:val="0D233302"/>
    <w:rsid w:val="27676BE0"/>
    <w:rsid w:val="285B50F8"/>
    <w:rsid w:val="2BBE2DF7"/>
    <w:rsid w:val="36820344"/>
    <w:rsid w:val="40FF0209"/>
    <w:rsid w:val="41EC2395"/>
    <w:rsid w:val="440C6FD6"/>
    <w:rsid w:val="522D0AC2"/>
    <w:rsid w:val="5EAE0351"/>
    <w:rsid w:val="643407A7"/>
    <w:rsid w:val="673D0103"/>
    <w:rsid w:val="67610A29"/>
    <w:rsid w:val="78AF7BEC"/>
    <w:rsid w:val="7ED14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99"/>
    <w:pPr>
      <w:ind w:firstLine="420"/>
    </w:pPr>
    <w:rPr>
      <w:szCs w:val="20"/>
    </w:r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next w:val="1"/>
    <w:semiHidden/>
    <w:qFormat/>
    <w:uiPriority w:val="0"/>
    <w:rPr>
      <w:rFonts w:ascii="仿宋" w:hAnsi="仿宋" w:eastAsia="仿宋" w:cs="仿宋"/>
      <w:sz w:val="31"/>
      <w:szCs w:val="31"/>
      <w:lang w:eastAsia="en-US"/>
    </w:rPr>
  </w:style>
  <w:style w:type="paragraph" w:styleId="5">
    <w:name w:val="Body Text Indent"/>
    <w:basedOn w:val="1"/>
    <w:next w:val="1"/>
    <w:qFormat/>
    <w:uiPriority w:val="0"/>
    <w:pPr>
      <w:tabs>
        <w:tab w:val="left" w:pos="8640"/>
      </w:tabs>
      <w:ind w:firstLine="420"/>
    </w:pPr>
    <w:rPr>
      <w:rFonts w:ascii="楷体_GB2312" w:eastAsia="楷体_GB2312"/>
      <w:color w:val="000000"/>
      <w:sz w:val="28"/>
    </w:rPr>
  </w:style>
  <w:style w:type="paragraph" w:styleId="6">
    <w:name w:val="Plain Text"/>
    <w:basedOn w:val="1"/>
    <w:next w:val="1"/>
    <w:qFormat/>
    <w:uiPriority w:val="0"/>
    <w:rPr>
      <w:rFonts w:ascii="宋体" w:hAnsi="Courier New" w:cs="Courier New"/>
      <w:szCs w:val="21"/>
    </w:rPr>
  </w:style>
  <w:style w:type="paragraph" w:styleId="7">
    <w:name w:val="footer"/>
    <w:basedOn w:val="1"/>
    <w:next w:val="1"/>
    <w:qFormat/>
    <w:uiPriority w:val="99"/>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styleId="10">
    <w:name w:val="Body Text First Indent"/>
    <w:basedOn w:val="4"/>
    <w:unhideWhenUsed/>
    <w:qFormat/>
    <w:uiPriority w:val="0"/>
    <w:pPr>
      <w:ind w:firstLine="420" w:firstLineChars="100"/>
    </w:pPr>
    <w:rPr>
      <w:rFonts w:ascii="Calibri" w:hAnsi="Calibri"/>
      <w:sz w:val="18"/>
      <w:szCs w:val="18"/>
    </w:rPr>
  </w:style>
  <w:style w:type="paragraph" w:styleId="11">
    <w:name w:val="Body Text First Indent 2"/>
    <w:basedOn w:val="5"/>
    <w:next w:val="1"/>
    <w:qFormat/>
    <w:uiPriority w:val="0"/>
    <w:pPr>
      <w:ind w:firstLine="200" w:firstLine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_Style 2"/>
    <w:basedOn w:val="1"/>
    <w:qFormat/>
    <w:uiPriority w:val="99"/>
    <w:pPr>
      <w:ind w:firstLine="420" w:firstLineChars="200"/>
    </w:pPr>
    <w:rPr>
      <w:szCs w:val="24"/>
    </w:rPr>
  </w:style>
  <w:style w:type="paragraph" w:customStyle="1" w:styleId="16">
    <w:name w:val="列出段落1"/>
    <w:basedOn w:val="1"/>
    <w:qFormat/>
    <w:uiPriority w:val="34"/>
    <w:pPr>
      <w:ind w:firstLine="420" w:firstLineChars="200"/>
    </w:pPr>
  </w:style>
  <w:style w:type="paragraph" w:styleId="17">
    <w:name w:val="List Paragraph"/>
    <w:basedOn w:val="1"/>
    <w:qFormat/>
    <w:uiPriority w:val="34"/>
    <w:pPr>
      <w:ind w:firstLine="420" w:firstLineChars="200"/>
    </w:pPr>
  </w:style>
  <w:style w:type="paragraph" w:customStyle="1" w:styleId="18">
    <w:name w:val="null3"/>
    <w:qFormat/>
    <w:uiPriority w:val="0"/>
    <w:rPr>
      <w:rFonts w:hint="eastAsia" w:ascii="Calibri" w:hAnsi="Calibri" w:eastAsia="宋体" w:cs="Times New Roman"/>
      <w:lang w:val="en-US" w:eastAsia="zh-Hans" w:bidi="ar-SA"/>
    </w:rPr>
  </w:style>
  <w:style w:type="paragraph" w:customStyle="1" w:styleId="19">
    <w:name w:val="段"/>
    <w:next w:val="1"/>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2943</Words>
  <Characters>3006</Characters>
  <Lines>0</Lines>
  <Paragraphs>0</Paragraphs>
  <TotalTime>1</TotalTime>
  <ScaleCrop>false</ScaleCrop>
  <LinksUpToDate>false</LinksUpToDate>
  <CharactersWithSpaces>3131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2025-06-13T09:15:00Z</dcterms:created>
  <dc:creator>DELL</dc:creator>
  <cp:lastModifiedBy>bling  bling</cp:lastModifiedBy>
  <dcterms:modified xsi:type="dcterms:W3CDTF">2026-06-24T05:32:38Z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eyJoZGlkIjoiYWEzN2I1MjE4OWRlZmQxOWRlOThlYjk4MWZkYWJkZjYiLCJ1c2VySWQiOiI1NTAzMTkyMTcifQ==</vt:lpwstr>
  </property>
  <property fmtid="{D5CDD505-2E9C-101B-9397-08002B2CF9AE}" pid="4" name="ICV">
    <vt:lpwstr>2A7B3C8737ED4C52AF842FA872DEABAC_12</vt:lpwstr>
  </property>
</Properties>
</file>