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版本号：ZCZB-2026-012420260817003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学生桌凳采购项目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ZCZB-2026-0124</w:t>
      </w:r>
      <w:r>
        <w:br/>
      </w:r>
      <w:r>
        <w:br/>
      </w:r>
      <w:r>
        <w:br/>
      </w:r>
    </w:p>
    <w:p>
      <w:pPr>
        <w:pStyle w:val="null3"/>
        <w:jc w:val="center"/>
        <w:outlineLvl w:val="2"/>
      </w:pPr>
      <w:r>
        <w:rPr>
          <w:rFonts w:ascii="仿宋_GB2312" w:hAnsi="仿宋_GB2312" w:cs="仿宋_GB2312" w:eastAsia="仿宋_GB2312"/>
          <w:sz w:val="28"/>
          <w:b/>
        </w:rPr>
        <w:t>合阳县合阳中学</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合阳县合阳中学</w:t>
      </w:r>
      <w:r>
        <w:rPr>
          <w:rFonts w:ascii="仿宋_GB2312" w:hAnsi="仿宋_GB2312" w:cs="仿宋_GB2312" w:eastAsia="仿宋_GB2312"/>
        </w:rPr>
        <w:t>委托，拟对</w:t>
      </w:r>
      <w:r>
        <w:rPr>
          <w:rFonts w:ascii="仿宋_GB2312" w:hAnsi="仿宋_GB2312" w:cs="仿宋_GB2312" w:eastAsia="仿宋_GB2312"/>
        </w:rPr>
        <w:t>学生桌凳采购项目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ZCZB-2026-0124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学生桌凳采购项目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学生桌凳采购项目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采购包1（学生桌凳采购项目）：属于专门面向中小企业采购。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供应商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2、信用情况：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其它：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合阳县合阳中学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合阳县东新街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党晓波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13772712925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李岩泽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18149248289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计划委员会文件（发改办价格[2003]857号）国家发展改革委办公厅关于招标代理服务收费有关问题的通知”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合阳县合阳中学</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合阳县合阳中学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合阳县合阳中学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达到合格标准，符合国家相关规范标准。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联系人：李岩泽</w:t>
      </w:r>
    </w:p>
    <w:p>
      <w:pPr>
        <w:pStyle w:val="null3"/>
      </w:pPr>
      <w:r>
        <w:rPr>
          <w:rFonts w:ascii="仿宋_GB2312" w:hAnsi="仿宋_GB2312" w:cs="仿宋_GB2312" w:eastAsia="仿宋_GB2312"/>
        </w:rPr>
        <w:t>联系电话：18149248289</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学生桌凳采购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学生桌凳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标的名称：学生桌凳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0"/>
                <w:b/>
              </w:rPr>
              <w:t>合阳县合阳中学学生桌凳采购项目</w:t>
            </w:r>
          </w:p>
          <w:p>
            <w:pPr>
              <w:pStyle w:val="null3"/>
              <w:jc w:val="center"/>
            </w:pPr>
            <w:r>
              <w:rPr>
                <w:rFonts w:ascii="仿宋_GB2312" w:hAnsi="仿宋_GB2312" w:cs="仿宋_GB2312" w:eastAsia="仿宋_GB2312"/>
                <w:sz w:val="40"/>
                <w:b/>
              </w:rPr>
              <w:t>参数</w:t>
            </w:r>
          </w:p>
          <w:tbl>
            <w:tblPr>
              <w:tblBorders>
                <w:top w:val="none" w:color="000000" w:sz="4"/>
                <w:left w:val="none" w:color="000000" w:sz="4"/>
                <w:bottom w:val="none" w:color="000000" w:sz="4"/>
                <w:right w:val="none" w:color="000000" w:sz="4"/>
                <w:insideH w:val="none"/>
                <w:insideV w:val="none"/>
              </w:tblBorders>
            </w:tblPr>
            <w:tblGrid>
              <w:gridCol w:w="142"/>
              <w:gridCol w:w="142"/>
              <w:gridCol w:w="1833"/>
              <w:gridCol w:w="142"/>
              <w:gridCol w:w="292"/>
            </w:tblGrid>
            <w:tr>
              <w:tc>
                <w:tcPr>
                  <w:tcW w:type="dxa" w:w="14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8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规格参数</w:t>
                  </w:r>
                </w:p>
              </w:tc>
              <w:tc>
                <w:tcPr>
                  <w:tcW w:type="dxa" w:w="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2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42"/>
                  <w:vMerge/>
                  <w:tcBorders>
                    <w:top w:val="single" w:color="000000" w:sz="4"/>
                    <w:left w:val="singl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833"/>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292"/>
                  <w:vMerge/>
                  <w:tcBorders>
                    <w:top w:val="single" w:color="000000" w:sz="4"/>
                    <w:left w:val="non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2"/>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课桌</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w:t>
                  </w:r>
                  <w:r>
                    <w:rPr>
                      <w:rFonts w:ascii="仿宋_GB2312" w:hAnsi="仿宋_GB2312" w:cs="仿宋_GB2312" w:eastAsia="仿宋_GB2312"/>
                      <w:sz w:val="22"/>
                      <w:color w:val="000000"/>
                    </w:rPr>
                    <w:t>课桌要求结构：钢木结构，单人双柱，可调节高度（</w:t>
                  </w:r>
                  <w:r>
                    <w:rPr>
                      <w:rFonts w:ascii="仿宋_GB2312" w:hAnsi="仿宋_GB2312" w:cs="仿宋_GB2312" w:eastAsia="仿宋_GB2312"/>
                      <w:sz w:val="22"/>
                      <w:color w:val="000000"/>
                    </w:rPr>
                    <w:t>640-790mm）</w:t>
                  </w:r>
                  <w:r>
                    <w:br/>
                  </w:r>
                  <w:r>
                    <w:rPr>
                      <w:rFonts w:ascii="仿宋_GB2312" w:hAnsi="仿宋_GB2312" w:cs="仿宋_GB2312" w:eastAsia="仿宋_GB2312"/>
                      <w:sz w:val="22"/>
                      <w:color w:val="000000"/>
                    </w:rPr>
                    <w:t>1、桌面：采用 450*600*18mm 基材，采用优质环保密度板材，桌面四边采用抗老化 PP 塑料无缝注塑包边（无接头）一次成型，带单笔槽，四周圆角，小口注塑封边处理，封边处无接口，外观美观，坚固耐用。桌面与桌架连接，采用隐式安装。桌面颜色为浅绿色。</w:t>
                  </w:r>
                  <w:r>
                    <w:br/>
                  </w:r>
                  <w:r>
                    <w:rPr>
                      <w:rFonts w:ascii="仿宋_GB2312" w:hAnsi="仿宋_GB2312" w:cs="仿宋_GB2312" w:eastAsia="仿宋_GB2312"/>
                      <w:sz w:val="22"/>
                      <w:color w:val="000000"/>
                    </w:rPr>
                    <w:t>2、桌斗：单层桌斗，课桌斗板 1.0mm，尺寸为： 内宽度 460mm*内深度 345mm*口高度 150mm，冷轧板抽屉底板压折而成，底板及隔板有两道压轨。边沿部位折叠加强，侧板斜度主要纠正学生坐姿，以防近视伤害眼睛和脊椎变形驼背。课桌斗侧板设 1 个采用全新环保 PP 工程塑料制成的挂钩，可拆卸。</w:t>
                  </w:r>
                  <w:r>
                    <w:br/>
                  </w:r>
                  <w:r>
                    <w:rPr>
                      <w:rFonts w:ascii="仿宋_GB2312" w:hAnsi="仿宋_GB2312" w:cs="仿宋_GB2312" w:eastAsia="仿宋_GB2312"/>
                      <w:sz w:val="22"/>
                      <w:color w:val="000000"/>
                    </w:rPr>
                    <w:t>3、桌架：桌子地脚采用 30*60*1.5mm 优质椭圆钢管经液压成为面包型结构。桌子横档采用：30*50*1.5mm 优质椭圆钢管。桌子立柱采用 30*60*1.5 优质椭圆钢管。采用二氧化碳保护焊接，保证无稀焊、漏焊，保证满焊。桌侧板：升降片采用优质冷轧板冲压成型，厚度 1.5mm ，高度分 6 档调节，调节度 30mm一档，升降幅度在 640mm至 790mm 范围内。脚垫采用全新进口环保PP 工程塑料注塑成形，颜色为黑色，抗压耐磨，防滑。</w:t>
                  </w:r>
                </w:p>
              </w:tc>
              <w:tc>
                <w:tcPr>
                  <w:tcW w:type="dxa" w:w="1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r>
            <w:tr>
              <w:tc>
                <w:tcPr>
                  <w:tcW w:type="dxa" w:w="142"/>
                  <w:vMerge/>
                  <w:tcBorders>
                    <w:top w:val="none" w:color="000000" w:sz="4"/>
                    <w:left w:val="single" w:color="000000" w:sz="4"/>
                    <w:bottom w:val="single" w:color="000000" w:sz="4"/>
                    <w:right w:val="single" w:color="000000" w:sz="4"/>
                  </w:tcBorders>
                </w:tcPr>
                <w:p/>
              </w:tc>
              <w:tc>
                <w:tcPr>
                  <w:tcW w:type="dxa" w:w="142"/>
                  <w:vMerge/>
                  <w:tcBorders>
                    <w:top w:val="none" w:color="000000" w:sz="4"/>
                    <w:left w:val="none" w:color="000000" w:sz="4"/>
                    <w:bottom w:val="single" w:color="000000" w:sz="4"/>
                    <w:right w:val="none" w:color="000000" w:sz="4"/>
                  </w:tcBorders>
                </w:tcP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二、技术要求</w:t>
                  </w:r>
                  <w:r>
                    <w:br/>
                  </w:r>
                  <w:r>
                    <w:rPr>
                      <w:rFonts w:ascii="仿宋_GB2312" w:hAnsi="仿宋_GB2312" w:cs="仿宋_GB2312" w:eastAsia="仿宋_GB2312"/>
                      <w:sz w:val="22"/>
                      <w:color w:val="000000"/>
                    </w:rPr>
                    <w:t>1、焊接：采用二氧化碳保护焊接工艺，焊接表面波纹均匀，焊接处无夹渣、气孔、焊瘤，保证无脱焊，虚焊，焊穿等现象，抗拉压强度不少于 40kg/mm2。</w:t>
                  </w:r>
                  <w:r>
                    <w:br/>
                  </w:r>
                  <w:r>
                    <w:rPr>
                      <w:rFonts w:ascii="仿宋_GB2312" w:hAnsi="仿宋_GB2312" w:cs="仿宋_GB2312" w:eastAsia="仿宋_GB2312"/>
                      <w:sz w:val="22"/>
                      <w:color w:val="000000"/>
                    </w:rPr>
                    <w:t>2、表面处理：钢制部件表面进行磨光去刺、酸洗、磷化、防锈处理后，再进行静电喷塑，高温固化，表面光滑，颜色为灰色。桌面、椅面不能出现破损、裂纹。</w:t>
                  </w:r>
                  <w:r>
                    <w:br/>
                  </w:r>
                  <w:r>
                    <w:rPr>
                      <w:rFonts w:ascii="仿宋_GB2312" w:hAnsi="仿宋_GB2312" w:cs="仿宋_GB2312" w:eastAsia="仿宋_GB2312"/>
                      <w:sz w:val="22"/>
                      <w:color w:val="000000"/>
                    </w:rPr>
                    <w:t>3.1 学生课桌椅严格遵循4项国家/行业标准，覆盖安全、环保、绿色、产品性能全维度：GB/T 3325-2024《金属家具通用技术条件》：管控钢木结构强度、稳定性、外观等核心性能；GB/T 35607-2024《绿色产品评价 家具》：符合绿色环保产品评价要求；QB/T 4071-2021《课桌椅》：课桌椅专属行业标准，保障使用安全与人体工学；GB 18584-2024《家具中有害物质限量》：严格限制甲醛、重金属等有害物质释放；</w:t>
                  </w:r>
                  <w:r>
                    <w:br/>
                  </w:r>
                  <w:r>
                    <w:rPr>
                      <w:rFonts w:ascii="仿宋_GB2312" w:hAnsi="仿宋_GB2312" w:cs="仿宋_GB2312" w:eastAsia="仿宋_GB2312"/>
                      <w:sz w:val="22"/>
                      <w:color w:val="000000"/>
                    </w:rPr>
                    <w:t>3.2 钢管符合 GB/T 3325-2024《金属家具通用技术条件》</w:t>
                  </w:r>
                  <w:r>
                    <w:br/>
                  </w:r>
                  <w:r>
                    <w:rPr>
                      <w:rFonts w:ascii="仿宋_GB2312" w:hAnsi="仿宋_GB2312" w:cs="仿宋_GB2312" w:eastAsia="仿宋_GB2312"/>
                      <w:sz w:val="22"/>
                      <w:color w:val="000000"/>
                    </w:rPr>
                    <w:t>3.3.胶套符合:GB/T 32487-2016《塑料家具通用技术条件》、GB/T 20285-2006《材料产烟毒性危险分级》、QB/T 4371-2012《家具抗菌性能的评价》、JC/T 2039-2010《抗菌防</w:t>
                  </w:r>
                  <w:r>
                    <w:br/>
                  </w:r>
                  <w:r>
                    <w:rPr>
                      <w:rFonts w:ascii="仿宋_GB2312" w:hAnsi="仿宋_GB2312" w:cs="仿宋_GB2312" w:eastAsia="仿宋_GB2312"/>
                      <w:sz w:val="22"/>
                      <w:color w:val="000000"/>
                    </w:rPr>
                    <w:t>霉木质装饰板》</w:t>
                  </w:r>
                  <w:r>
                    <w:br/>
                  </w:r>
                  <w:r>
                    <w:rPr>
                      <w:rFonts w:ascii="仿宋_GB2312" w:hAnsi="仿宋_GB2312" w:cs="仿宋_GB2312" w:eastAsia="仿宋_GB2312"/>
                      <w:sz w:val="22"/>
                      <w:color w:val="000000"/>
                    </w:rPr>
                    <w:t>3.4.PP 粒子符合:4GB 28481-2012《塑料家具中有害物质限量》GB/T 35601-2017《绿色产品评价 人造板和木质地板》</w:t>
                  </w:r>
                  <w:r>
                    <w:br/>
                  </w:r>
                  <w:r>
                    <w:rPr>
                      <w:rFonts w:ascii="仿宋_GB2312" w:hAnsi="仿宋_GB2312" w:cs="仿宋_GB2312" w:eastAsia="仿宋_GB2312"/>
                      <w:sz w:val="22"/>
                      <w:color w:val="000000"/>
                    </w:rPr>
                    <w:t>3.5.桌面:GB 28481-2012《塑料家具中有害物质限量》GB/T 35601-2017《绿色产品评价 人造板和木质地板》</w:t>
                  </w:r>
                </w:p>
              </w:tc>
              <w:tc>
                <w:tcPr>
                  <w:tcW w:type="dxa" w:w="142"/>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凳子</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凳子要求结构：钢塑结构，单人双柱，可调节高度（</w:t>
                  </w:r>
                  <w:r>
                    <w:rPr>
                      <w:rFonts w:ascii="仿宋_GB2312" w:hAnsi="仿宋_GB2312" w:cs="仿宋_GB2312" w:eastAsia="仿宋_GB2312"/>
                      <w:sz w:val="22"/>
                      <w:color w:val="000000"/>
                    </w:rPr>
                    <w:t>360-420mm）</w:t>
                  </w:r>
                  <w:r>
                    <w:br/>
                  </w:r>
                  <w:r>
                    <w:rPr>
                      <w:rFonts w:ascii="仿宋_GB2312" w:hAnsi="仿宋_GB2312" w:cs="仿宋_GB2312" w:eastAsia="仿宋_GB2312"/>
                      <w:sz w:val="22"/>
                      <w:color w:val="000000"/>
                    </w:rPr>
                    <w:t>1、凳面：采用优质环保 A B S 板材，四周圆角，小口高压注塑处理，外观美观，坚固耐用。规格为 270×370×30mm 颜色为浅绿色。</w:t>
                  </w:r>
                  <w:r>
                    <w:br/>
                  </w:r>
                  <w:r>
                    <w:rPr>
                      <w:rFonts w:ascii="仿宋_GB2312" w:hAnsi="仿宋_GB2312" w:cs="仿宋_GB2312" w:eastAsia="仿宋_GB2312"/>
                      <w:sz w:val="22"/>
                      <w:color w:val="000000"/>
                    </w:rPr>
                    <w:t>2、凳架：凳子地脚采用：30*60*1.5mm优质椭圆钢管经液压成为面包型结构。凳子横档采用：30*50*1.5mm 优质椭圆钢管。凳子立柱采用 30*60*1.5mm 优质椭圆钢管。脚垫采用全新进口环保 PP 工程塑料注塑成形，颜色为黑色，抗压耐磨，防滑。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r>
          </w:tbl>
          <w:p>
            <w:pPr>
              <w:pStyle w:val="null3"/>
              <w:jc w:val="both"/>
            </w:pPr>
            <w:r>
              <w:rPr>
                <w:rFonts w:ascii="仿宋_GB2312" w:hAnsi="仿宋_GB2312" w:cs="仿宋_GB2312" w:eastAsia="仿宋_GB2312"/>
                <w:sz w:val="28"/>
                <w:b/>
              </w:rPr>
              <w:t>本项目核心产品为课桌、凳子</w:t>
            </w:r>
          </w:p>
          <w:p>
            <w:pPr>
              <w:pStyle w:val="null3"/>
              <w:jc w:val="both"/>
            </w:pPr>
            <w:r>
              <w:rPr>
                <w:rFonts w:ascii="仿宋_GB2312" w:hAnsi="仿宋_GB2312" w:cs="仿宋_GB2312" w:eastAsia="仿宋_GB2312"/>
                <w:sz w:val="24"/>
              </w:rPr>
              <w:t>样品要求：</w:t>
            </w:r>
          </w:p>
          <w:p>
            <w:pPr>
              <w:pStyle w:val="null3"/>
              <w:jc w:val="both"/>
            </w:pPr>
            <w:r>
              <w:rPr>
                <w:rFonts w:ascii="仿宋_GB2312" w:hAnsi="仿宋_GB2312" w:cs="仿宋_GB2312" w:eastAsia="仿宋_GB2312"/>
                <w:sz w:val="28"/>
              </w:rPr>
              <w:t>1.按采购要求提供 1 套</w:t>
            </w:r>
            <w:r>
              <w:rPr>
                <w:rFonts w:ascii="仿宋_GB2312" w:hAnsi="仿宋_GB2312" w:cs="仿宋_GB2312" w:eastAsia="仿宋_GB2312"/>
                <w:sz w:val="28"/>
              </w:rPr>
              <w:t>（</w:t>
            </w:r>
            <w:r>
              <w:rPr>
                <w:rFonts w:ascii="仿宋_GB2312" w:hAnsi="仿宋_GB2312" w:cs="仿宋_GB2312" w:eastAsia="仿宋_GB2312"/>
                <w:sz w:val="28"/>
              </w:rPr>
              <w:t>课桌、凳子</w:t>
            </w:r>
            <w:r>
              <w:rPr>
                <w:rFonts w:ascii="仿宋_GB2312" w:hAnsi="仿宋_GB2312" w:cs="仿宋_GB2312" w:eastAsia="仿宋_GB2312"/>
                <w:sz w:val="28"/>
              </w:rPr>
              <w:t>）</w:t>
            </w:r>
            <w:r>
              <w:rPr>
                <w:rFonts w:ascii="仿宋_GB2312" w:hAnsi="仿宋_GB2312" w:cs="仿宋_GB2312" w:eastAsia="仿宋_GB2312"/>
                <w:sz w:val="28"/>
              </w:rPr>
              <w:t>成品样品。</w:t>
            </w:r>
          </w:p>
          <w:p>
            <w:pPr>
              <w:pStyle w:val="null3"/>
              <w:jc w:val="both"/>
            </w:pPr>
            <w:r>
              <w:rPr>
                <w:rFonts w:ascii="仿宋_GB2312" w:hAnsi="仿宋_GB2312" w:cs="仿宋_GB2312" w:eastAsia="仿宋_GB2312"/>
                <w:sz w:val="28"/>
              </w:rPr>
              <w:t>2.提供样品须与所投产品</w:t>
            </w:r>
            <w:r>
              <w:rPr>
                <w:rFonts w:ascii="仿宋_GB2312" w:hAnsi="仿宋_GB2312" w:cs="仿宋_GB2312" w:eastAsia="仿宋_GB2312"/>
                <w:sz w:val="28"/>
              </w:rPr>
              <w:t>参数、规格</w:t>
            </w:r>
            <w:r>
              <w:rPr>
                <w:rFonts w:ascii="仿宋_GB2312" w:hAnsi="仿宋_GB2312" w:cs="仿宋_GB2312" w:eastAsia="仿宋_GB2312"/>
                <w:sz w:val="28"/>
              </w:rPr>
              <w:t>一致。</w:t>
            </w:r>
          </w:p>
          <w:p>
            <w:pPr>
              <w:pStyle w:val="null3"/>
              <w:jc w:val="both"/>
            </w:pPr>
            <w:r>
              <w:rPr>
                <w:rFonts w:ascii="仿宋_GB2312" w:hAnsi="仿宋_GB2312" w:cs="仿宋_GB2312" w:eastAsia="仿宋_GB2312"/>
                <w:sz w:val="28"/>
              </w:rPr>
              <w:t>3.不允许提供备选样品。</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样品递交时应统一密封装箱、封存完好</w:t>
            </w:r>
            <w:r>
              <w:rPr>
                <w:rFonts w:ascii="仿宋_GB2312" w:hAnsi="仿宋_GB2312" w:cs="仿宋_GB2312" w:eastAsia="仿宋_GB2312"/>
                <w:sz w:val="28"/>
              </w:rPr>
              <w:t>，箱体外包装应注明：供应商</w:t>
            </w:r>
            <w:r>
              <w:rPr>
                <w:rFonts w:ascii="仿宋_GB2312" w:hAnsi="仿宋_GB2312" w:cs="仿宋_GB2312" w:eastAsia="仿宋_GB2312"/>
                <w:sz w:val="28"/>
              </w:rPr>
              <w:t>名称</w:t>
            </w:r>
            <w:r>
              <w:rPr>
                <w:rFonts w:ascii="仿宋_GB2312" w:hAnsi="仿宋_GB2312" w:cs="仿宋_GB2312" w:eastAsia="仿宋_GB2312"/>
                <w:sz w:val="28"/>
              </w:rPr>
              <w:t>、项目名称、项目编号、</w:t>
            </w:r>
            <w:r>
              <w:rPr>
                <w:rFonts w:ascii="仿宋_GB2312" w:hAnsi="仿宋_GB2312" w:cs="仿宋_GB2312" w:eastAsia="仿宋_GB2312"/>
                <w:sz w:val="28"/>
              </w:rPr>
              <w:t>样品清单及数量；箱体内每件样品应注明供应商及样品名称</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5.提交样品截止时间：投标截止日前</w:t>
            </w:r>
          </w:p>
          <w:p>
            <w:pPr>
              <w:pStyle w:val="null3"/>
            </w:pPr>
            <w:r>
              <w:rPr>
                <w:rFonts w:ascii="仿宋_GB2312" w:hAnsi="仿宋_GB2312" w:cs="仿宋_GB2312" w:eastAsia="仿宋_GB2312"/>
                <w:sz w:val="28"/>
              </w:rPr>
              <w:t>6.样品递交地点：</w:t>
            </w:r>
            <w:r>
              <w:rPr>
                <w:rFonts w:ascii="仿宋_GB2312" w:hAnsi="仿宋_GB2312" w:cs="仿宋_GB2312" w:eastAsia="仿宋_GB2312"/>
                <w:sz w:val="28"/>
              </w:rPr>
              <w:t>陕西正城项目管理有限公司</w:t>
            </w:r>
            <w:r>
              <w:rPr>
                <w:rFonts w:ascii="仿宋_GB2312" w:hAnsi="仿宋_GB2312" w:cs="仿宋_GB2312" w:eastAsia="仿宋_GB2312"/>
                <w:sz w:val="28"/>
              </w:rPr>
              <w:t>（</w:t>
            </w:r>
            <w:r>
              <w:rPr>
                <w:rFonts w:ascii="仿宋_GB2312" w:hAnsi="仿宋_GB2312" w:cs="仿宋_GB2312" w:eastAsia="仿宋_GB2312"/>
                <w:sz w:val="28"/>
              </w:rPr>
              <w:t>注：提交样品前请先与项目负责人联系；</w:t>
            </w:r>
            <w:r>
              <w:rPr>
                <w:rFonts w:ascii="仿宋_GB2312" w:hAnsi="仿宋_GB2312" w:cs="仿宋_GB2312" w:eastAsia="仿宋_GB2312"/>
                <w:sz w:val="28"/>
              </w:rPr>
              <w:t>地址：</w:t>
            </w:r>
            <w:r>
              <w:rPr>
                <w:rFonts w:ascii="仿宋_GB2312" w:hAnsi="仿宋_GB2312" w:cs="仿宋_GB2312" w:eastAsia="仿宋_GB2312"/>
                <w:sz w:val="28"/>
              </w:rPr>
              <w:t>陕西省西安市莲湖区唐延路北段</w:t>
            </w:r>
            <w:r>
              <w:rPr>
                <w:rFonts w:ascii="仿宋_GB2312" w:hAnsi="仿宋_GB2312" w:cs="仿宋_GB2312" w:eastAsia="仿宋_GB2312"/>
                <w:sz w:val="28"/>
              </w:rPr>
              <w:t>20号太和时代广场C座206室</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7.样品退还：评标结束中标公告发布后一周内，未中标人被授权代表携带本公司法人授权委托书及本人身份证自行联系</w:t>
            </w:r>
            <w:r>
              <w:rPr>
                <w:rFonts w:ascii="仿宋_GB2312" w:hAnsi="仿宋_GB2312" w:cs="仿宋_GB2312" w:eastAsia="仿宋_GB2312"/>
                <w:sz w:val="28"/>
              </w:rPr>
              <w:t>项目负责人</w:t>
            </w:r>
            <w:r>
              <w:rPr>
                <w:rFonts w:ascii="仿宋_GB2312" w:hAnsi="仿宋_GB2312" w:cs="仿宋_GB2312" w:eastAsia="仿宋_GB2312"/>
                <w:sz w:val="28"/>
              </w:rPr>
              <w:t>自取，逾期未取，样品不予保留。中标人样品由采购人保存并作为验收的依据，待项目验收合格后退还。</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合阳县合阳中学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进度款，货物交付并安装调试完成，验收合格后，达到付款条件起15个工作日内，支付合同总金额的95.0%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进度款，审计结束后，达到付款条件起15个工作日内，支付合同总金额的5.0%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1、所供产品的规格、数量符合招标文件供应商响应承诺及采购合同约定的要求。 2、所有产品均已运输至指定地点，并安装调试完毕。 3、招标文件供应商响应承诺及采购合同约定的附件、工具、技术资料等齐全；提供产品使用说明书、合格证。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质保范围：本项目全部采购内容。 质保期：自项目验收合格之日起1年。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供应商需在项目电子化交易系统中按要求填写《投标函》完成承诺并进行电子签章。（以下资料需提供相关证明资料） （1）财务状况报告：投标人是法人的，提供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 （2）税收缴纳证明：提供2025年8月1日以来任意一个月税收缴纳证明（至少包含增值税或企业所得税其中一种），依法免税或无需缴纳税收的单位应提供相关证明材料；①采用汇算清缴方式缴纳企业所得税的，应提供2025年8月1日以来任意一个月缴纳增值税或最近一期缴纳企业所得税的凭证，时间以税款所属时期为准；②仅做纳税零申报的，不属于免税情形，需提供税务机关出具的无欠税证明，证明不存在欠缴税款情形； （3）社会保障资金缴纳证明：提供2025年8月1日以来任意一个月的社会保障资金缴存单据或社保机构开具的社会保险参保缴费情况证明，依法不需要缴纳社会保障资金的单位应提供相关证明材料； （4）具备履行合同所必需的设备和专业技术能力的证明材料； （5）参加政府采购活动前3年内在经营活动中没有重大违法记录的书面声明； （6）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tc>
        <w:tc>
          <w:tcPr>
            <w:tcW w:type="dxa" w:w="1661"/>
          </w:tcPr>
          <w:p>
            <w:pPr>
              <w:pStyle w:val="null3"/>
            </w:pPr>
            <w:r>
              <w:rPr>
                <w:rFonts w:ascii="仿宋_GB2312" w:hAnsi="仿宋_GB2312" w:cs="仿宋_GB2312" w:eastAsia="仿宋_GB2312"/>
              </w:rPr>
              <w:t>（格式）资格证明文件.docx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（格式）资格证明文件.docx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（格式）资格证明文件.docx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（格式）资格证明文件.docx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投标（响应）文件构成是否有重大缺项，是否按照采购文件要求编写投标（响应）文件。</w:t>
            </w:r>
          </w:p>
        </w:tc>
        <w:tc>
          <w:tcPr>
            <w:tcW w:type="dxa" w:w="1661"/>
          </w:tcPr>
          <w:p>
            <w:pPr>
              <w:pStyle w:val="null3"/>
            </w:pPr>
            <w:r>
              <w:rPr>
                <w:rFonts w:ascii="仿宋_GB2312" w:hAnsi="仿宋_GB2312" w:cs="仿宋_GB2312" w:eastAsia="仿宋_GB2312"/>
              </w:rPr>
              <w:t>（格式）投标分项报价表.docx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投标（响应）文件的的有效性</w:t>
            </w:r>
          </w:p>
        </w:tc>
        <w:tc>
          <w:tcPr>
            <w:tcW w:type="dxa" w:w="3322"/>
          </w:tcPr>
          <w:p>
            <w:pPr>
              <w:pStyle w:val="null3"/>
            </w:pPr>
            <w:r>
              <w:rPr>
                <w:rFonts w:ascii="仿宋_GB2312" w:hAnsi="仿宋_GB2312" w:cs="仿宋_GB2312" w:eastAsia="仿宋_GB2312"/>
              </w:rPr>
              <w:t>投标（响应）文件的签署、加盖印章是否合格、有效；提供的各种证明文件、数据、资料是否有效。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投标方案是否有重大缺漏项；技术要求是否有重大偏离；商务条款是否有重大偏离；对合同中规定的双方的权利和义务是否做出了实质性修改。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采购文件其他章节中对无效投标的规定。</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清楚、明确并能逐条响应并满足招标文件的采购内容及技术要求的参数表中所有参数要求。（1）满足招标文件所有参数技术指标得20分，每有一条负偏离扣1.67分，扣完为止。（2）对招标文件参数有进一步说明的得5分，照搬“招标文件参数技术指标”中内容未做进一步说明的每项扣0.5分，扣完为止。 （3）优于招标文件参数要求的每有一项得1分，最高得5分。 备注：参数需提供相应证明材料（证明材料包含但不限于技术白皮书、官网功能截图、产品彩页、产品技术说明、相关检测报告等资料任意一种。）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（格式）技术参数响应表.docx</w:t>
            </w:r>
          </w:p>
        </w:tc>
      </w:tr>
      <w:tr>
        <w:tc>
          <w:tcPr>
            <w:tcW w:type="dxa" w:w="831"/>
            <w:vMerge/>
          </w:tcPr>
          <w:p/>
        </w:tc>
        <w:tc>
          <w:tcPr>
            <w:tcW w:type="dxa" w:w="1661"/>
          </w:tcPr>
          <w:p>
            <w:pPr>
              <w:pStyle w:val="null3"/>
            </w:pPr>
            <w:r>
              <w:rPr>
                <w:rFonts w:ascii="仿宋_GB2312" w:hAnsi="仿宋_GB2312" w:cs="仿宋_GB2312" w:eastAsia="仿宋_GB2312"/>
              </w:rPr>
              <w:t>货源组织</w:t>
            </w:r>
          </w:p>
        </w:tc>
        <w:tc>
          <w:tcPr>
            <w:tcW w:type="dxa" w:w="2492"/>
          </w:tcPr>
          <w:p>
            <w:pPr>
              <w:pStyle w:val="null3"/>
            </w:pPr>
            <w:r>
              <w:rPr>
                <w:rFonts w:ascii="仿宋_GB2312" w:hAnsi="仿宋_GB2312" w:cs="仿宋_GB2312" w:eastAsia="仿宋_GB2312"/>
              </w:rPr>
              <w:t>课桌、凳子需提供产品的合法来源渠道证明材料或情况说明，每提供一项产品的合法证明材料得4分，满分8分。 备注：①投标人为所投产品的制造商，需提供情况说明，说明某一项产品为制造商自己生产。②投标人为所投产品代理商或其他情况，产品来源渠道合法的证明材料包括但不限于原厂授权书、销售协议、代理协议等证明材料其中任意一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（格式）货源组织.docx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①供货方案；②售后服务方案； ③安装调试方案； 二、评审标准： 1.完整性：内容全面，对评审内容中的各项要求有详细阐述； 2.可实施性：切合本项目实际情况，提出步骤清晰、合理的方案；3.针对性：能够紧扣项目实际情况，内容科学合理。 三、赋分标准 （满分 12分） ①供货方案：每满足 1 项评审标准得 2分，满分6 分；每有一处描述有缺陷的扣1 分，该项扣完为止； ② 售后服务方案：每满足 1 项评审标准得1 分，满分 3分；每有一处描述有缺陷的扣0.5分，该项扣完为止； ③安装调试方案：每满足 1 项评审标准得1分，满分3分；每有一处描述有缺陷的扣0.5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（格式）实施方案.docx</w:t>
            </w:r>
          </w:p>
        </w:tc>
      </w:tr>
      <w:tr>
        <w:tc>
          <w:tcPr>
            <w:tcW w:type="dxa" w:w="831"/>
            <w:vMerge/>
          </w:tcPr>
          <w:p/>
        </w:tc>
        <w:tc>
          <w:tcPr>
            <w:tcW w:type="dxa" w:w="1661"/>
          </w:tcPr>
          <w:p>
            <w:pPr>
              <w:pStyle w:val="null3"/>
            </w:pPr>
            <w:r>
              <w:rPr>
                <w:rFonts w:ascii="仿宋_GB2312" w:hAnsi="仿宋_GB2312" w:cs="仿宋_GB2312" w:eastAsia="仿宋_GB2312"/>
              </w:rPr>
              <w:t>质量保障措施、验收方案及措施</w:t>
            </w:r>
          </w:p>
        </w:tc>
        <w:tc>
          <w:tcPr>
            <w:tcW w:type="dxa" w:w="2492"/>
          </w:tcPr>
          <w:p>
            <w:pPr>
              <w:pStyle w:val="null3"/>
            </w:pPr>
            <w:r>
              <w:rPr>
                <w:rFonts w:ascii="仿宋_GB2312" w:hAnsi="仿宋_GB2312" w:cs="仿宋_GB2312" w:eastAsia="仿宋_GB2312"/>
              </w:rPr>
              <w:t>①质量保障措施②验收方案及措施 涵盖以上内容且不存在缺陷得2分，在此基础上，每缺少一项内容扣1分，每有一处内容存在缺陷扣0.5分，扣完为止。 注：“内容存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（格式）质量保障措施、验收方案及措施.docx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根据投标人提供的样品的质量、材质工艺、外观做工、结构稳定性、安全细节等内容进行赋分； 1.样品整体质量优良，完全满足项目使用需求，工艺、材质、安全、外观均表现优异得6分，具体标准如下： 1.1材质用料：所有主材、辅材用料厚实、规整，板材、管材、漆面、坐垫背板材质均匀，无偷工减料情况，材质观感优于常规行业标准。 1.2制作工艺：整体焊接、拼接、封边、螺丝衔接工艺精细，接缝严密平整，无毛刺、虚焊、漏焊、松动等瑕疵；边角打磨光滑，做工规整统一。 1.3 结构性能：桌椅整体结构稳固，承重性、平衡性良好，无晃动、异响，贴合校园日常高频使用场景，耐用性强。 1.4 安全与外观：无尖锐棱角、凸起、划痕、掉漆、变形、色差等缺陷；整体外观整洁美观，造型规范，符合校园使用审美及安全标准。 2.样品质量达标，满足项目基本使用要求，整体无重大缺陷，仅存在轻微不影响使用的瑕疵得3分，具体标准如下： 2.1材质用料：材质符合项目基本要求，用料规格达标，材质均匀性一般，无劣质、残次材料情况。 2.2 制作工艺：整体工艺合规，拼接、焊接、安装基本规整，存在少量细微瑕疵，如轻微接缝不均、细微毛刺、局部漆面轻微不均，不影响整体结构。 2.3 结构性能：桌椅结构稳定，摆放平稳，无明显晃动、松动，可正常满足日常教学使用需求，耐用性符合基础标准。 2.4安全与外观：无安全隐患、无破损变形，存在轻微划痕、轻微色差等不影响使用和安全的外观小问题。 3.样品存在质量缺陷、工艺粗糙、结构不稳或存在安全隐患，无法完全满足项目使用需求，符合以下任意一项得1分： 3.1材质用料单薄、规格不达标，使用劣质材料、翻新材料，材质存在开裂、发霉、破损等问题。 3.2制作工艺粗糙，存在明显虚焊、漏焊、拼接缝隙过大、封边脱落、螺丝缺失松动等严重工艺问题。 3.3桌椅结构不稳定，摆放严重晃动、倾斜，受力易变形，存在松动异响，无法正常使用。 3.4存在尖锐棱角、毛刺、突出硬物等安全隐患，或样品出现严重掉漆、变形、破损、大面积色差、开裂等质量问题。 3.5样品与采购需求规格、样式存在明显偏差，不满足项目基本使用要求。 未提供或提供样品不全不得分。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（格式）技术参数响应表.docx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供应商提供的投标产品中每有一项节能产品(已列入节能产品政府采购品目清单且非强制采购产品)为经国家认证的得 1分，每有一项环境标志产品（已列入环境标志产品政府采购品目清单）为经国家认证的得 1 分。 （以经国家确定的认证机构出具的、处于有效期内的节能产品、环境标志产品认证证书为准。）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（格式）非强制节能、环境标志产品清单.docx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交货期在满足招标文件要求基础上，每提前5个日历天得2分，满分6分； 质保期在满足招标文件要求基础上，每增加一年得1分，满分4分。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2、有效最低评审价格得30分。 3、其他报价得分按（有效最低评审价格/评审价格）×30的公式计算其得分。 4、专门面向中小企业采购的项目或者采购包，不再执行价格评审优惠的扶持政策。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详见附件：（格式）非强制节能、环境标志产品清单.docx</w:t>
      </w:r>
    </w:p>
    <w:p>
      <w:pPr>
        <w:pStyle w:val="null3"/>
        <w:ind w:firstLine="960"/>
      </w:pPr>
      <w:r>
        <w:rPr>
          <w:rFonts w:ascii="仿宋_GB2312" w:hAnsi="仿宋_GB2312" w:cs="仿宋_GB2312" w:eastAsia="仿宋_GB2312"/>
        </w:rPr>
        <w:t>详见附件：（格式）货源组织.docx</w:t>
      </w:r>
    </w:p>
    <w:p>
      <w:pPr>
        <w:pStyle w:val="null3"/>
        <w:ind w:firstLine="960"/>
      </w:pPr>
      <w:r>
        <w:rPr>
          <w:rFonts w:ascii="仿宋_GB2312" w:hAnsi="仿宋_GB2312" w:cs="仿宋_GB2312" w:eastAsia="仿宋_GB2312"/>
        </w:rPr>
        <w:t>详见附件：（格式）技术参数响应表.docx</w:t>
      </w:r>
    </w:p>
    <w:p>
      <w:pPr>
        <w:pStyle w:val="null3"/>
        <w:ind w:firstLine="960"/>
      </w:pPr>
      <w:r>
        <w:rPr>
          <w:rFonts w:ascii="仿宋_GB2312" w:hAnsi="仿宋_GB2312" w:cs="仿宋_GB2312" w:eastAsia="仿宋_GB2312"/>
        </w:rPr>
        <w:t>详见附件：（格式）实施方案.docx</w:t>
      </w:r>
    </w:p>
    <w:p>
      <w:pPr>
        <w:pStyle w:val="null3"/>
        <w:ind w:firstLine="960"/>
      </w:pPr>
      <w:r>
        <w:rPr>
          <w:rFonts w:ascii="仿宋_GB2312" w:hAnsi="仿宋_GB2312" w:cs="仿宋_GB2312" w:eastAsia="仿宋_GB2312"/>
        </w:rPr>
        <w:t>详见附件：（格式）投标分项报价表.docx</w:t>
      </w:r>
    </w:p>
    <w:p>
      <w:pPr>
        <w:pStyle w:val="null3"/>
        <w:ind w:firstLine="960"/>
      </w:pPr>
      <w:r>
        <w:rPr>
          <w:rFonts w:ascii="仿宋_GB2312" w:hAnsi="仿宋_GB2312" w:cs="仿宋_GB2312" w:eastAsia="仿宋_GB2312"/>
        </w:rPr>
        <w:t>详见附件：（格式）质量保障措施、验收方案及措施.docx</w:t>
      </w:r>
    </w:p>
    <w:p>
      <w:pPr>
        <w:pStyle w:val="null3"/>
        <w:ind w:firstLine="960"/>
      </w:pPr>
      <w:r>
        <w:rPr>
          <w:rFonts w:ascii="仿宋_GB2312" w:hAnsi="仿宋_GB2312" w:cs="仿宋_GB2312" w:eastAsia="仿宋_GB2312"/>
        </w:rPr>
        <w:t>详见附件：（格式）资格证明文件.docx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详见附件：（格式）合同主要条款.docx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