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版本号：LS-2026-052520260529004</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银杏公园气排球比赛场地设施采购项目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LS-2026-0525</w:t>
      </w:r>
      <w:r>
        <w:br/>
      </w:r>
      <w:r>
        <w:br/>
      </w:r>
      <w:r>
        <w:br/>
      </w:r>
    </w:p>
    <w:p>
      <w:pPr>
        <w:pStyle w:val="null3"/>
        <w:jc w:val="center"/>
        <w:outlineLvl w:val="2"/>
      </w:pPr>
      <w:r>
        <w:rPr>
          <w:rFonts w:ascii="仿宋_GB2312" w:hAnsi="仿宋_GB2312" w:cs="仿宋_GB2312" w:eastAsia="仿宋_GB2312"/>
          <w:sz w:val="28"/>
          <w:b/>
        </w:rPr>
        <w:t>商洛市体育局</w:t>
      </w:r>
    </w:p>
    <w:p>
      <w:pPr>
        <w:pStyle w:val="null3"/>
        <w:jc w:val="center"/>
        <w:outlineLvl w:val="2"/>
      </w:pPr>
      <w:r>
        <w:rPr>
          <w:rFonts w:ascii="仿宋_GB2312" w:hAnsi="仿宋_GB2312" w:cs="仿宋_GB2312" w:eastAsia="仿宋_GB2312"/>
          <w:sz w:val="28"/>
          <w:b/>
        </w:rPr>
        <w:t>陕西洛砷项目管理有限公司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陕西洛砷项目管理有限公司</w:t>
      </w:r>
      <w:r>
        <w:rPr>
          <w:rFonts w:ascii="仿宋_GB2312" w:hAnsi="仿宋_GB2312" w:cs="仿宋_GB2312" w:eastAsia="仿宋_GB2312"/>
        </w:rPr>
        <w:t>（以下简称“代理机构”）受</w:t>
      </w:r>
      <w:r>
        <w:rPr>
          <w:rFonts w:ascii="仿宋_GB2312" w:hAnsi="仿宋_GB2312" w:cs="仿宋_GB2312" w:eastAsia="仿宋_GB2312"/>
        </w:rPr>
        <w:t>商洛市体育局</w:t>
      </w:r>
      <w:r>
        <w:rPr>
          <w:rFonts w:ascii="仿宋_GB2312" w:hAnsi="仿宋_GB2312" w:cs="仿宋_GB2312" w:eastAsia="仿宋_GB2312"/>
        </w:rPr>
        <w:t>委托，拟对</w:t>
      </w:r>
      <w:r>
        <w:rPr>
          <w:rFonts w:ascii="仿宋_GB2312" w:hAnsi="仿宋_GB2312" w:cs="仿宋_GB2312" w:eastAsia="仿宋_GB2312"/>
        </w:rPr>
        <w:t>银杏公园气排球比赛场地设施采购项目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LS-2026-0525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银杏公园气排球比赛场地设施采购项目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商洛市体育局银杏公园气排球比赛场地设施采购项目旨在通过系统性改造提升场地的运动性能、安全防护水平与观赛体验，为赛事活动提供标准化、专业化的场地保障。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采购包1（采购一包）：属于专门面向中小企业采购。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财务状况审查：提供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社保缴纳审查：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4、税收缴纳审查：提供递交投标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rFonts w:ascii="仿宋_GB2312" w:hAnsi="仿宋_GB2312" w:cs="仿宋_GB2312" w:eastAsia="仿宋_GB2312"/>
        </w:rPr>
        <w:t>5、法定代表人授权委托书审查：法定代表人直接参加投标的，须出具法定代表人身份证及法定代表人身份证明，法定代表人授权代表参加投标的，须出具法定代表人授权书及授权代表身份证；供应商需在项目电子化交易系统中按要求上传相应证明文件并进行电子签章。</w:t>
      </w:r>
    </w:p>
    <w:p>
      <w:pPr>
        <w:pStyle w:val="null3"/>
      </w:pPr>
      <w:r>
        <w:rPr>
          <w:rFonts w:ascii="仿宋_GB2312" w:hAnsi="仿宋_GB2312" w:cs="仿宋_GB2312" w:eastAsia="仿宋_GB2312"/>
        </w:rPr>
        <w:t>6、无重大违法记录：供应商参加政府采购活动前3年内在经营活动中没有重大违法记录的书面声明；供应商需在项目电子化交易系统中按要求上传相应证明文件并进行电子签章。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需在项目电子化交易系统中按要求上传相应证明文件并进行电子签章。</w:t>
      </w:r>
    </w:p>
    <w:p>
      <w:pPr>
        <w:pStyle w:val="null3"/>
      </w:pPr>
      <w:r>
        <w:rPr>
          <w:rFonts w:ascii="仿宋_GB2312" w:hAnsi="仿宋_GB2312" w:cs="仿宋_GB2312" w:eastAsia="仿宋_GB2312"/>
        </w:rPr>
        <w:t>8、其他承诺响应：具有履行合同所必需的设备和专业技术能力的承诺书；未为本项目提供整体设计、规范编制或者项目管理、监理、检测等服务的承诺书；供应商需在项目电子化交易系统中按要求上传相应证明文件并进行电子签章。</w:t>
      </w:r>
    </w:p>
    <w:p>
      <w:pPr>
        <w:pStyle w:val="null3"/>
      </w:pPr>
      <w:r>
        <w:rPr>
          <w:rFonts w:ascii="仿宋_GB2312" w:hAnsi="仿宋_GB2312" w:cs="仿宋_GB2312" w:eastAsia="仿宋_GB2312"/>
        </w:rPr>
        <w:t>9、控股管理关系：单位负责人为同一人或者存在直接控股、管理关系的供应商，不得参加同一合同下的政府采购活动的承诺书；供应商需在项目电子化交易系统中按要求上传相应证明文件并进行电子签章。</w:t>
      </w:r>
    </w:p>
    <w:p>
      <w:pPr>
        <w:pStyle w:val="null3"/>
      </w:pPr>
      <w:r>
        <w:rPr>
          <w:rFonts w:ascii="仿宋_GB2312" w:hAnsi="仿宋_GB2312" w:cs="仿宋_GB2312" w:eastAsia="仿宋_GB2312"/>
        </w:rPr>
        <w:t>10、联合体：本项目不接受联合体投标的承诺书；供应商需在项目电子化交易系统中按要求上传相应证明文件并进行电子签章。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陕西省商洛市商州区丹南大道市体育运动中心西区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0914-2385831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陕西洛砷项目管理有限公司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陕西省商洛市商州区民主路西安银行对面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0914-2992666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采购包1：855,800.00元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开户名称：陕西洛砷项目管理有限公司</w:t>
            </w:r>
          </w:p>
          <w:p>
            <w:pPr>
              <w:pStyle w:val="null3"/>
            </w:pPr>
            <w:r>
              <w:rPr>
                <w:rFonts w:ascii="仿宋_GB2312" w:hAnsi="仿宋_GB2312" w:cs="仿宋_GB2312" w:eastAsia="仿宋_GB2312"/>
              </w:rPr>
              <w:t>开户银行：中国建设银行股份有限公司商洛秦韵教育城支行</w:t>
            </w:r>
          </w:p>
          <w:p>
            <w:pPr>
              <w:pStyle w:val="null3"/>
            </w:pPr>
            <w:r>
              <w:rPr>
                <w:rFonts w:ascii="仿宋_GB2312" w:hAnsi="仿宋_GB2312" w:cs="仿宋_GB2312" w:eastAsia="仿宋_GB2312"/>
              </w:rPr>
              <w:t>银行账号：61050167450000000708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国家计委《招标代理服务收费管理暂行办法》(计价格(2002)1980号)、国家发展和改革委员会《国家发展改革委办公厅关于招标代理服务收费有关问题的通知》(发改办价格(2003)857号)文件的相关规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商洛市体育局</w:t>
      </w:r>
      <w:r>
        <w:rPr>
          <w:rFonts w:ascii="仿宋_GB2312" w:hAnsi="仿宋_GB2312" w:cs="仿宋_GB2312" w:eastAsia="仿宋_GB2312"/>
        </w:rPr>
        <w:t>和</w:t>
      </w:r>
      <w:r>
        <w:rPr>
          <w:rFonts w:ascii="仿宋_GB2312" w:hAnsi="仿宋_GB2312" w:cs="仿宋_GB2312" w:eastAsia="仿宋_GB2312"/>
        </w:rPr>
        <w:t>陕西洛砷项目管理有限公司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陕西洛砷项目管理有限公司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陕西洛砷项目管理有限公司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陕西洛砷项目管理有限公司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陕西洛砷项目管理有限公司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陕西洛砷项目管理有限公司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联系人：董军</w:t>
      </w:r>
    </w:p>
    <w:p>
      <w:pPr>
        <w:pStyle w:val="null3"/>
      </w:pPr>
      <w:r>
        <w:rPr>
          <w:rFonts w:ascii="仿宋_GB2312" w:hAnsi="仿宋_GB2312" w:cs="仿宋_GB2312" w:eastAsia="仿宋_GB2312"/>
        </w:rPr>
        <w:t>联系电话：0914-2385831</w:t>
      </w:r>
    </w:p>
    <w:p>
      <w:pPr>
        <w:pStyle w:val="null3"/>
      </w:pPr>
      <w:r>
        <w:rPr>
          <w:rFonts w:ascii="仿宋_GB2312" w:hAnsi="仿宋_GB2312" w:cs="仿宋_GB2312" w:eastAsia="仿宋_GB2312"/>
        </w:rPr>
        <w:t>地址：陕西省商洛市商州区丹南大道市体育运动中心西区</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联系人：赵荣</w:t>
      </w:r>
    </w:p>
    <w:p>
      <w:pPr>
        <w:pStyle w:val="null3"/>
      </w:pPr>
      <w:r>
        <w:rPr>
          <w:rFonts w:ascii="仿宋_GB2312" w:hAnsi="仿宋_GB2312" w:cs="仿宋_GB2312" w:eastAsia="仿宋_GB2312"/>
        </w:rPr>
        <w:t>联系电话：0914-2992666</w:t>
      </w:r>
    </w:p>
    <w:p>
      <w:pPr>
        <w:pStyle w:val="null3"/>
      </w:pPr>
      <w:r>
        <w:rPr>
          <w:rFonts w:ascii="仿宋_GB2312" w:hAnsi="仿宋_GB2312" w:cs="仿宋_GB2312" w:eastAsia="仿宋_GB2312"/>
        </w:rPr>
        <w:t>地址：陕西省商洛市商州区民主路西安银行对面</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1.本项目为商洛市体育局银杏公园气排球比赛场地设施采购项目，旨在通过系统性改造提升场地的运动性能、安全防护水平与观赛体验，为赛事活动提供标准化、专业化的场地保障； 2.供应商应仔细阅读竞争性磋商文件相关内容，确保顺利参与本次电子化采购活动。供应商在投标当天除参与电子化投标外，在开标时间开始前还需提交1正2副纸质版磋商响应文件至招标代理机构，正副本分别单独胶装、并密封 包装，纸质版文件须用电子版文件直接打印，与电子版文件内容一致，不允许补充和修改，正本应逐页加盖投标供应商鲜章， 副本可采用正本的复印件。纸质版文件与电子磋商响应文件不一致由此造成的一切责任及后果由供应商自行承担。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855,800.00</w:t>
      </w:r>
    </w:p>
    <w:p>
      <w:pPr>
        <w:pStyle w:val="null3"/>
      </w:pPr>
      <w:r>
        <w:rPr>
          <w:rFonts w:ascii="仿宋_GB2312" w:hAnsi="仿宋_GB2312" w:cs="仿宋_GB2312" w:eastAsia="仿宋_GB2312"/>
        </w:rPr>
        <w:t>采购包最高限价（元）: 855,800.00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商洛市体育局银杏公园气排球比赛场地设施采购项目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855,800.00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标的名称：商洛市体育局银杏公园气排球比赛场地设施采购项目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33"/>
              <w:gridCol w:w="432"/>
              <w:gridCol w:w="1654"/>
              <w:gridCol w:w="124"/>
              <w:gridCol w:w="205"/>
            </w:tblGrid>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货物名称</w:t>
                  </w:r>
                </w:p>
              </w:tc>
              <w:tc>
                <w:tcPr>
                  <w:tcW w:type="dxa" w:w="16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规格型号</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塑胶运动地胶</w:t>
                  </w:r>
                </w:p>
              </w:tc>
              <w:tc>
                <w:tcPr>
                  <w:tcW w:type="dxa" w:w="16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 xml:space="preserve"> 塑胶运动地板，100%原生料生产加工而成，无毒、无味、绿色环保，总厚度8.0mm±0.1mm，有害物质氯乙烯单体、可溶性铅、可溶性镉未检出，防滑耐磨抗滑值80-110，加强稳定结构,背板防滑吸附，防潮、防霉、防止场地位移，运动更安全。产品规格产品为8.0mm厚度,产品形态为卷材,宽幅1.8米，长度可裁剪。</w:t>
                  </w:r>
                  <w:r>
                    <w:br/>
                  </w:r>
                  <w:r>
                    <w:rPr>
                      <w:rFonts w:ascii="仿宋_GB2312" w:hAnsi="仿宋_GB2312" w:cs="仿宋_GB2312" w:eastAsia="仿宋_GB2312"/>
                      <w:sz w:val="22"/>
                      <w:color w:val="000000"/>
                    </w:rPr>
                    <w:t xml:space="preserve"> 性能要点</w:t>
                  </w:r>
                  <w:r>
                    <w:br/>
                  </w:r>
                  <w:r>
                    <w:rPr>
                      <w:rFonts w:ascii="仿宋_GB2312" w:hAnsi="仿宋_GB2312" w:cs="仿宋_GB2312" w:eastAsia="仿宋_GB2312"/>
                      <w:sz w:val="22"/>
                      <w:color w:val="000000"/>
                    </w:rPr>
                    <w:t xml:space="preserve"> 1、冲击吸收:20%-50%;</w:t>
                  </w:r>
                  <w:r>
                    <w:br/>
                  </w:r>
                  <w:r>
                    <w:rPr>
                      <w:rFonts w:ascii="仿宋_GB2312" w:hAnsi="仿宋_GB2312" w:cs="仿宋_GB2312" w:eastAsia="仿宋_GB2312"/>
                      <w:sz w:val="22"/>
                      <w:color w:val="000000"/>
                    </w:rPr>
                    <w:t xml:space="preserve"> 2、垂直变形:0.6-3.0mm;</w:t>
                  </w:r>
                  <w:r>
                    <w:br/>
                  </w:r>
                  <w:r>
                    <w:rPr>
                      <w:rFonts w:ascii="仿宋_GB2312" w:hAnsi="仿宋_GB2312" w:cs="仿宋_GB2312" w:eastAsia="仿宋_GB2312"/>
                      <w:sz w:val="22"/>
                      <w:color w:val="000000"/>
                    </w:rPr>
                    <w:t xml:space="preserve"> 3、抗滑值:80-110;</w:t>
                  </w:r>
                  <w:r>
                    <w:br/>
                  </w:r>
                  <w:r>
                    <w:rPr>
                      <w:rFonts w:ascii="仿宋_GB2312" w:hAnsi="仿宋_GB2312" w:cs="仿宋_GB2312" w:eastAsia="仿宋_GB2312"/>
                      <w:sz w:val="22"/>
                      <w:color w:val="000000"/>
                    </w:rPr>
                    <w:t xml:space="preserve"> 4、甲苯、二甲苯和乙苯总和:</w:t>
                  </w:r>
                  <w:r>
                    <w:br/>
                  </w:r>
                  <w:r>
                    <w:rPr>
                      <w:rFonts w:ascii="仿宋_GB2312" w:hAnsi="仿宋_GB2312" w:cs="仿宋_GB2312" w:eastAsia="仿宋_GB2312"/>
                      <w:sz w:val="22"/>
                      <w:color w:val="000000"/>
                    </w:rPr>
                    <w:t xml:space="preserve"> ≤1.0mg/(m2.h);</w:t>
                  </w:r>
                  <w:r>
                    <w:br/>
                  </w:r>
                  <w:r>
                    <w:rPr>
                      <w:rFonts w:ascii="仿宋_GB2312" w:hAnsi="仿宋_GB2312" w:cs="仿宋_GB2312" w:eastAsia="仿宋_GB2312"/>
                      <w:sz w:val="22"/>
                      <w:color w:val="000000"/>
                    </w:rPr>
                    <w:t xml:space="preserve"> 5、可溶性铅含量:≤50mg/kg;</w:t>
                  </w:r>
                  <w:r>
                    <w:br/>
                  </w:r>
                  <w:r>
                    <w:rPr>
                      <w:rFonts w:ascii="仿宋_GB2312" w:hAnsi="仿宋_GB2312" w:cs="仿宋_GB2312" w:eastAsia="仿宋_GB2312"/>
                      <w:sz w:val="22"/>
                      <w:color w:val="000000"/>
                    </w:rPr>
                    <w:t xml:space="preserve"> 6、可溶性铬含量:≤10mg/kg。</w:t>
                  </w:r>
                  <w:r>
                    <w:br/>
                  </w:r>
                  <w:r>
                    <w:rPr>
                      <w:rFonts w:ascii="仿宋_GB2312" w:hAnsi="仿宋_GB2312" w:cs="仿宋_GB2312" w:eastAsia="仿宋_GB2312"/>
                      <w:sz w:val="22"/>
                      <w:color w:val="000000"/>
                    </w:rPr>
                    <w:t xml:space="preserve"> [工作内容]</w:t>
                  </w:r>
                  <w:r>
                    <w:br/>
                  </w:r>
                  <w:r>
                    <w:rPr>
                      <w:rFonts w:ascii="仿宋_GB2312" w:hAnsi="仿宋_GB2312" w:cs="仿宋_GB2312" w:eastAsia="仿宋_GB2312"/>
                      <w:sz w:val="22"/>
                      <w:color w:val="000000"/>
                    </w:rPr>
                    <w:t xml:space="preserve"> 1.安装</w:t>
                  </w:r>
                  <w:r>
                    <w:br/>
                  </w:r>
                  <w:r>
                    <w:rPr>
                      <w:rFonts w:ascii="仿宋_GB2312" w:hAnsi="仿宋_GB2312" w:cs="仿宋_GB2312" w:eastAsia="仿宋_GB2312"/>
                      <w:sz w:val="22"/>
                      <w:color w:val="000000"/>
                    </w:rPr>
                    <w:t xml:space="preserve"> 2.划线</w:t>
                  </w:r>
                  <w:r>
                    <w:br/>
                  </w:r>
                  <w:r>
                    <w:rPr>
                      <w:rFonts w:ascii="仿宋_GB2312" w:hAnsi="仿宋_GB2312" w:cs="仿宋_GB2312" w:eastAsia="仿宋_GB2312"/>
                      <w:sz w:val="22"/>
                      <w:color w:val="000000"/>
                    </w:rPr>
                    <w:t xml:space="preserve"> 3.校正</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1291.5</w:t>
                  </w: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运动地胶铲除</w:t>
                  </w:r>
                </w:p>
              </w:tc>
              <w:tc>
                <w:tcPr>
                  <w:tcW w:type="dxa" w:w="16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 xml:space="preserve"> 1．原有运动地胶拆除</w:t>
                  </w:r>
                  <w:r>
                    <w:br/>
                  </w:r>
                  <w:r>
                    <w:rPr>
                      <w:rFonts w:ascii="仿宋_GB2312" w:hAnsi="仿宋_GB2312" w:cs="仿宋_GB2312" w:eastAsia="仿宋_GB2312"/>
                      <w:sz w:val="22"/>
                      <w:color w:val="000000"/>
                    </w:rPr>
                    <w:t xml:space="preserve"> 2．基础打磨、高聚物水泥砂浆</w:t>
                  </w:r>
                  <w:r>
                    <w:br/>
                  </w:r>
                  <w:r>
                    <w:rPr>
                      <w:rFonts w:ascii="仿宋_GB2312" w:hAnsi="仿宋_GB2312" w:cs="仿宋_GB2312" w:eastAsia="仿宋_GB2312"/>
                      <w:sz w:val="22"/>
                      <w:color w:val="000000"/>
                    </w:rPr>
                    <w:t xml:space="preserve"> 找平</w:t>
                  </w:r>
                  <w:r>
                    <w:br/>
                  </w:r>
                  <w:r>
                    <w:rPr>
                      <w:rFonts w:ascii="仿宋_GB2312" w:hAnsi="仿宋_GB2312" w:cs="仿宋_GB2312" w:eastAsia="仿宋_GB2312"/>
                      <w:sz w:val="22"/>
                      <w:color w:val="000000"/>
                    </w:rPr>
                    <w:t xml:space="preserve"> 3．垃圾外运，运距自主考虑，</w:t>
                  </w:r>
                  <w:r>
                    <w:br/>
                  </w:r>
                  <w:r>
                    <w:rPr>
                      <w:rFonts w:ascii="仿宋_GB2312" w:hAnsi="仿宋_GB2312" w:cs="仿宋_GB2312" w:eastAsia="仿宋_GB2312"/>
                      <w:sz w:val="22"/>
                      <w:color w:val="000000"/>
                    </w:rPr>
                    <w:t xml:space="preserve"> 含装车、运输、倾倒、填埋</w:t>
                  </w:r>
                  <w:r>
                    <w:br/>
                  </w:r>
                  <w:r>
                    <w:rPr>
                      <w:rFonts w:ascii="仿宋_GB2312" w:hAnsi="仿宋_GB2312" w:cs="仿宋_GB2312" w:eastAsia="仿宋_GB2312"/>
                      <w:sz w:val="22"/>
                      <w:color w:val="000000"/>
                    </w:rPr>
                    <w:t xml:space="preserve"> 处置等费用</w:t>
                  </w:r>
                  <w:r>
                    <w:br/>
                  </w:r>
                  <w:r>
                    <w:rPr>
                      <w:rFonts w:ascii="仿宋_GB2312" w:hAnsi="仿宋_GB2312" w:cs="仿宋_GB2312" w:eastAsia="仿宋_GB2312"/>
                      <w:sz w:val="22"/>
                      <w:color w:val="000000"/>
                    </w:rPr>
                    <w:t xml:space="preserve"> 4．其余做法参见设计图纸、施</w:t>
                  </w:r>
                  <w:r>
                    <w:br/>
                  </w:r>
                  <w:r>
                    <w:rPr>
                      <w:rFonts w:ascii="仿宋_GB2312" w:hAnsi="仿宋_GB2312" w:cs="仿宋_GB2312" w:eastAsia="仿宋_GB2312"/>
                      <w:sz w:val="22"/>
                      <w:color w:val="000000"/>
                    </w:rPr>
                    <w:t xml:space="preserve"> 工规范、标准图集、工艺标准</w:t>
                  </w:r>
                  <w:r>
                    <w:br/>
                  </w:r>
                  <w:r>
                    <w:rPr>
                      <w:rFonts w:ascii="仿宋_GB2312" w:hAnsi="仿宋_GB2312" w:cs="仿宋_GB2312" w:eastAsia="仿宋_GB2312"/>
                      <w:sz w:val="22"/>
                      <w:color w:val="000000"/>
                    </w:rPr>
                    <w:t xml:space="preserve"> 及招标前期答疑文件和设计变更通</w:t>
                  </w:r>
                  <w:r>
                    <w:br/>
                  </w:r>
                  <w:r>
                    <w:rPr>
                      <w:rFonts w:ascii="仿宋_GB2312" w:hAnsi="仿宋_GB2312" w:cs="仿宋_GB2312" w:eastAsia="仿宋_GB2312"/>
                      <w:sz w:val="22"/>
                      <w:color w:val="000000"/>
                    </w:rPr>
                    <w:t xml:space="preserve"> 知单</w:t>
                  </w:r>
                  <w:r>
                    <w:br/>
                  </w:r>
                  <w:r>
                    <w:rPr>
                      <w:rFonts w:ascii="仿宋_GB2312" w:hAnsi="仿宋_GB2312" w:cs="仿宋_GB2312" w:eastAsia="仿宋_GB2312"/>
                      <w:sz w:val="22"/>
                      <w:color w:val="000000"/>
                    </w:rPr>
                    <w:t xml:space="preserve"> [工作内容]</w:t>
                  </w:r>
                  <w:r>
                    <w:br/>
                  </w:r>
                  <w:r>
                    <w:rPr>
                      <w:rFonts w:ascii="仿宋_GB2312" w:hAnsi="仿宋_GB2312" w:cs="仿宋_GB2312" w:eastAsia="仿宋_GB2312"/>
                      <w:sz w:val="22"/>
                      <w:color w:val="000000"/>
                    </w:rPr>
                    <w:t xml:space="preserve"> 1.拆除</w:t>
                  </w:r>
                  <w:r>
                    <w:br/>
                  </w:r>
                  <w:r>
                    <w:rPr>
                      <w:rFonts w:ascii="仿宋_GB2312" w:hAnsi="仿宋_GB2312" w:cs="仿宋_GB2312" w:eastAsia="仿宋_GB2312"/>
                      <w:sz w:val="22"/>
                      <w:color w:val="000000"/>
                    </w:rPr>
                    <w:t xml:space="preserve"> 2.垃圾清运</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1291.5</w:t>
                  </w: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金属网栏</w:t>
                  </w:r>
                </w:p>
              </w:tc>
              <w:tc>
                <w:tcPr>
                  <w:tcW w:type="dxa" w:w="16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优质国标钢材(国标Q235)，镀锌防护层及纯聚酯粉末喷涂处理。</w:t>
                  </w:r>
                  <w:r>
                    <w:br/>
                  </w:r>
                  <w:r>
                    <w:rPr>
                      <w:rFonts w:ascii="仿宋_GB2312" w:hAnsi="仿宋_GB2312" w:cs="仿宋_GB2312" w:eastAsia="仿宋_GB2312"/>
                      <w:sz w:val="22"/>
                      <w:color w:val="000000"/>
                    </w:rPr>
                    <w:t xml:space="preserve"> 产品参数：</w:t>
                  </w:r>
                  <w:r>
                    <w:br/>
                  </w:r>
                  <w:r>
                    <w:rPr>
                      <w:rFonts w:ascii="仿宋_GB2312" w:hAnsi="仿宋_GB2312" w:cs="仿宋_GB2312" w:eastAsia="仿宋_GB2312"/>
                      <w:sz w:val="22"/>
                      <w:color w:val="000000"/>
                    </w:rPr>
                    <w:t xml:space="preserve"> 1、立柱：Φ76*2.5mm热镀锌圆管</w:t>
                  </w:r>
                  <w:r>
                    <w:br/>
                  </w:r>
                  <w:r>
                    <w:rPr>
                      <w:rFonts w:ascii="仿宋_GB2312" w:hAnsi="仿宋_GB2312" w:cs="仿宋_GB2312" w:eastAsia="仿宋_GB2312"/>
                      <w:sz w:val="22"/>
                      <w:color w:val="000000"/>
                    </w:rPr>
                    <w:t xml:space="preserve"> 2、网框：50*50*2mm镀锌钢管</w:t>
                  </w:r>
                  <w:r>
                    <w:br/>
                  </w:r>
                  <w:r>
                    <w:rPr>
                      <w:rFonts w:ascii="仿宋_GB2312" w:hAnsi="仿宋_GB2312" w:cs="仿宋_GB2312" w:eastAsia="仿宋_GB2312"/>
                      <w:sz w:val="22"/>
                      <w:color w:val="000000"/>
                    </w:rPr>
                    <w:t xml:space="preserve"> 3、竖管:Φ16*1mm热镀锌圆管</w:t>
                  </w:r>
                  <w:r>
                    <w:br/>
                  </w:r>
                  <w:r>
                    <w:rPr>
                      <w:rFonts w:ascii="仿宋_GB2312" w:hAnsi="仿宋_GB2312" w:cs="仿宋_GB2312" w:eastAsia="仿宋_GB2312"/>
                      <w:sz w:val="22"/>
                      <w:color w:val="000000"/>
                    </w:rPr>
                    <w:t xml:space="preserve"> 4、中间加强管采用:40*20*2mm镀锌扁管</w:t>
                  </w:r>
                  <w:r>
                    <w:br/>
                  </w:r>
                  <w:r>
                    <w:rPr>
                      <w:rFonts w:ascii="仿宋_GB2312" w:hAnsi="仿宋_GB2312" w:cs="仿宋_GB2312" w:eastAsia="仿宋_GB2312"/>
                      <w:sz w:val="22"/>
                      <w:color w:val="000000"/>
                    </w:rPr>
                    <w:t xml:space="preserve"> 5、网孔:100*208mm线径:Φ8mm</w:t>
                  </w:r>
                  <w:r>
                    <w:br/>
                  </w:r>
                  <w:r>
                    <w:rPr>
                      <w:rFonts w:ascii="仿宋_GB2312" w:hAnsi="仿宋_GB2312" w:cs="仿宋_GB2312" w:eastAsia="仿宋_GB2312"/>
                      <w:sz w:val="22"/>
                      <w:color w:val="000000"/>
                    </w:rPr>
                    <w:t xml:space="preserve"> 6、扣件：铝合金扣件</w:t>
                  </w:r>
                  <w:r>
                    <w:br/>
                  </w:r>
                  <w:r>
                    <w:rPr>
                      <w:rFonts w:ascii="仿宋_GB2312" w:hAnsi="仿宋_GB2312" w:cs="仿宋_GB2312" w:eastAsia="仿宋_GB2312"/>
                      <w:sz w:val="22"/>
                      <w:color w:val="000000"/>
                    </w:rPr>
                    <w:t xml:space="preserve"> 7、螺丝：国标304+自攻螺丝</w:t>
                  </w:r>
                  <w:r>
                    <w:br/>
                  </w:r>
                  <w:r>
                    <w:rPr>
                      <w:rFonts w:ascii="仿宋_GB2312" w:hAnsi="仿宋_GB2312" w:cs="仿宋_GB2312" w:eastAsia="仿宋_GB2312"/>
                      <w:sz w:val="22"/>
                      <w:color w:val="000000"/>
                    </w:rPr>
                    <w:t xml:space="preserve"> 8、预埋件：铝合金型材</w:t>
                  </w:r>
                  <w:r>
                    <w:br/>
                  </w:r>
                  <w:r>
                    <w:rPr>
                      <w:rFonts w:ascii="仿宋_GB2312" w:hAnsi="仿宋_GB2312" w:cs="仿宋_GB2312" w:eastAsia="仿宋_GB2312"/>
                      <w:sz w:val="22"/>
                      <w:color w:val="000000"/>
                    </w:rPr>
                    <w:t xml:space="preserve"> 9、颜色：枪灰色</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m²</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764</w:t>
                  </w: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金属格栅门</w:t>
                  </w:r>
                </w:p>
              </w:tc>
              <w:tc>
                <w:tcPr>
                  <w:tcW w:type="dxa" w:w="16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钢结构材质，镀锌防护层及纯聚酯粉末喷涂处理；</w:t>
                  </w:r>
                  <w:r>
                    <w:br/>
                  </w:r>
                  <w:r>
                    <w:rPr>
                      <w:rFonts w:ascii="仿宋_GB2312" w:hAnsi="仿宋_GB2312" w:cs="仿宋_GB2312" w:eastAsia="仿宋_GB2312"/>
                      <w:sz w:val="22"/>
                      <w:color w:val="000000"/>
                    </w:rPr>
                    <w:t xml:space="preserve"> 全天候纯聚酯粉末喷涂工艺，长久使用不脱落。</w:t>
                  </w:r>
                  <w:r>
                    <w:br/>
                  </w:r>
                  <w:r>
                    <w:rPr>
                      <w:rFonts w:ascii="仿宋_GB2312" w:hAnsi="仿宋_GB2312" w:cs="仿宋_GB2312" w:eastAsia="仿宋_GB2312"/>
                      <w:sz w:val="22"/>
                      <w:color w:val="000000"/>
                    </w:rPr>
                    <w:t xml:space="preserve"> 产品参数:</w:t>
                  </w:r>
                  <w:r>
                    <w:br/>
                  </w:r>
                  <w:r>
                    <w:rPr>
                      <w:rFonts w:ascii="仿宋_GB2312" w:hAnsi="仿宋_GB2312" w:cs="仿宋_GB2312" w:eastAsia="仿宋_GB2312"/>
                      <w:sz w:val="22"/>
                      <w:color w:val="000000"/>
                    </w:rPr>
                    <w:t xml:space="preserve"> 常规尺寸：门扇高2330*宽2200*厚50mm【不含框架】</w:t>
                  </w:r>
                  <w:r>
                    <w:br/>
                  </w:r>
                  <w:r>
                    <w:rPr>
                      <w:rFonts w:ascii="仿宋_GB2312" w:hAnsi="仿宋_GB2312" w:cs="仿宋_GB2312" w:eastAsia="仿宋_GB2312"/>
                      <w:sz w:val="22"/>
                      <w:color w:val="000000"/>
                    </w:rPr>
                    <w:t xml:space="preserve"> 颜色：枪灰色</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扇</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灯柱杆</w:t>
                  </w:r>
                </w:p>
              </w:tc>
              <w:tc>
                <w:tcPr>
                  <w:tcW w:type="dxa" w:w="16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产品参数：</w:t>
                  </w:r>
                  <w:r>
                    <w:br/>
                  </w:r>
                  <w:r>
                    <w:rPr>
                      <w:rFonts w:ascii="仿宋_GB2312" w:hAnsi="仿宋_GB2312" w:cs="仿宋_GB2312" w:eastAsia="仿宋_GB2312"/>
                      <w:sz w:val="22"/>
                      <w:color w:val="000000"/>
                    </w:rPr>
                    <w:t xml:space="preserve"> 1）材质：镀锌钢结构型材，表面经超候聚酯粉末喷涂，颜色十年不裉色；</w:t>
                  </w:r>
                  <w:r>
                    <w:br/>
                  </w:r>
                  <w:r>
                    <w:rPr>
                      <w:rFonts w:ascii="仿宋_GB2312" w:hAnsi="仿宋_GB2312" w:cs="仿宋_GB2312" w:eastAsia="仿宋_GB2312"/>
                      <w:sz w:val="22"/>
                      <w:color w:val="000000"/>
                    </w:rPr>
                    <w:t xml:space="preserve"> 2）灯柱规格：直径114*3.5mm*8800mm，其中800mm为预埋部分；</w:t>
                  </w:r>
                  <w:r>
                    <w:br/>
                  </w:r>
                  <w:r>
                    <w:rPr>
                      <w:rFonts w:ascii="仿宋_GB2312" w:hAnsi="仿宋_GB2312" w:cs="仿宋_GB2312" w:eastAsia="仿宋_GB2312"/>
                      <w:sz w:val="22"/>
                      <w:color w:val="000000"/>
                    </w:rPr>
                    <w:t xml:space="preserve"> 3）常规颜色：枪灰色；</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杆</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LED专业球场灯</w:t>
                  </w:r>
                </w:p>
              </w:tc>
              <w:tc>
                <w:tcPr>
                  <w:tcW w:type="dxa" w:w="16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1、额定电压:220V-50/60Hz</w:t>
                  </w:r>
                </w:p>
                <w:p>
                  <w:pPr>
                    <w:pStyle w:val="null3"/>
                    <w:jc w:val="left"/>
                  </w:pPr>
                  <w:r>
                    <w:rPr>
                      <w:rFonts w:ascii="仿宋_GB2312" w:hAnsi="仿宋_GB2312" w:cs="仿宋_GB2312" w:eastAsia="仿宋_GB2312"/>
                      <w:sz w:val="22"/>
                      <w:color w:val="000000"/>
                    </w:rPr>
                    <w:t>2、额定功率:400W</w:t>
                  </w:r>
                </w:p>
                <w:p>
                  <w:pPr>
                    <w:pStyle w:val="null3"/>
                    <w:jc w:val="left"/>
                  </w:pPr>
                  <w:r>
                    <w:rPr>
                      <w:rFonts w:ascii="仿宋_GB2312" w:hAnsi="仿宋_GB2312" w:cs="仿宋_GB2312" w:eastAsia="仿宋_GB2312"/>
                      <w:sz w:val="22"/>
                      <w:color w:val="000000"/>
                    </w:rPr>
                    <w:t xml:space="preserve">3、额定电流:1.8A  </w:t>
                  </w:r>
                </w:p>
                <w:p>
                  <w:pPr>
                    <w:pStyle w:val="null3"/>
                    <w:jc w:val="left"/>
                  </w:pPr>
                  <w:r>
                    <w:rPr>
                      <w:rFonts w:ascii="仿宋_GB2312" w:hAnsi="仿宋_GB2312" w:cs="仿宋_GB2312" w:eastAsia="仿宋_GB2312"/>
                      <w:sz w:val="22"/>
                      <w:color w:val="000000"/>
                    </w:rPr>
                    <w:t xml:space="preserve">★4、光源平均使用寿命:100000h  </w:t>
                  </w:r>
                </w:p>
                <w:p>
                  <w:pPr>
                    <w:pStyle w:val="null3"/>
                    <w:jc w:val="left"/>
                  </w:pPr>
                  <w:r>
                    <w:rPr>
                      <w:rFonts w:ascii="仿宋_GB2312" w:hAnsi="仿宋_GB2312" w:cs="仿宋_GB2312" w:eastAsia="仿宋_GB2312"/>
                      <w:sz w:val="22"/>
                      <w:color w:val="000000"/>
                    </w:rPr>
                    <w:t>★ 5、光通量:550001m(冷白/正白、80显指)450001m(暖白、90显指)</w:t>
                  </w:r>
                </w:p>
                <w:p>
                  <w:pPr>
                    <w:pStyle w:val="null3"/>
                    <w:jc w:val="left"/>
                  </w:pPr>
                  <w:r>
                    <w:rPr>
                      <w:rFonts w:ascii="仿宋_GB2312" w:hAnsi="仿宋_GB2312" w:cs="仿宋_GB2312" w:eastAsia="仿宋_GB2312"/>
                      <w:sz w:val="22"/>
                      <w:color w:val="000000"/>
                    </w:rPr>
                    <w:t xml:space="preserve">6、使用环境温度:-20-+40°C  </w:t>
                  </w:r>
                </w:p>
                <w:p>
                  <w:pPr>
                    <w:pStyle w:val="null3"/>
                    <w:jc w:val="left"/>
                  </w:pPr>
                  <w:r>
                    <w:rPr>
                      <w:rFonts w:ascii="仿宋_GB2312" w:hAnsi="仿宋_GB2312" w:cs="仿宋_GB2312" w:eastAsia="仿宋_GB2312"/>
                      <w:sz w:val="22"/>
                      <w:color w:val="000000"/>
                    </w:rPr>
                    <w:t xml:space="preserve">★7、灯具最大投影面积:0.093m  </w:t>
                  </w:r>
                </w:p>
                <w:p>
                  <w:pPr>
                    <w:pStyle w:val="null3"/>
                    <w:jc w:val="left"/>
                  </w:pPr>
                  <w:r>
                    <w:rPr>
                      <w:rFonts w:ascii="仿宋_GB2312" w:hAnsi="仿宋_GB2312" w:cs="仿宋_GB2312" w:eastAsia="仿宋_GB2312"/>
                      <w:sz w:val="22"/>
                      <w:color w:val="000000"/>
                    </w:rPr>
                    <w:t>8、外形尺寸:430x215x140mm(长x宽x高)</w:t>
                  </w:r>
                </w:p>
                <w:p>
                  <w:pPr>
                    <w:pStyle w:val="null3"/>
                    <w:jc w:val="left"/>
                  </w:pPr>
                  <w:r>
                    <w:rPr>
                      <w:rFonts w:ascii="仿宋_GB2312" w:hAnsi="仿宋_GB2312" w:cs="仿宋_GB2312" w:eastAsia="仿宋_GB2312"/>
                      <w:sz w:val="22"/>
                      <w:color w:val="000000"/>
                    </w:rPr>
                    <w:t xml:space="preserve">9、重量:8.3±0.5kg(净重)  </w:t>
                  </w:r>
                </w:p>
                <w:p>
                  <w:pPr>
                    <w:pStyle w:val="null3"/>
                    <w:jc w:val="left"/>
                  </w:pPr>
                  <w:r>
                    <w:rPr>
                      <w:rFonts w:ascii="仿宋_GB2312" w:hAnsi="仿宋_GB2312" w:cs="仿宋_GB2312" w:eastAsia="仿宋_GB2312"/>
                      <w:sz w:val="22"/>
                      <w:color w:val="000000"/>
                    </w:rPr>
                    <w:t>10、外壳防护等级:IP66  470001m(冷白、90显指)</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盏</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看台座椅</w:t>
                  </w:r>
                </w:p>
              </w:tc>
              <w:tc>
                <w:tcPr>
                  <w:tcW w:type="dxa" w:w="16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1、看台钢材材质要求为Q235</w:t>
                  </w:r>
                  <w:r>
                    <w:br/>
                  </w:r>
                  <w:r>
                    <w:rPr>
                      <w:rFonts w:ascii="仿宋_GB2312" w:hAnsi="仿宋_GB2312" w:cs="仿宋_GB2312" w:eastAsia="仿宋_GB2312"/>
                      <w:sz w:val="22"/>
                      <w:color w:val="000000"/>
                    </w:rPr>
                    <w:t xml:space="preserve"> 2、看台主要型材：</w:t>
                  </w:r>
                  <w:r>
                    <w:br/>
                  </w:r>
                  <w:r>
                    <w:rPr>
                      <w:rFonts w:ascii="仿宋_GB2312" w:hAnsi="仿宋_GB2312" w:cs="仿宋_GB2312" w:eastAsia="仿宋_GB2312"/>
                      <w:sz w:val="22"/>
                      <w:color w:val="000000"/>
                    </w:rPr>
                    <w:t xml:space="preserve"> 支撑立柱φ48*2.0钢管</w:t>
                  </w:r>
                  <w:r>
                    <w:br/>
                  </w:r>
                  <w:r>
                    <w:rPr>
                      <w:rFonts w:ascii="仿宋_GB2312" w:hAnsi="仿宋_GB2312" w:cs="仿宋_GB2312" w:eastAsia="仿宋_GB2312"/>
                      <w:sz w:val="22"/>
                      <w:color w:val="000000"/>
                    </w:rPr>
                    <w:t xml:space="preserve"> 法兰t10钢板</w:t>
                  </w:r>
                  <w:r>
                    <w:br/>
                  </w:r>
                  <w:r>
                    <w:rPr>
                      <w:rFonts w:ascii="仿宋_GB2312" w:hAnsi="仿宋_GB2312" w:cs="仿宋_GB2312" w:eastAsia="仿宋_GB2312"/>
                      <w:sz w:val="22"/>
                      <w:color w:val="000000"/>
                    </w:rPr>
                    <w:t xml:space="preserve"> 横拉φ48*2.0钢管</w:t>
                  </w:r>
                  <w:r>
                    <w:br/>
                  </w:r>
                  <w:r>
                    <w:rPr>
                      <w:rFonts w:ascii="仿宋_GB2312" w:hAnsi="仿宋_GB2312" w:cs="仿宋_GB2312" w:eastAsia="仿宋_GB2312"/>
                      <w:sz w:val="22"/>
                      <w:color w:val="000000"/>
                    </w:rPr>
                    <w:t xml:space="preserve"> 支撑斜梁：20*40*2.0矩管</w:t>
                  </w:r>
                  <w:r>
                    <w:br/>
                  </w:r>
                  <w:r>
                    <w:rPr>
                      <w:rFonts w:ascii="仿宋_GB2312" w:hAnsi="仿宋_GB2312" w:cs="仿宋_GB2312" w:eastAsia="仿宋_GB2312"/>
                      <w:sz w:val="22"/>
                      <w:color w:val="000000"/>
                    </w:rPr>
                    <w:t xml:space="preserve"> 台面钢架50*30*2.5矩管</w:t>
                  </w:r>
                  <w:r>
                    <w:br/>
                  </w:r>
                  <w:r>
                    <w:rPr>
                      <w:rFonts w:ascii="仿宋_GB2312" w:hAnsi="仿宋_GB2312" w:cs="仿宋_GB2312" w:eastAsia="仿宋_GB2312"/>
                      <w:sz w:val="22"/>
                      <w:color w:val="000000"/>
                    </w:rPr>
                    <w:t xml:space="preserve"> 台面钢板3mm防滑花纹板</w:t>
                  </w:r>
                  <w:r>
                    <w:br/>
                  </w:r>
                  <w:r>
                    <w:rPr>
                      <w:rFonts w:ascii="仿宋_GB2312" w:hAnsi="仿宋_GB2312" w:cs="仿宋_GB2312" w:eastAsia="仿宋_GB2312"/>
                      <w:sz w:val="22"/>
                      <w:color w:val="000000"/>
                    </w:rPr>
                    <w:t xml:space="preserve"> 护栏φ32*2.0钢管</w:t>
                  </w:r>
                  <w:r>
                    <w:br/>
                  </w:r>
                  <w:r>
                    <w:rPr>
                      <w:rFonts w:ascii="仿宋_GB2312" w:hAnsi="仿宋_GB2312" w:cs="仿宋_GB2312" w:eastAsia="仿宋_GB2312"/>
                      <w:sz w:val="22"/>
                      <w:color w:val="000000"/>
                    </w:rPr>
                    <w:t xml:space="preserve"> 3、看台所有钢构件均经酸洗后静电喷涂防锈处理</w:t>
                  </w:r>
                  <w:r>
                    <w:br/>
                  </w:r>
                  <w:r>
                    <w:rPr>
                      <w:rFonts w:ascii="仿宋_GB2312" w:hAnsi="仿宋_GB2312" w:cs="仿宋_GB2312" w:eastAsia="仿宋_GB2312"/>
                      <w:sz w:val="22"/>
                      <w:color w:val="000000"/>
                    </w:rPr>
                    <w:t xml:space="preserve"> 4、座椅参数</w:t>
                  </w:r>
                  <w:r>
                    <w:br/>
                  </w:r>
                  <w:r>
                    <w:rPr>
                      <w:rFonts w:ascii="仿宋_GB2312" w:hAnsi="仿宋_GB2312" w:cs="仿宋_GB2312" w:eastAsia="仿宋_GB2312"/>
                      <w:sz w:val="22"/>
                      <w:color w:val="000000"/>
                    </w:rPr>
                    <w:t xml:space="preserve"> 座椅材质：高密度聚乙烯</w:t>
                  </w:r>
                  <w:r>
                    <w:br/>
                  </w:r>
                  <w:r>
                    <w:rPr>
                      <w:rFonts w:ascii="仿宋_GB2312" w:hAnsi="仿宋_GB2312" w:cs="仿宋_GB2312" w:eastAsia="仿宋_GB2312"/>
                      <w:sz w:val="22"/>
                      <w:color w:val="000000"/>
                    </w:rPr>
                    <w:t xml:space="preserve"> 座椅尺寸：座宽×座深×背高=420×420×180（㎜）</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620</w:t>
                  </w: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4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可拆卸拼装看台结构</w:t>
                  </w:r>
                </w:p>
              </w:tc>
              <w:tc>
                <w:tcPr>
                  <w:tcW w:type="dxa" w:w="16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1、构采用标准件、模块化设计，看台的各种部件，如立柱，横撑、斜撑、踏板，护栏，座椅等，皆可随意搭配组装。</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620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自合同签订后30日历天内安装调试完毕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预付款，本次采购无预付款。 2、经项目管理单位验收合格，一次性支付合同总价款的100%。 3、结算单位：由甲方负责结算，乙方开具合同总价数的全额发票交采购人 ，达到付款条件起 5 日内，支付合同总金额的 100.00%。，达到付款条件起5个工作日内，支付合同总金额的100.0%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协商，法律途径解决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财务状况审查</w:t>
            </w:r>
          </w:p>
        </w:tc>
        <w:tc>
          <w:tcPr>
            <w:tcW w:type="dxa" w:w="3322"/>
          </w:tcPr>
          <w:p>
            <w:pPr>
              <w:pStyle w:val="null3"/>
            </w:pPr>
            <w:r>
              <w:rPr>
                <w:rFonts w:ascii="仿宋_GB2312" w:hAnsi="仿宋_GB2312" w:cs="仿宋_GB2312" w:eastAsia="仿宋_GB2312"/>
              </w:rPr>
              <w:t>提供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社保缴纳审查</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税收缴纳审查</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法定代表人授权委托书审查</w:t>
            </w:r>
          </w:p>
        </w:tc>
        <w:tc>
          <w:tcPr>
            <w:tcW w:type="dxa" w:w="3322"/>
          </w:tcPr>
          <w:p>
            <w:pPr>
              <w:pStyle w:val="null3"/>
            </w:pPr>
            <w:r>
              <w:rPr>
                <w:rFonts w:ascii="仿宋_GB2312" w:hAnsi="仿宋_GB2312" w:cs="仿宋_GB2312" w:eastAsia="仿宋_GB2312"/>
              </w:rPr>
              <w:t>法定代表人直接参加投标的，须出具法定代表人身份证及法定代表人身份证明，法定代表人授权代表参加投标的，须出具法定代表人授权书及授权代表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的承诺书；未为本项目提供整体设计、规范编制或者项目管理、监理、检测等服务的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单位负责人为同一人或者存在直接控股、管理关系的供应商，不得参加同一合同下的政府采购活动的承诺书；供应商需在项目电子化交易系统中按要求上传相应证明文件并进行电子签章。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本项目不接受联合体投标的承诺书；供应商需在项目电子化交易系统中按要求上传相应证明文件并进行电子签章。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1.报价未超过采购预算，且报价唯一。 2.报价货币符合招标文件要求。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不少于磋商有效期（90天）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投标产品、数量符合采购文件的要求。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按照磋商文件格式要求签署盖章。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方案.docx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技术项完全满足招标文件技术指标要求的，得30分，每负偏离一项扣0.5分，扣完为止。 注：未按招标文件要求提供相关检验报告或者证明的都视为负偏离（如应答时缺项，则视同负偏离处理）。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 ① 实施计划：② 供货、安装、调试方案：③ 验收措施：④ 物力调配的相应保障措施。 二、评审标准 1、完整性：方案须全面，对评审内容中的各项要求描述详细； 2、可实施性：切合本项目实际情况，实施步骤清晰、合理； 3、针对性：方案能够紧扣项目实际情况，内容科学合理。 三、赋分依据（满分 12 分） ①实施计划：每完全满足一个评审标准得 1 分，满分 3 分； ②供货、安装、调试方案:每完全满足一个评审标准得 1 分，满分 3 分； ③验收措施:每完全满足一个评审标准得 1 分，满分 3 分； ④物力调配的相应保障措施：每完全满足一个评审标准得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产品质量保障措施</w:t>
            </w:r>
          </w:p>
        </w:tc>
        <w:tc>
          <w:tcPr>
            <w:tcW w:type="dxa" w:w="2492"/>
          </w:tcPr>
          <w:p>
            <w:pPr>
              <w:pStyle w:val="null3"/>
            </w:pPr>
            <w:r>
              <w:rPr>
                <w:rFonts w:ascii="仿宋_GB2312" w:hAnsi="仿宋_GB2312" w:cs="仿宋_GB2312" w:eastAsia="仿宋_GB2312"/>
              </w:rPr>
              <w:t>一、评审内容 根据本项目实际需求及特点，提出产品质量保障措施，包括： ①质量控制目标②质量控制流程③质量保障计划。 二、评审标准 1、完整性：内容完整，包含全部评审内容，无缺漏； 2、可实施性：内容描述合理，逻辑性强，符合行业规范； 3、针对性：内容切合本项目实际情况，考虑到本项目采购内容、工期、场地、人员协调、外部因素等情况。 三、赋分标准（满分4.5分） ① 质量控制目标：每满足一项评审标准得0.5分，满分1.5分； ② 质量控制流程：每满足一项评审标准得0.5分，满分1.5分； ③ 质量保障计划：每满足一项评审标准得0.5分，满分1.5分。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针对本项目提供培训方案，为采购人培训操作维护人员，以保障 使用过程中能熟练操作、维护和正常使用，培训方案内容包含①培训内容②培训计划安排。 二、评审标准 1、完整性：切合本项目实际情况，方案内容齐全，对招标文件中 各项要求有详细描述及其他内容的补充； 2、科学性：切合本项目实际情况，叙述清楚，符合客观实际情况； 3、合理性：方案内容符合项目实际特点，合理、恰当。 三、赋分依据（满分 3 分） ①培训内容：每完全满足一个评审标准得 0.5 分，满分 1.5 分； ②培训计划安排：每完全满足一个评审标准得 0.5 分，满分 1.5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 ①售后服务范围及保障措施 ②故障处理及补救措施 ③售后回访巡检计划 二、评审标准 1.完整性：方案须全面，对评审内容中的各项要求有详细描述； 2.可实施性：切合本项目实际情况，提出步骤清晰、合理的方案； 3.针对性：方案能够紧扣项目实际情况，内容科学合理。 三、赋分依据（满分4.5分） ①售后服务范围及保障措施：每完全满足一个评审标准得0.5分， 满分1.5分； ②故障处理及补救措施: :每完全满足一个评审标准得0.5分，满分1.5分； ③售后回访巡检计划：每完全满足一个评审标准得0.5分，满分 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质保期及其他承诺</w:t>
            </w:r>
          </w:p>
        </w:tc>
        <w:tc>
          <w:tcPr>
            <w:tcW w:type="dxa" w:w="2492"/>
          </w:tcPr>
          <w:p>
            <w:pPr>
              <w:pStyle w:val="null3"/>
            </w:pPr>
            <w:r>
              <w:rPr>
                <w:rFonts w:ascii="仿宋_GB2312" w:hAnsi="仿宋_GB2312" w:cs="仿宋_GB2312" w:eastAsia="仿宋_GB2312"/>
              </w:rPr>
              <w:t>1、承诺质保期高于招标文件要求的，每增加一年得 1 分，满分2分。无承诺不得分。 2、投标人针对本项目提供其他有利于本项目开展的承诺，每提供一条得1分，满分5分。不承诺不得分。 评审依据：投标文件中提供加盖投标人公章的承诺函 （须明确质保年限），否则不得分。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投标人所投产品为“节能产品政府采购品目清单”、“环境标志产品政府采购品目清单”内的，投标产品（包括零件、材料等）中每有一项为节能产品、环境标志产品经国家认证的得2分，满分4分。 评审依据：提供经国家确定的认证机构出具的、处于有效期内的节能产品认证证书。</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投标人每提供一份2023年1月1日至今同类项目供货业绩计1分，最高得5分。注：①业绩以合同为准，时间以合同签订时间为准。②需提供完整合同扫描件。评审依据：提供合同复印件并加盖投标人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