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版本号：YSY2026-CG-01220260525001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镇巴县黑虎梁隧道、潘家河隧道照明系统维修改造工程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YSY2026-CG-012</w:t>
      </w:r>
      <w:r>
        <w:br/>
      </w:r>
      <w:r>
        <w:br/>
      </w:r>
      <w:r>
        <w:br/>
      </w:r>
    </w:p>
    <w:p>
      <w:pPr>
        <w:pStyle w:val="null3"/>
        <w:jc w:val="center"/>
        <w:outlineLvl w:val="2"/>
      </w:pPr>
      <w:r>
        <w:rPr>
          <w:rFonts w:ascii="仿宋_GB2312" w:hAnsi="仿宋_GB2312" w:cs="仿宋_GB2312" w:eastAsia="仿宋_GB2312"/>
          <w:sz w:val="28"/>
          <w:b/>
        </w:rPr>
        <w:t>镇巴县交通运输局</w:t>
      </w:r>
    </w:p>
    <w:p>
      <w:pPr>
        <w:pStyle w:val="null3"/>
        <w:jc w:val="center"/>
        <w:outlineLvl w:val="2"/>
      </w:pPr>
      <w:r>
        <w:rPr>
          <w:rFonts w:ascii="仿宋_GB2312" w:hAnsi="仿宋_GB2312" w:cs="仿宋_GB2312" w:eastAsia="仿宋_GB2312"/>
          <w:sz w:val="28"/>
          <w:b/>
        </w:rPr>
        <w:t>陕西亿胜元项目管理有限公司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陕西亿胜元项目管理有限公司</w:t>
      </w:r>
      <w:r>
        <w:rPr>
          <w:rFonts w:ascii="仿宋_GB2312" w:hAnsi="仿宋_GB2312" w:cs="仿宋_GB2312" w:eastAsia="仿宋_GB2312"/>
        </w:rPr>
        <w:t>（以下简称“代理机构”）受</w:t>
      </w:r>
      <w:r>
        <w:rPr>
          <w:rFonts w:ascii="仿宋_GB2312" w:hAnsi="仿宋_GB2312" w:cs="仿宋_GB2312" w:eastAsia="仿宋_GB2312"/>
        </w:rPr>
        <w:t>镇巴县交通运输局</w:t>
      </w:r>
      <w:r>
        <w:rPr>
          <w:rFonts w:ascii="仿宋_GB2312" w:hAnsi="仿宋_GB2312" w:cs="仿宋_GB2312" w:eastAsia="仿宋_GB2312"/>
        </w:rPr>
        <w:t>委托，拟对</w:t>
      </w:r>
      <w:r>
        <w:rPr>
          <w:rFonts w:ascii="仿宋_GB2312" w:hAnsi="仿宋_GB2312" w:cs="仿宋_GB2312" w:eastAsia="仿宋_GB2312"/>
        </w:rPr>
        <w:t>镇巴县黑虎梁隧道、潘家河隧道照明系统维修改造工程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YSY2026-CG-012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镇巴县黑虎梁隧道、潘家河隧道照明系统维修改造工程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黑虎梁隧道、潘家河隧道照明系统维修改造工程建设地点镇巴县黑虎梁隧道、潘家河隧道，主要建设内容：LED隧道灯、电力电缆、金属波纹管、隧道照明智能控制器、路灯照明智能控制器、断路器、系统调试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采购包1（镇巴县黑虎梁隧道、潘家河隧道照明系统维修改造工程）：属于专门面向中小企业采购。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1、有效的主体资格：供应商为具有独立承担民事责任能力的企业法人、事业法人、其他组织，提供营业执照（事业单位须事业单位法人证、组织机构代码证等证明文件；其他组织应提供合法证明文件）；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具有行政主管部门核发的公路交通工程专业（公路机电工程分项）二级（含二级）及以上资质或公路工程施工总承包三级（含三级）及以上资质，且具有有效的安全生产许可证；拟派项目经理须具备机电工程或公路工程专业二级（含二级）以上注册建造师资格和安全生产考核合格B证，且无在建项目。</w:t>
      </w:r>
    </w:p>
    <w:p>
      <w:pPr>
        <w:pStyle w:val="null3"/>
      </w:pPr>
      <w:r>
        <w:rPr>
          <w:rFonts w:ascii="仿宋_GB2312" w:hAnsi="仿宋_GB2312" w:cs="仿宋_GB2312" w:eastAsia="仿宋_GB2312"/>
        </w:rPr>
        <w:t>4、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5、联合体：本项目不接受联合体投标。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19991605011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陕西亿胜元项目管理有限公司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陕西省汉中市汉台区东一环与风景路交汇处中饮办公中心C区-8F</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0916-2102199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采购包1：347,664.00元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开户名称：陕西亿胜元项目管理有限公司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银行账号：102513126064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镇巴县交通运输局</w:t>
      </w:r>
      <w:r>
        <w:rPr>
          <w:rFonts w:ascii="仿宋_GB2312" w:hAnsi="仿宋_GB2312" w:cs="仿宋_GB2312" w:eastAsia="仿宋_GB2312"/>
        </w:rPr>
        <w:t>和</w:t>
      </w:r>
      <w:r>
        <w:rPr>
          <w:rFonts w:ascii="仿宋_GB2312" w:hAnsi="仿宋_GB2312" w:cs="仿宋_GB2312" w:eastAsia="仿宋_GB2312"/>
        </w:rPr>
        <w:t>陕西亿胜元项目管理有限公司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陕西亿胜元项目管理有限公司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陕西亿胜元项目管理有限公司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联系人：鲁工</w:t>
      </w:r>
    </w:p>
    <w:p>
      <w:pPr>
        <w:pStyle w:val="null3"/>
      </w:pPr>
      <w:r>
        <w:rPr>
          <w:rFonts w:ascii="仿宋_GB2312" w:hAnsi="仿宋_GB2312" w:cs="仿宋_GB2312" w:eastAsia="仿宋_GB2312"/>
        </w:rPr>
        <w:t>联系电话：0916-2102199</w:t>
      </w:r>
    </w:p>
    <w:p>
      <w:pPr>
        <w:pStyle w:val="null3"/>
      </w:pPr>
      <w:r>
        <w:rPr>
          <w:rFonts w:ascii="仿宋_GB2312" w:hAnsi="仿宋_GB2312" w:cs="仿宋_GB2312" w:eastAsia="仿宋_GB2312"/>
        </w:rPr>
        <w:t>地址：汉中市汉台区东一环与风景路交汇处中饮办公中心C区-8F</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347,664.00</w:t>
      </w:r>
    </w:p>
    <w:p>
      <w:pPr>
        <w:pStyle w:val="null3"/>
      </w:pPr>
      <w:r>
        <w:rPr>
          <w:rFonts w:ascii="仿宋_GB2312" w:hAnsi="仿宋_GB2312" w:cs="仿宋_GB2312" w:eastAsia="仿宋_GB2312"/>
        </w:rPr>
        <w:t>采购包最高限价（元）: 347,664.00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镇巴县黑虎梁隧道及潘家河隧道照明系统维修改造工程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347,664.00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标的名称：镇巴县黑虎梁隧道及潘家河隧道照明系统维修改造工程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一、工程</w:t>
            </w:r>
            <w:r>
              <w:rPr>
                <w:rFonts w:ascii="仿宋_GB2312" w:hAnsi="仿宋_GB2312" w:cs="仿宋_GB2312" w:eastAsia="仿宋_GB2312"/>
                <w:sz w:val="28"/>
                <w:b/>
              </w:rPr>
              <w:t>概况：</w:t>
            </w:r>
          </w:p>
          <w:p>
            <w:pPr>
              <w:pStyle w:val="null3"/>
              <w:ind w:firstLine="560"/>
              <w:jc w:val="both"/>
            </w:pPr>
            <w:r>
              <w:rPr>
                <w:rFonts w:ascii="仿宋_GB2312" w:hAnsi="仿宋_GB2312" w:cs="仿宋_GB2312" w:eastAsia="仿宋_GB2312"/>
                <w:sz w:val="28"/>
              </w:rPr>
              <w:t>镇巴县黑虎梁隧道及潘家河隧道照明系统维修改造工程，</w:t>
            </w:r>
            <w:r>
              <w:rPr>
                <w:rFonts w:ascii="仿宋_GB2312" w:hAnsi="仿宋_GB2312" w:cs="仿宋_GB2312" w:eastAsia="仿宋_GB2312"/>
                <w:sz w:val="28"/>
              </w:rPr>
              <w:t>主要建设内容：</w:t>
            </w:r>
            <w:r>
              <w:rPr>
                <w:rFonts w:ascii="仿宋_GB2312" w:hAnsi="仿宋_GB2312" w:cs="仿宋_GB2312" w:eastAsia="仿宋_GB2312"/>
                <w:sz w:val="28"/>
              </w:rPr>
              <w:t>LED隧道灯、电力电缆、金属波纹管、隧道照明智能控制器、路灯照明智能控制器、断路器、系统调试等</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二、编制范围：</w:t>
            </w:r>
          </w:p>
          <w:p>
            <w:pPr>
              <w:pStyle w:val="null3"/>
              <w:ind w:firstLine="420"/>
              <w:jc w:val="both"/>
            </w:pPr>
            <w:r>
              <w:rPr>
                <w:rFonts w:ascii="仿宋_GB2312" w:hAnsi="仿宋_GB2312" w:cs="仿宋_GB2312" w:eastAsia="仿宋_GB2312"/>
                <w:sz w:val="28"/>
              </w:rPr>
              <w:t>详见工程量清单。</w:t>
            </w:r>
          </w:p>
          <w:p>
            <w:pPr>
              <w:pStyle w:val="null3"/>
              <w:jc w:val="both"/>
            </w:pPr>
            <w:r>
              <w:rPr>
                <w:rFonts w:ascii="仿宋_GB2312" w:hAnsi="仿宋_GB2312" w:cs="仿宋_GB2312" w:eastAsia="仿宋_GB2312"/>
                <w:sz w:val="28"/>
                <w:b/>
              </w:rPr>
              <w:t>三、编制依据：</w:t>
            </w:r>
          </w:p>
          <w:p>
            <w:pPr>
              <w:pStyle w:val="null3"/>
              <w:ind w:firstLine="420"/>
              <w:jc w:val="both"/>
            </w:pPr>
            <w:r>
              <w:rPr>
                <w:rFonts w:ascii="仿宋_GB2312" w:hAnsi="仿宋_GB2312" w:cs="仿宋_GB2312" w:eastAsia="仿宋_GB2312"/>
                <w:sz w:val="28"/>
              </w:rPr>
              <w:t>1、</w:t>
            </w:r>
            <w:r>
              <w:rPr>
                <w:rFonts w:ascii="仿宋_GB2312" w:hAnsi="仿宋_GB2312" w:cs="仿宋_GB2312" w:eastAsia="仿宋_GB2312"/>
                <w:sz w:val="28"/>
              </w:rPr>
              <w:t>《公路工程基本建设项目概算预算编制办法》（</w:t>
            </w:r>
            <w:r>
              <w:rPr>
                <w:rFonts w:ascii="仿宋_GB2312" w:hAnsi="仿宋_GB2312" w:cs="仿宋_GB2312" w:eastAsia="仿宋_GB2312"/>
                <w:sz w:val="28"/>
              </w:rPr>
              <w:t>JTG3830—2018）；</w:t>
            </w:r>
          </w:p>
          <w:p>
            <w:pPr>
              <w:pStyle w:val="null3"/>
              <w:ind w:firstLine="420"/>
              <w:jc w:val="both"/>
            </w:pPr>
            <w:r>
              <w:rPr>
                <w:rFonts w:ascii="仿宋_GB2312" w:hAnsi="仿宋_GB2312" w:cs="仿宋_GB2312" w:eastAsia="仿宋_GB2312"/>
                <w:sz w:val="28"/>
              </w:rPr>
              <w:t>2、</w:t>
            </w:r>
            <w:r>
              <w:rPr>
                <w:rFonts w:ascii="仿宋_GB2312" w:hAnsi="仿宋_GB2312" w:cs="仿宋_GB2312" w:eastAsia="仿宋_GB2312"/>
                <w:sz w:val="28"/>
              </w:rPr>
              <w:t>《公路工程预算定额》（</w:t>
            </w:r>
            <w:r>
              <w:rPr>
                <w:rFonts w:ascii="仿宋_GB2312" w:hAnsi="仿宋_GB2312" w:cs="仿宋_GB2312" w:eastAsia="仿宋_GB2312"/>
                <w:sz w:val="28"/>
              </w:rPr>
              <w:t>JTG/T3832—2018）和《公路工程机械台班费用定额》（JTG/T3833—2018）；</w:t>
            </w:r>
          </w:p>
          <w:p>
            <w:pPr>
              <w:pStyle w:val="null3"/>
              <w:ind w:firstLine="480"/>
              <w:jc w:val="both"/>
            </w:pPr>
            <w:r>
              <w:rPr>
                <w:rFonts w:ascii="仿宋_GB2312" w:hAnsi="仿宋_GB2312" w:cs="仿宋_GB2312" w:eastAsia="仿宋_GB2312"/>
                <w:sz w:val="32"/>
              </w:rPr>
              <w:t>3、</w:t>
            </w:r>
            <w:r>
              <w:rPr>
                <w:rFonts w:ascii="仿宋_GB2312" w:hAnsi="仿宋_GB2312" w:cs="仿宋_GB2312" w:eastAsia="仿宋_GB2312"/>
                <w:sz w:val="28"/>
              </w:rPr>
              <w:t>陕西省交通运输厅关于执行交通运输部《公路工程营业税改增值税计价依据调整方案》的通知（陕交函〔</w:t>
            </w:r>
            <w:r>
              <w:rPr>
                <w:rFonts w:ascii="仿宋_GB2312" w:hAnsi="仿宋_GB2312" w:cs="仿宋_GB2312" w:eastAsia="仿宋_GB2312"/>
                <w:sz w:val="28"/>
              </w:rPr>
              <w:t>2016〕475号）及交通运输部公告（第26号）关于调整《公路工程建设项目投资估算编制办法》（JTG3820-2018）和《公路工程建设项目概算预算编制办法》（JTG3830-2018）中“税金”有关公告；</w:t>
            </w:r>
          </w:p>
          <w:p>
            <w:pPr>
              <w:pStyle w:val="null3"/>
              <w:ind w:firstLine="420"/>
              <w:jc w:val="both"/>
            </w:pPr>
            <w:r>
              <w:rPr>
                <w:rFonts w:ascii="仿宋_GB2312" w:hAnsi="仿宋_GB2312" w:cs="仿宋_GB2312" w:eastAsia="仿宋_GB2312"/>
                <w:sz w:val="28"/>
              </w:rPr>
              <w:t>4</w:t>
            </w:r>
            <w:r>
              <w:rPr>
                <w:rFonts w:ascii="仿宋_GB2312" w:hAnsi="仿宋_GB2312" w:cs="仿宋_GB2312" w:eastAsia="仿宋_GB2312"/>
                <w:sz w:val="28"/>
              </w:rPr>
              <w:t>、交通运输部颁布的《公路工程标准施工招标文件》（</w:t>
            </w:r>
            <w:r>
              <w:rPr>
                <w:rFonts w:ascii="仿宋_GB2312" w:hAnsi="仿宋_GB2312" w:cs="仿宋_GB2312" w:eastAsia="仿宋_GB2312"/>
                <w:sz w:val="28"/>
              </w:rPr>
              <w:t>20</w:t>
            </w:r>
            <w:r>
              <w:rPr>
                <w:rFonts w:ascii="仿宋_GB2312" w:hAnsi="仿宋_GB2312" w:cs="仿宋_GB2312" w:eastAsia="仿宋_GB2312"/>
                <w:sz w:val="28"/>
              </w:rPr>
              <w:t>18年版）；</w:t>
            </w:r>
          </w:p>
          <w:p>
            <w:pPr>
              <w:pStyle w:val="null3"/>
              <w:ind w:firstLine="420"/>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陕西省交通运输厅关于《公路工程基本建设项目概算预算编制办法》补充规定的通知陕交发（</w:t>
            </w:r>
            <w:r>
              <w:rPr>
                <w:rFonts w:ascii="仿宋_GB2312" w:hAnsi="仿宋_GB2312" w:cs="仿宋_GB2312" w:eastAsia="仿宋_GB2312"/>
                <w:sz w:val="28"/>
              </w:rPr>
              <w:t>2019）93号文件；</w:t>
            </w:r>
          </w:p>
          <w:p>
            <w:pPr>
              <w:pStyle w:val="null3"/>
              <w:ind w:firstLine="420"/>
              <w:jc w:val="both"/>
            </w:pPr>
            <w:r>
              <w:rPr>
                <w:rFonts w:ascii="仿宋_GB2312" w:hAnsi="仿宋_GB2312" w:cs="仿宋_GB2312" w:eastAsia="仿宋_GB2312"/>
                <w:sz w:val="28"/>
              </w:rPr>
              <w:t>6</w:t>
            </w:r>
            <w:r>
              <w:rPr>
                <w:rFonts w:ascii="仿宋_GB2312" w:hAnsi="仿宋_GB2312" w:cs="仿宋_GB2312" w:eastAsia="仿宋_GB2312"/>
                <w:sz w:val="28"/>
              </w:rPr>
              <w:t>、陕西省交通运输工程造价事务中心《关于印发陕西省公路主要参考运杂</w:t>
            </w:r>
          </w:p>
          <w:p>
            <w:pPr>
              <w:pStyle w:val="null3"/>
              <w:jc w:val="both"/>
            </w:pPr>
            <w:r>
              <w:rPr>
                <w:rFonts w:ascii="仿宋_GB2312" w:hAnsi="仿宋_GB2312" w:cs="仿宋_GB2312" w:eastAsia="仿宋_GB2312"/>
                <w:sz w:val="28"/>
              </w:rPr>
              <w:t>费参考标准的通知》。</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取费情况</w:t>
            </w:r>
            <w:r>
              <w:rPr>
                <w:rFonts w:ascii="仿宋_GB2312" w:hAnsi="仿宋_GB2312" w:cs="仿宋_GB2312" w:eastAsia="仿宋_GB2312"/>
                <w:sz w:val="28"/>
                <w:b/>
              </w:rPr>
              <w:t>：</w:t>
            </w:r>
          </w:p>
          <w:p>
            <w:pPr>
              <w:pStyle w:val="null3"/>
              <w:ind w:firstLine="420"/>
              <w:jc w:val="both"/>
            </w:pPr>
            <w:r>
              <w:rPr>
                <w:rFonts w:ascii="仿宋_GB2312" w:hAnsi="仿宋_GB2312" w:cs="仿宋_GB2312" w:eastAsia="仿宋_GB2312"/>
                <w:sz w:val="28"/>
              </w:rPr>
              <w:t>1、人工单价：按105.89元/工日计取；</w:t>
            </w:r>
          </w:p>
          <w:p>
            <w:pPr>
              <w:pStyle w:val="null3"/>
              <w:ind w:firstLine="420"/>
              <w:jc w:val="both"/>
            </w:pPr>
            <w:r>
              <w:rPr>
                <w:rFonts w:ascii="仿宋_GB2312" w:hAnsi="仿宋_GB2312" w:cs="仿宋_GB2312" w:eastAsia="仿宋_GB2312"/>
                <w:sz w:val="28"/>
              </w:rPr>
              <w:t>2、措施费</w:t>
            </w:r>
            <w:r>
              <w:rPr>
                <w:rFonts w:ascii="仿宋_GB2312" w:hAnsi="仿宋_GB2312" w:cs="仿宋_GB2312" w:eastAsia="仿宋_GB2312"/>
                <w:sz w:val="28"/>
              </w:rPr>
              <w:t>：</w:t>
            </w:r>
            <w:r>
              <w:rPr>
                <w:rFonts w:ascii="仿宋_GB2312" w:hAnsi="仿宋_GB2312" w:cs="仿宋_GB2312" w:eastAsia="仿宋_GB2312"/>
                <w:sz w:val="28"/>
              </w:rPr>
              <w:t>按规定计取冬季、雨季、夜间施工费；高原、风沙、沿海施工、行车干扰、工地转移不计取</w:t>
            </w:r>
            <w:r>
              <w:rPr>
                <w:rFonts w:ascii="仿宋_GB2312" w:hAnsi="仿宋_GB2312" w:cs="仿宋_GB2312" w:eastAsia="仿宋_GB2312"/>
                <w:sz w:val="28"/>
              </w:rPr>
              <w:t>，</w:t>
            </w:r>
            <w:r>
              <w:rPr>
                <w:rFonts w:ascii="仿宋_GB2312" w:hAnsi="仿宋_GB2312" w:cs="仿宋_GB2312" w:eastAsia="仿宋_GB2312"/>
                <w:sz w:val="28"/>
              </w:rPr>
              <w:t>施工辅助计取；</w:t>
            </w:r>
          </w:p>
          <w:p>
            <w:pPr>
              <w:pStyle w:val="null3"/>
              <w:ind w:firstLine="420"/>
              <w:jc w:val="both"/>
            </w:pPr>
            <w:r>
              <w:rPr>
                <w:rFonts w:ascii="仿宋_GB2312" w:hAnsi="仿宋_GB2312" w:cs="仿宋_GB2312" w:eastAsia="仿宋_GB2312"/>
                <w:sz w:val="28"/>
              </w:rPr>
              <w:t>3、企业管理费：基本费用计取，综合里程、职工探亲、职工取暖、财务费用、辅助生产不计取</w:t>
            </w:r>
            <w:r>
              <w:rPr>
                <w:rFonts w:ascii="仿宋_GB2312" w:hAnsi="仿宋_GB2312" w:cs="仿宋_GB2312" w:eastAsia="仿宋_GB2312"/>
                <w:sz w:val="28"/>
              </w:rPr>
              <w:t>，</w:t>
            </w:r>
            <w:r>
              <w:rPr>
                <w:rFonts w:ascii="仿宋_GB2312" w:hAnsi="仿宋_GB2312" w:cs="仿宋_GB2312" w:eastAsia="仿宋_GB2312"/>
                <w:sz w:val="28"/>
              </w:rPr>
              <w:t>利润计取；</w:t>
            </w:r>
          </w:p>
          <w:p>
            <w:pPr>
              <w:pStyle w:val="null3"/>
              <w:ind w:firstLine="420"/>
              <w:jc w:val="both"/>
            </w:pPr>
            <w:r>
              <w:rPr>
                <w:rFonts w:ascii="仿宋_GB2312" w:hAnsi="仿宋_GB2312" w:cs="仿宋_GB2312" w:eastAsia="仿宋_GB2312"/>
                <w:sz w:val="28"/>
              </w:rPr>
              <w:t>4、规费</w:t>
            </w:r>
            <w:r>
              <w:rPr>
                <w:rFonts w:ascii="仿宋_GB2312" w:hAnsi="仿宋_GB2312" w:cs="仿宋_GB2312" w:eastAsia="仿宋_GB2312"/>
                <w:sz w:val="28"/>
              </w:rPr>
              <w:t>：</w:t>
            </w:r>
            <w:r>
              <w:rPr>
                <w:rFonts w:ascii="仿宋_GB2312" w:hAnsi="仿宋_GB2312" w:cs="仿宋_GB2312" w:eastAsia="仿宋_GB2312"/>
                <w:sz w:val="28"/>
              </w:rPr>
              <w:t>按陕西省有关规定为人工费的</w:t>
            </w:r>
            <w:r>
              <w:rPr>
                <w:rFonts w:ascii="仿宋_GB2312" w:hAnsi="仿宋_GB2312" w:cs="仿宋_GB2312" w:eastAsia="仿宋_GB2312"/>
                <w:sz w:val="28"/>
              </w:rPr>
              <w:t>33.36%；</w:t>
            </w:r>
          </w:p>
          <w:p>
            <w:pPr>
              <w:pStyle w:val="null3"/>
              <w:ind w:firstLine="420"/>
              <w:jc w:val="both"/>
            </w:pPr>
            <w:r>
              <w:rPr>
                <w:rFonts w:ascii="仿宋_GB2312" w:hAnsi="仿宋_GB2312" w:cs="仿宋_GB2312" w:eastAsia="仿宋_GB2312"/>
                <w:sz w:val="28"/>
              </w:rPr>
              <w:t>5、工程一切险为</w:t>
            </w:r>
            <w:r>
              <w:rPr>
                <w:rFonts w:ascii="仿宋_GB2312" w:hAnsi="仿宋_GB2312" w:cs="仿宋_GB2312" w:eastAsia="仿宋_GB2312"/>
                <w:sz w:val="28"/>
              </w:rPr>
              <w:t>100章-700章之和（不含一切险和第三者责任险）的0.3%</w:t>
            </w:r>
            <w:r>
              <w:rPr>
                <w:rFonts w:ascii="仿宋_GB2312" w:hAnsi="仿宋_GB2312" w:cs="仿宋_GB2312" w:eastAsia="仿宋_GB2312"/>
                <w:sz w:val="28"/>
              </w:rPr>
              <w:t>，第三责任险为</w:t>
            </w:r>
            <w:r>
              <w:rPr>
                <w:rFonts w:ascii="仿宋_GB2312" w:hAnsi="仿宋_GB2312" w:cs="仿宋_GB2312" w:eastAsia="仿宋_GB2312"/>
                <w:sz w:val="28"/>
              </w:rPr>
              <w:t>100章-700章之和（不含一切险和第三者责任险）的0.1%，安全生产费为公示招标最高限价的1.5%；</w:t>
            </w:r>
          </w:p>
          <w:p>
            <w:pPr>
              <w:pStyle w:val="null3"/>
              <w:ind w:firstLine="420"/>
              <w:jc w:val="both"/>
            </w:pPr>
            <w:r>
              <w:rPr>
                <w:rFonts w:ascii="仿宋_GB2312" w:hAnsi="仿宋_GB2312" w:cs="仿宋_GB2312" w:eastAsia="仿宋_GB2312"/>
                <w:sz w:val="28"/>
              </w:rPr>
              <w:t>6、利润率7.42%，税率9%</w:t>
            </w:r>
            <w:r>
              <w:rPr>
                <w:rFonts w:ascii="仿宋_GB2312" w:hAnsi="仿宋_GB2312" w:cs="仿宋_GB2312" w:eastAsia="仿宋_GB2312"/>
                <w:sz w:val="28"/>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交通工程专业（公路机电工程分项）二级（含二级）及以上资质或公路工程施工总承包三级（含三级）及以上资质，且具有有效的安全生产许可证；拟派项目经理须具备机电工程或公路工程专业二级（含二级）以上注册建造师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供应商认为需要提供的其他内容.docx 响应文件封面 供应商应提交的相关资格证明材料.docx 技术响应方案.docx 拟投入本项目人员配置情况表.docx 残疾人福利性单位声明函 报价函 标的清单 供应商类似项目业绩一览表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供应商对该项目实施的重点、难点进行分析，对易发生质量通病、易出现安全问题、施工难度大、技术含量高的部分进行说明并给出施工保障措施和专项技术方案（含主要施工方法、组织措施等）。 ①．方案较详实，能贴合实际情况及技术标准，实用性一般，得 1-4 分； ②．方案较详实，贴合现场情况及施工标准，实用性较强，得 4.1-7 分； ③.方案详实，贴合现场情况及施工标准，实用性强，得 7.1-10 分； 此项未提供不得分。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工程质量保证体系及措施</w:t>
            </w:r>
          </w:p>
        </w:tc>
        <w:tc>
          <w:tcPr>
            <w:tcW w:type="dxa" w:w="2492"/>
          </w:tcPr>
          <w:p>
            <w:pPr>
              <w:pStyle w:val="null3"/>
            </w:pPr>
            <w:r>
              <w:rPr>
                <w:rFonts w:ascii="仿宋_GB2312" w:hAnsi="仿宋_GB2312" w:cs="仿宋_GB2312" w:eastAsia="仿宋_GB2312"/>
              </w:rPr>
              <w:t>①.工程质量管理体系及保证措施编制科学合理、 基本符合技术规范、质量标准得 1-3 分； ②．工程质量管理体系及保证措施编制科学较合理、较详尽、较符合技术规范、质量标准得 3.1-5 分； ③.工程质量管理体系及保证措施编制科学合理、完整详尽、全面符合技术规范、质量标准得 5.1-8 分； 此项未提供不得分。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安全生产管理体系及保证措施</w:t>
            </w:r>
          </w:p>
        </w:tc>
        <w:tc>
          <w:tcPr>
            <w:tcW w:type="dxa" w:w="2492"/>
          </w:tcPr>
          <w:p>
            <w:pPr>
              <w:pStyle w:val="null3"/>
            </w:pPr>
            <w:r>
              <w:rPr>
                <w:rFonts w:ascii="仿宋_GB2312" w:hAnsi="仿宋_GB2312" w:cs="仿宋_GB2312" w:eastAsia="仿宋_GB2312"/>
              </w:rPr>
              <w:t>①.安全生产管理体系及保证措施基本合理，具有一定的可行性,得 1-3 分； ②.安全生产管理体系及保证措施较合理，可行性较强，得 3.1-5 分； ③.安全生产管理体系及保证措施合理、可行性强，得 5.1-8 分；此项未提供不得分。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项目的材料及机具配备保证措施</w:t>
            </w:r>
          </w:p>
        </w:tc>
        <w:tc>
          <w:tcPr>
            <w:tcW w:type="dxa" w:w="2492"/>
          </w:tcPr>
          <w:p>
            <w:pPr>
              <w:pStyle w:val="null3"/>
            </w:pPr>
            <w:r>
              <w:rPr>
                <w:rFonts w:ascii="仿宋_GB2312" w:hAnsi="仿宋_GB2312" w:cs="仿宋_GB2312" w:eastAsia="仿宋_GB2312"/>
              </w:rPr>
              <w:t>①.有机具设备投入计划，计划较合理、基本符合本工程特点得1-3分； ②．有机具设备投入计划，且合理可行、有针对性、符合本工程特点得3.1-6分；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项目实施人员配备</w:t>
            </w:r>
          </w:p>
        </w:tc>
        <w:tc>
          <w:tcPr>
            <w:tcW w:type="dxa" w:w="2492"/>
          </w:tcPr>
          <w:p>
            <w:pPr>
              <w:pStyle w:val="null3"/>
            </w:pPr>
            <w:r>
              <w:rPr>
                <w:rFonts w:ascii="仿宋_GB2312" w:hAnsi="仿宋_GB2312" w:cs="仿宋_GB2312" w:eastAsia="仿宋_GB2312"/>
              </w:rPr>
              <w:t>项目部拟派人员组织机构科学合理、人员表配置充足，有详细的人员配置清单，针对性强，能够很好的满足项目需求，得4.1-6分；项目部组成基本合理、人员表配置基本齐全，具有人员配置清单，有一定的针对性，能够满足项目需求，得2.1-4.0分；项目部组成人员缺乏科学合理性，无人员配置清单，无法满足项目需求，得1.0-2.0分；未提供项目部组成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工期保证体系及保证措施</w:t>
            </w:r>
          </w:p>
        </w:tc>
        <w:tc>
          <w:tcPr>
            <w:tcW w:type="dxa" w:w="2492"/>
          </w:tcPr>
          <w:p>
            <w:pPr>
              <w:pStyle w:val="null3"/>
            </w:pPr>
            <w:r>
              <w:rPr>
                <w:rFonts w:ascii="仿宋_GB2312" w:hAnsi="仿宋_GB2312" w:cs="仿宋_GB2312" w:eastAsia="仿宋_GB2312"/>
              </w:rPr>
              <w:t>①. 工期保证体系及保证措施基本满足施工要求， 可行性一般，得1-3 分； ②.工期保证体系及保证措施较合理，可行性较强，得3.1-5分； ③.工期保证体系及保证措施合理、可行性强，得5.1-8分; 此项未提供不得分。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结合项目区域的特点，评审文明施工方案： ① .措施比较合理，对施工扬尘、噪音控制有基本安排，针对性和实施性一般，得 1-3 分； ② .措施有针对性，作业时间管控等合理且可实施性强，得 3.1-6 分； 此项未提供不得分。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根据投标人针对突发事件应急保障措施的可行性（包含恶劣天气影响、自然灾害等特殊情况制定应急处置方案等） ①.应急保障措施合理，具有一定实施性，得1-3分； ②.应急保障措施详尽、全面、有效、合理，可实施性强，得3.1-6分； 此项未提供不得分。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保修服务承诺</w:t>
            </w:r>
          </w:p>
        </w:tc>
        <w:tc>
          <w:tcPr>
            <w:tcW w:type="dxa" w:w="2492"/>
          </w:tcPr>
          <w:p>
            <w:pPr>
              <w:pStyle w:val="null3"/>
            </w:pPr>
            <w:r>
              <w:rPr>
                <w:rFonts w:ascii="仿宋_GB2312" w:hAnsi="仿宋_GB2312" w:cs="仿宋_GB2312" w:eastAsia="仿宋_GB2312"/>
              </w:rPr>
              <w:t>①．根据项目情况提供质量保修承诺及工程质保期内的售后服务承诺及说明，质量保修承诺一般得1-3分； ②．质量保修承诺及工程质保期内的售后服务承诺及说明合理、有针对性得3.1-7分； 此项未提供不得分。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投标人提供自2023年1月至今完成过类似项目业绩，提供一个得2.5分，最高可得5分； 评审依据：提供加盖公章的中标通知书、合同协议书，时间以签订的合同协议书时间为准。 此项未提供不得分。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满足磋商文件要求且磋商报价最低的投标报价为磋商基准价，其价格分为满分。其他投标供应商的价格分统一按照下列公式计算：磋商报价得分=（磋商基准价/磋商报价）×30%×100。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详见附件：供应商认为需要提供的其他内容.docx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