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ACA2D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技术响应方案</w:t>
      </w:r>
    </w:p>
    <w:p w14:paraId="482DEEE7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53F590C3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（说明：由投标人根据第六章《磋商办法》评分标准，结合本项目采购内容及要求编制，格式自拟。）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36B0C61"/>
    <w:rsid w:val="328A318C"/>
    <w:rsid w:val="55C93441"/>
    <w:rsid w:val="5C6953BD"/>
    <w:rsid w:val="5EEE31EB"/>
    <w:rsid w:val="603D4C7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3</TotalTime>
  <ScaleCrop>false</ScaleCrop>
  <LinksUpToDate>false</LinksUpToDate>
  <CharactersWithSpaces>122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My    ·</cp:lastModifiedBy>
  <dcterms:modified xsi:type="dcterms:W3CDTF">2026-05-25T04:19:46Z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eyJoZGlkIjoiNzc1MWNjZmFhZDRiZGMxNzFlMGMzOWUxNTFjYjg3ODIiLCJ1c2VySWQiOiI0MDc2NjQ3MzkifQ==</vt:lpwstr>
  </property>
  <property fmtid="{D5CDD505-2E9C-101B-9397-08002B2CF9AE}" pid="4" name="ICV">
    <vt:lpwstr>724A42F22F3641319CA39F7022B57DA4_12</vt:lpwstr>
  </property>
</Properties>
</file>