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版本号：CGZC-2026-066（LDZB-260308）20260817001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西安浐灞国际港2026年度土地储备计划编制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CGZC-2026-066（LDZB-260308）</w:t>
      </w:r>
      <w:r>
        <w:br/>
      </w:r>
      <w:r>
        <w:br/>
      </w:r>
      <w:r>
        <w:br/>
      </w:r>
    </w:p>
    <w:p>
      <w:pPr>
        <w:pStyle w:val="null3"/>
        <w:jc w:val="center"/>
        <w:outlineLvl w:val="2"/>
      </w:pPr>
      <w:r>
        <w:rPr>
          <w:rFonts w:ascii="仿宋_GB2312" w:hAnsi="仿宋_GB2312" w:cs="仿宋_GB2312" w:eastAsia="仿宋_GB2312"/>
          <w:sz w:val="28"/>
          <w:b/>
        </w:rPr>
        <w:t>西安浐灞国际港自然资源和规划局</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西安浐灞国际港自然资源和规划局</w:t>
      </w:r>
      <w:r>
        <w:rPr>
          <w:rFonts w:ascii="仿宋_GB2312" w:hAnsi="仿宋_GB2312" w:cs="仿宋_GB2312" w:eastAsia="仿宋_GB2312"/>
        </w:rPr>
        <w:t>委托，拟对</w:t>
      </w:r>
      <w:r>
        <w:rPr>
          <w:rFonts w:ascii="仿宋_GB2312" w:hAnsi="仿宋_GB2312" w:cs="仿宋_GB2312" w:eastAsia="仿宋_GB2312"/>
        </w:rPr>
        <w:t>西安浐灞国际港2026年度土地储备计划编制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CGZC-2026-066（LDZB-260308）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西安浐灞国际港2026年度土地储备计划编制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划分两个采购包，采购包1内容为按照《西安市自然资源和规划局转发&lt;陕西省自然资源厅办公室关于加快完成2026年度土地储备计划编制工作的通知&gt;》（2025年12月14日）要求，编制浐灞国际港2026年土地征收储备计划“三图”（现状一张图、规划一张图、用地范围及道路红线许可规划示意图），兼顾城市供应与区域发展规划，提升土地储备的科学性与可行性；采购包2内容为矢量数据库建库、矢量数据信息整理、报告成果检查、校核、土地征收储备供应计划报告及日常伴随服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具有独立承担民事责任的能力：供应商为合法注册的法人、其他组织或自然人，具有独立承担民事责任的能力，提供营业执照（或事业法人证）等证明文件，供应商为自然人的提供身份证。</w:t>
      </w:r>
    </w:p>
    <w:p>
      <w:pPr>
        <w:pStyle w:val="null3"/>
      </w:pPr>
      <w:r>
        <w:rPr>
          <w:rFonts w:ascii="仿宋_GB2312" w:hAnsi="仿宋_GB2312" w:cs="仿宋_GB2312" w:eastAsia="仿宋_GB2312"/>
        </w:rPr>
        <w:t>2、供应商具有良好的商业信誉和健全的财务会计制度：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3、供应商具有履行合同所必需的设备和专业技术能力：供应商具有履行合同所必需的设备和专业技术能力：提供声明文件</w:t>
      </w:r>
    </w:p>
    <w:p>
      <w:pPr>
        <w:pStyle w:val="null3"/>
      </w:pPr>
      <w:r>
        <w:rPr>
          <w:rFonts w:ascii="仿宋_GB2312" w:hAnsi="仿宋_GB2312" w:cs="仿宋_GB2312" w:eastAsia="仿宋_GB2312"/>
        </w:rPr>
        <w:t>4、供应商具有依法缴纳税收的良好记录：供应商具有依法缴纳税收的良好记录：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供应商具有依法缴纳社会保障资金的良好记录：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6、无重大违法记录：无重大违法记录：供应商参加政府采购活动前3年内在经营活动中没有重大违法记录的书面声明</w:t>
      </w:r>
    </w:p>
    <w:p>
      <w:pPr>
        <w:pStyle w:val="null3"/>
      </w:pPr>
      <w:r>
        <w:rPr>
          <w:rFonts w:ascii="仿宋_GB2312" w:hAnsi="仿宋_GB2312" w:cs="仿宋_GB2312" w:eastAsia="仿宋_GB2312"/>
        </w:rPr>
        <w:t>7、法定代表人证明或授权委托书：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8、供应商未被列入信用中国失信被执行人、重大税收违法案件当事人名单及中国政府采购网政府采购严重违法失信行为记录名单。：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p>
      <w:pPr>
        <w:pStyle w:val="null3"/>
      </w:pPr>
      <w:r>
        <w:rPr>
          <w:rFonts w:ascii="仿宋_GB2312" w:hAnsi="仿宋_GB2312" w:cs="仿宋_GB2312" w:eastAsia="仿宋_GB2312"/>
        </w:rPr>
        <w:t>9、企业资格要求：企业资格要求：供应商具备行政主管部门颁发的乙级及以上城乡规划（国土空间规划）编制单位资质。</w:t>
      </w:r>
    </w:p>
    <w:p>
      <w:pPr>
        <w:pStyle w:val="null3"/>
      </w:pPr>
      <w:r>
        <w:rPr>
          <w:rFonts w:ascii="仿宋_GB2312" w:hAnsi="仿宋_GB2312" w:cs="仿宋_GB2312" w:eastAsia="仿宋_GB2312"/>
        </w:rPr>
        <w:t>10、拟派项目负责人要求：拟派项目负责人要求：拟派项目负责人具有注册城乡规划师执业资格。</w:t>
      </w:r>
    </w:p>
    <w:p>
      <w:pPr>
        <w:pStyle w:val="null3"/>
      </w:pPr>
      <w:r>
        <w:rPr>
          <w:rFonts w:ascii="仿宋_GB2312" w:hAnsi="仿宋_GB2312" w:cs="仿宋_GB2312" w:eastAsia="仿宋_GB2312"/>
        </w:rPr>
        <w:t>11、控股关系：控股关系：单位负责人为同一人或者存在控股、管理关系的不同单位，不得同时参加本项目投标</w:t>
      </w:r>
    </w:p>
    <w:p>
      <w:pPr>
        <w:pStyle w:val="null3"/>
      </w:pPr>
      <w:r>
        <w:rPr>
          <w:rFonts w:ascii="仿宋_GB2312" w:hAnsi="仿宋_GB2312" w:cs="仿宋_GB2312" w:eastAsia="仿宋_GB2312"/>
        </w:rPr>
        <w:t>12、本项目不接受联合体：本项目不接受联合体磋商（响应主体为单一供应商，无需提供证明材料）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具有独立承担民事责任的能力：供应商为合法注册的法人、其他组织或自然人，具有独立承担民事责任的能力，提供营业执照（或事业法人证）等证明文件，供应商为自然人的提供身份证。</w:t>
      </w:r>
    </w:p>
    <w:p>
      <w:pPr>
        <w:pStyle w:val="null3"/>
      </w:pPr>
      <w:r>
        <w:rPr>
          <w:rFonts w:ascii="仿宋_GB2312" w:hAnsi="仿宋_GB2312" w:cs="仿宋_GB2312" w:eastAsia="仿宋_GB2312"/>
        </w:rPr>
        <w:t>2、供应商具有良好的商业信誉和健全的财务会计制度：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3、供应商具有履行合同所必需的设备和专业技术能力：供应商具有履行合同所必需的设备和专业技术能力：提供声明文件</w:t>
      </w:r>
    </w:p>
    <w:p>
      <w:pPr>
        <w:pStyle w:val="null3"/>
      </w:pPr>
      <w:r>
        <w:rPr>
          <w:rFonts w:ascii="仿宋_GB2312" w:hAnsi="仿宋_GB2312" w:cs="仿宋_GB2312" w:eastAsia="仿宋_GB2312"/>
        </w:rPr>
        <w:t>4、供应商具有依法缴纳税收的良好记录：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供应商具有依法缴纳社会保障资金的良好记录：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6、无重大违法记录：无重大违法记录：供应商参加政府采购活动前3年内在经营活动中没有重大违法记录的书面声明</w:t>
      </w:r>
    </w:p>
    <w:p>
      <w:pPr>
        <w:pStyle w:val="null3"/>
      </w:pPr>
      <w:r>
        <w:rPr>
          <w:rFonts w:ascii="仿宋_GB2312" w:hAnsi="仿宋_GB2312" w:cs="仿宋_GB2312" w:eastAsia="仿宋_GB2312"/>
        </w:rPr>
        <w:t>7、法定代表人证明或授权委托书：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8、供应商未被列入信用中国失信被执行人、重大税收违法案件当事人名单及中国政府采购网政府采购严重违法失信行为记录名单。：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p>
      <w:pPr>
        <w:pStyle w:val="null3"/>
      </w:pPr>
      <w:r>
        <w:rPr>
          <w:rFonts w:ascii="仿宋_GB2312" w:hAnsi="仿宋_GB2312" w:cs="仿宋_GB2312" w:eastAsia="仿宋_GB2312"/>
        </w:rPr>
        <w:t>9、控股关系：控股关系：单位负责人为同一人或者存在控股、管理关系的不同单位，不得同时参加本项目投标</w:t>
      </w:r>
    </w:p>
    <w:p>
      <w:pPr>
        <w:pStyle w:val="null3"/>
      </w:pPr>
      <w:r>
        <w:rPr>
          <w:rFonts w:ascii="仿宋_GB2312" w:hAnsi="仿宋_GB2312" w:cs="仿宋_GB2312" w:eastAsia="仿宋_GB2312"/>
        </w:rPr>
        <w:t>10、本项目不接受联合体：本项目不接受联合体磋商（响应主体为单一供应商，无需提供证明材料）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徐超飞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029-83332308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采购包1：266,500.00元</w:t>
            </w:r>
          </w:p>
          <w:p>
            <w:pPr>
              <w:pStyle w:val="null3"/>
            </w:pPr>
            <w:r>
              <w:rPr>
                <w:rFonts w:ascii="仿宋_GB2312" w:hAnsi="仿宋_GB2312" w:cs="仿宋_GB2312" w:eastAsia="仿宋_GB2312"/>
              </w:rPr>
              <w:t>采购包2：333,500.00元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代理服务费收费标准：1.确定成交人后3日内，由成交人向代理机构一次付清采购代理服务费。 2.以各采购包中标（成交）价为基数，招标代理服务费按照国家计委印发《招标代理服务收费管理暂行办法》的通知（计价格[2002]1980号）文件、发改价格[2011]534 号文件及国家发改委印发的《关于进一步放开建设项目专业服务价格的通知》[2015]299号文件的收取标准计取，各采购包代理服务费不足6000元的，按6000元计取。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西安浐灞国际港自然资源和规划局</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划分两个采购包，采购包1内容为按照《西安市自然资源和规划局转发&lt;陕西省自然资源厅办公室关于加快完成2026年度土地储备计划编制工作的通知&gt;》（2025年12月14日）要求，编制浐灞国际港2026年土地征收储备计划“三图”（现状一张图、规划一张图、用地范围及道路红线许可规划示意图），兼顾城市供应与区域发展规划，提升土地储备的科学性与可行性；采购包2内容为矢量数据库建库、矢量数据信息整理、报告成果检查、校核、土地征收储备供应计划报告及日常伴随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266,500.00</w:t>
      </w:r>
    </w:p>
    <w:p>
      <w:pPr>
        <w:pStyle w:val="null3"/>
      </w:pPr>
      <w:r>
        <w:rPr>
          <w:rFonts w:ascii="仿宋_GB2312" w:hAnsi="仿宋_GB2312" w:cs="仿宋_GB2312" w:eastAsia="仿宋_GB2312"/>
        </w:rPr>
        <w:t>采购包最高限价（元）: 266,500.00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“三图”编制服务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333,500.00</w:t>
      </w:r>
    </w:p>
    <w:p>
      <w:pPr>
        <w:pStyle w:val="null3"/>
      </w:pPr>
      <w:r>
        <w:rPr>
          <w:rFonts w:ascii="仿宋_GB2312" w:hAnsi="仿宋_GB2312" w:cs="仿宋_GB2312" w:eastAsia="仿宋_GB2312"/>
        </w:rPr>
        <w:t>采购包最高限价（元）: 333,500.00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数据及伴随服务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333,500.00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标的名称：“三图”编制服务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按照《西安市自然资源和规划局转发</w:t>
            </w:r>
            <w:r>
              <w:rPr>
                <w:rFonts w:ascii="仿宋_GB2312" w:hAnsi="仿宋_GB2312" w:cs="仿宋_GB2312" w:eastAsia="仿宋_GB2312"/>
                <w:sz w:val="21"/>
              </w:rPr>
              <w:t>&lt;陕西省自然资源厅办公室关于加快完成2026年度土地储备计划编制工作的通知&gt;》（2025年12月14日）要求，编制浐灞国际港2026年土地征收储备计划“三图”（现状一张图、规划一张图、用地范围及道路红线许可规划示意图），兼顾城市供应与区域发展规划，提升土地储备的科学性与可行性</w:t>
            </w:r>
          </w:p>
          <w:p>
            <w:pPr>
              <w:pStyle w:val="null3"/>
            </w:pPr>
            <w:r>
              <w:rPr>
                <w:rFonts w:ascii="仿宋_GB2312" w:hAnsi="仿宋_GB2312" w:cs="仿宋_GB2312" w:eastAsia="仿宋_GB2312"/>
              </w:rPr>
              <w:t>二、</w:t>
            </w: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无</w:t>
            </w:r>
          </w:p>
          <w:p>
            <w:pPr>
              <w:pStyle w:val="null3"/>
            </w:pPr>
            <w:r>
              <w:rPr>
                <w:rFonts w:ascii="仿宋_GB2312" w:hAnsi="仿宋_GB2312" w:cs="仿宋_GB2312" w:eastAsia="仿宋_GB2312"/>
              </w:rPr>
              <w:t>三、</w:t>
            </w: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按照西安市政府、资规局及甲方要求的时间及质量要求完成任务；</w:t>
            </w:r>
          </w:p>
          <w:p>
            <w:pPr>
              <w:pStyle w:val="null3"/>
            </w:pPr>
            <w:r>
              <w:rPr>
                <w:rFonts w:ascii="仿宋_GB2312" w:hAnsi="仿宋_GB2312" w:cs="仿宋_GB2312" w:eastAsia="仿宋_GB2312"/>
                <w:sz w:val="21"/>
              </w:rPr>
              <w:t>2.</w:t>
            </w:r>
            <w:r>
              <w:rPr>
                <w:rFonts w:ascii="仿宋_GB2312" w:hAnsi="仿宋_GB2312" w:cs="仿宋_GB2312" w:eastAsia="仿宋_GB2312"/>
                <w:sz w:val="21"/>
              </w:rPr>
              <w:t>配备项目人员不少于</w:t>
            </w:r>
            <w:r>
              <w:rPr>
                <w:rFonts w:ascii="仿宋_GB2312" w:hAnsi="仿宋_GB2312" w:cs="仿宋_GB2312" w:eastAsia="仿宋_GB2312"/>
                <w:sz w:val="21"/>
              </w:rPr>
              <w:t>5</w:t>
            </w:r>
            <w:r>
              <w:rPr>
                <w:rFonts w:ascii="仿宋_GB2312" w:hAnsi="仿宋_GB2312" w:cs="仿宋_GB2312" w:eastAsia="仿宋_GB2312"/>
                <w:sz w:val="21"/>
              </w:rPr>
              <w:t>人，包括项目负责人、技术人员。</w:t>
            </w:r>
          </w:p>
          <w:p>
            <w:pPr>
              <w:pStyle w:val="null3"/>
            </w:pPr>
            <w:r>
              <w:rPr>
                <w:rFonts w:ascii="仿宋_GB2312" w:hAnsi="仿宋_GB2312" w:cs="仿宋_GB2312" w:eastAsia="仿宋_GB2312"/>
              </w:rPr>
              <w:t>四、</w:t>
            </w:r>
            <w:r>
              <w:rPr>
                <w:rFonts w:ascii="仿宋_GB2312" w:hAnsi="仿宋_GB2312" w:cs="仿宋_GB2312" w:eastAsia="仿宋_GB2312"/>
                <w:sz w:val="21"/>
              </w:rPr>
              <w:t>商务要求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服务期限</w:t>
            </w:r>
          </w:p>
          <w:p>
            <w:pPr>
              <w:pStyle w:val="null3"/>
            </w:pPr>
            <w:r>
              <w:rPr>
                <w:rFonts w:ascii="仿宋_GB2312" w:hAnsi="仿宋_GB2312" w:cs="仿宋_GB2312" w:eastAsia="仿宋_GB2312"/>
                <w:sz w:val="21"/>
              </w:rPr>
              <w:t>自合同签订之日起至本项服务结束时止。</w:t>
            </w:r>
          </w:p>
          <w:p>
            <w:pPr>
              <w:pStyle w:val="null3"/>
            </w:pPr>
            <w:r>
              <w:rPr>
                <w:rFonts w:ascii="仿宋_GB2312" w:hAnsi="仿宋_GB2312" w:cs="仿宋_GB2312" w:eastAsia="仿宋_GB2312"/>
                <w:sz w:val="21"/>
              </w:rPr>
              <w:t>2.</w:t>
            </w:r>
            <w:r>
              <w:rPr>
                <w:rFonts w:ascii="仿宋_GB2312" w:hAnsi="仿宋_GB2312" w:cs="仿宋_GB2312" w:eastAsia="仿宋_GB2312"/>
                <w:sz w:val="21"/>
              </w:rPr>
              <w:t>款项结算</w:t>
            </w:r>
          </w:p>
          <w:p>
            <w:pPr>
              <w:pStyle w:val="null3"/>
            </w:pPr>
            <w:r>
              <w:rPr>
                <w:rFonts w:ascii="仿宋_GB2312" w:hAnsi="仿宋_GB2312" w:cs="仿宋_GB2312" w:eastAsia="仿宋_GB2312"/>
                <w:sz w:val="21"/>
              </w:rPr>
              <w:t>完成合同约定的所有工作，并提交成果资料，上报市级后，一次性支付全部的合同价款。</w:t>
            </w:r>
          </w:p>
          <w:p>
            <w:pPr>
              <w:pStyle w:val="null3"/>
            </w:pPr>
            <w:r>
              <w:rPr>
                <w:rFonts w:ascii="仿宋_GB2312" w:hAnsi="仿宋_GB2312" w:cs="仿宋_GB2312" w:eastAsia="仿宋_GB2312"/>
              </w:rPr>
              <w:t>五、</w:t>
            </w: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1.进度要求</w:t>
            </w:r>
          </w:p>
          <w:p>
            <w:pPr>
              <w:pStyle w:val="null3"/>
            </w:pPr>
            <w:r>
              <w:rPr>
                <w:rFonts w:ascii="仿宋_GB2312" w:hAnsi="仿宋_GB2312" w:cs="仿宋_GB2312" w:eastAsia="仿宋_GB2312"/>
                <w:sz w:val="21"/>
              </w:rPr>
              <w:t>按照西安市政府、资规局及甲方要求的时间及质量要求完成任务</w:t>
            </w:r>
            <w:r>
              <w:rPr>
                <w:rFonts w:ascii="仿宋_GB2312" w:hAnsi="仿宋_GB2312" w:cs="仿宋_GB2312" w:eastAsia="仿宋_GB2312"/>
                <w:sz w:val="21"/>
              </w:rPr>
              <w:t>.</w:t>
            </w:r>
          </w:p>
          <w:p>
            <w:pPr>
              <w:pStyle w:val="null3"/>
            </w:pPr>
            <w:r>
              <w:rPr>
                <w:rFonts w:ascii="仿宋_GB2312" w:hAnsi="仿宋_GB2312" w:cs="仿宋_GB2312" w:eastAsia="仿宋_GB2312"/>
                <w:sz w:val="21"/>
              </w:rPr>
              <w:t>2.质量验收标准或规范</w:t>
            </w:r>
          </w:p>
          <w:p>
            <w:pPr>
              <w:pStyle w:val="null3"/>
            </w:pPr>
            <w:r>
              <w:rPr>
                <w:rFonts w:ascii="仿宋_GB2312" w:hAnsi="仿宋_GB2312" w:cs="仿宋_GB2312" w:eastAsia="仿宋_GB2312"/>
                <w:sz w:val="21"/>
              </w:rPr>
              <w:t>《西安市自然资源和规划局转发</w:t>
            </w:r>
            <w:r>
              <w:rPr>
                <w:rFonts w:ascii="仿宋_GB2312" w:hAnsi="仿宋_GB2312" w:cs="仿宋_GB2312" w:eastAsia="仿宋_GB2312"/>
                <w:sz w:val="21"/>
              </w:rPr>
              <w:t>&lt;陕西省自然资源厅办公室关于加快完成2026年度土地储备计划编制工作的通知&gt;》（2025年12月14日）、</w:t>
            </w:r>
          </w:p>
          <w:p>
            <w:pPr>
              <w:pStyle w:val="null3"/>
            </w:pPr>
            <w:r>
              <w:rPr>
                <w:rFonts w:ascii="仿宋_GB2312" w:hAnsi="仿宋_GB2312" w:cs="仿宋_GB2312" w:eastAsia="仿宋_GB2312"/>
                <w:sz w:val="21"/>
              </w:rPr>
              <w:t>《土地储备管理办法》、</w:t>
            </w:r>
          </w:p>
          <w:p>
            <w:pPr>
              <w:pStyle w:val="null3"/>
            </w:pPr>
            <w:r>
              <w:rPr>
                <w:rFonts w:ascii="仿宋_GB2312" w:hAnsi="仿宋_GB2312" w:cs="仿宋_GB2312" w:eastAsia="仿宋_GB2312"/>
                <w:sz w:val="21"/>
              </w:rPr>
              <w:t>《中华人民共和国自然资源部司局函》（自然资权益函〔</w:t>
            </w:r>
            <w:r>
              <w:rPr>
                <w:rFonts w:ascii="仿宋_GB2312" w:hAnsi="仿宋_GB2312" w:cs="仿宋_GB2312" w:eastAsia="仿宋_GB2312"/>
                <w:sz w:val="21"/>
              </w:rPr>
              <w:t>2021〕53号）、</w:t>
            </w:r>
          </w:p>
          <w:p>
            <w:pPr>
              <w:pStyle w:val="null3"/>
            </w:pPr>
            <w:r>
              <w:rPr>
                <w:rFonts w:ascii="仿宋_GB2312" w:hAnsi="仿宋_GB2312" w:cs="仿宋_GB2312" w:eastAsia="仿宋_GB2312"/>
                <w:sz w:val="21"/>
              </w:rPr>
              <w:t>《自然资源部关于升级土地储备监测监管系统的通知》（自然资办函〔</w:t>
            </w:r>
            <w:r>
              <w:rPr>
                <w:rFonts w:ascii="仿宋_GB2312" w:hAnsi="仿宋_GB2312" w:cs="仿宋_GB2312" w:eastAsia="仿宋_GB2312"/>
                <w:sz w:val="21"/>
              </w:rPr>
              <w:t>2022〕676号）、</w:t>
            </w:r>
          </w:p>
          <w:p>
            <w:pPr>
              <w:pStyle w:val="null3"/>
            </w:pPr>
            <w:r>
              <w:rPr>
                <w:rFonts w:ascii="仿宋_GB2312" w:hAnsi="仿宋_GB2312" w:cs="仿宋_GB2312" w:eastAsia="仿宋_GB2312"/>
                <w:sz w:val="21"/>
              </w:rPr>
              <w:t>《自然资源部办公厅关于土地储备监测监管系统更名及有关事项的通知》（自然资办函〔</w:t>
            </w:r>
            <w:r>
              <w:rPr>
                <w:rFonts w:ascii="仿宋_GB2312" w:hAnsi="仿宋_GB2312" w:cs="仿宋_GB2312" w:eastAsia="仿宋_GB2312"/>
                <w:sz w:val="21"/>
              </w:rPr>
              <w:t>2023〕13号）。</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标的名称：数据及伴随服务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1.矢量数据库建库：西安浐灞国际港纳入土地征收储备供应计划范围内土地征收、储备、供应的项目信息</w:t>
            </w:r>
          </w:p>
          <w:p>
            <w:pPr>
              <w:pStyle w:val="null3"/>
            </w:pPr>
            <w:r>
              <w:rPr>
                <w:rFonts w:ascii="仿宋_GB2312" w:hAnsi="仿宋_GB2312" w:cs="仿宋_GB2312" w:eastAsia="仿宋_GB2312"/>
                <w:sz w:val="21"/>
              </w:rPr>
              <w:t>建立数据库并进行更新</w:t>
            </w:r>
            <w:r>
              <w:rPr>
                <w:rFonts w:ascii="仿宋_GB2312" w:hAnsi="仿宋_GB2312" w:cs="仿宋_GB2312" w:eastAsia="仿宋_GB2312"/>
                <w:sz w:val="21"/>
              </w:rPr>
              <w:t>；</w:t>
            </w:r>
          </w:p>
          <w:p>
            <w:pPr>
              <w:pStyle w:val="null3"/>
            </w:pPr>
            <w:r>
              <w:rPr>
                <w:rFonts w:ascii="仿宋_GB2312" w:hAnsi="仿宋_GB2312" w:cs="仿宋_GB2312" w:eastAsia="仿宋_GB2312"/>
                <w:sz w:val="21"/>
              </w:rPr>
              <w:t>2.矢量数据信息整理</w:t>
            </w:r>
            <w:r>
              <w:rPr>
                <w:rFonts w:ascii="仿宋_GB2312" w:hAnsi="仿宋_GB2312" w:cs="仿宋_GB2312" w:eastAsia="仿宋_GB2312"/>
                <w:sz w:val="21"/>
              </w:rPr>
              <w:t>：</w:t>
            </w:r>
            <w:r>
              <w:rPr>
                <w:rFonts w:ascii="仿宋_GB2312" w:hAnsi="仿宋_GB2312" w:cs="仿宋_GB2312" w:eastAsia="仿宋_GB2312"/>
                <w:sz w:val="21"/>
              </w:rPr>
              <w:t>所有项目的勘测定界电子坐标</w:t>
            </w:r>
            <w:r>
              <w:rPr>
                <w:rFonts w:ascii="仿宋_GB2312" w:hAnsi="仿宋_GB2312" w:cs="仿宋_GB2312" w:eastAsia="仿宋_GB2312"/>
                <w:sz w:val="21"/>
              </w:rPr>
              <w:t>(2000国家大地坐标系统)、矢量图层及各附表对应的空间数据信息整理</w:t>
            </w:r>
            <w:r>
              <w:rPr>
                <w:rFonts w:ascii="仿宋_GB2312" w:hAnsi="仿宋_GB2312" w:cs="仿宋_GB2312" w:eastAsia="仿宋_GB2312"/>
                <w:sz w:val="21"/>
              </w:rPr>
              <w:t>；</w:t>
            </w:r>
          </w:p>
          <w:p>
            <w:pPr>
              <w:pStyle w:val="null3"/>
            </w:pPr>
            <w:r>
              <w:rPr>
                <w:rFonts w:ascii="仿宋_GB2312" w:hAnsi="仿宋_GB2312" w:cs="仿宋_GB2312" w:eastAsia="仿宋_GB2312"/>
                <w:sz w:val="21"/>
              </w:rPr>
              <w:t>3.数据及报告成果检查、校核：包括对西安浐灞国际港收集的纳入土地征收储备供应计划的项目矢量数据上图核查、调整、校对，文本成本的审核</w:t>
            </w:r>
            <w:r>
              <w:rPr>
                <w:rFonts w:ascii="仿宋_GB2312" w:hAnsi="仿宋_GB2312" w:cs="仿宋_GB2312" w:eastAsia="仿宋_GB2312"/>
                <w:sz w:val="21"/>
              </w:rPr>
              <w:t>；</w:t>
            </w:r>
          </w:p>
          <w:p>
            <w:pPr>
              <w:pStyle w:val="null3"/>
            </w:pPr>
            <w:r>
              <w:rPr>
                <w:rFonts w:ascii="仿宋_GB2312" w:hAnsi="仿宋_GB2312" w:cs="仿宋_GB2312" w:eastAsia="仿宋_GB2312"/>
                <w:sz w:val="21"/>
              </w:rPr>
              <w:t>4.土地征收储备供应计划报告：供应计划文本、附表包括纸质报告及电子报告，为土地征收储备</w:t>
            </w:r>
            <w:r>
              <w:rPr>
                <w:rFonts w:ascii="仿宋_GB2312" w:hAnsi="仿宋_GB2312" w:cs="仿宋_GB2312" w:eastAsia="仿宋_GB2312"/>
                <w:sz w:val="21"/>
              </w:rPr>
              <w:t>；</w:t>
            </w:r>
          </w:p>
          <w:p>
            <w:pPr>
              <w:pStyle w:val="null3"/>
            </w:pPr>
            <w:r>
              <w:rPr>
                <w:rFonts w:ascii="仿宋_GB2312" w:hAnsi="仿宋_GB2312" w:cs="仿宋_GB2312" w:eastAsia="仿宋_GB2312"/>
                <w:sz w:val="21"/>
              </w:rPr>
              <w:t>5.日常伴随服务：按照甲方要求提供日常储备计划相关服务。</w:t>
            </w:r>
          </w:p>
          <w:p>
            <w:pPr>
              <w:pStyle w:val="null3"/>
            </w:pPr>
            <w:r>
              <w:rPr>
                <w:rFonts w:ascii="仿宋_GB2312" w:hAnsi="仿宋_GB2312" w:cs="仿宋_GB2312" w:eastAsia="仿宋_GB2312"/>
              </w:rPr>
              <w:t>二、</w:t>
            </w: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无</w:t>
            </w:r>
          </w:p>
          <w:p>
            <w:pPr>
              <w:pStyle w:val="null3"/>
            </w:pPr>
            <w:r>
              <w:rPr>
                <w:rFonts w:ascii="仿宋_GB2312" w:hAnsi="仿宋_GB2312" w:cs="仿宋_GB2312" w:eastAsia="仿宋_GB2312"/>
              </w:rPr>
              <w:t>三、</w:t>
            </w: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按照西安市政府、资规局及甲方要求的时间及质量要求完成任务；</w:t>
            </w:r>
          </w:p>
          <w:p>
            <w:pPr>
              <w:pStyle w:val="null3"/>
            </w:pPr>
            <w:r>
              <w:rPr>
                <w:rFonts w:ascii="仿宋_GB2312" w:hAnsi="仿宋_GB2312" w:cs="仿宋_GB2312" w:eastAsia="仿宋_GB2312"/>
                <w:sz w:val="21"/>
              </w:rPr>
              <w:t>2.</w:t>
            </w:r>
            <w:r>
              <w:rPr>
                <w:rFonts w:ascii="仿宋_GB2312" w:hAnsi="仿宋_GB2312" w:cs="仿宋_GB2312" w:eastAsia="仿宋_GB2312"/>
                <w:sz w:val="21"/>
              </w:rPr>
              <w:t>配备项目人员不少于</w:t>
            </w:r>
            <w:r>
              <w:rPr>
                <w:rFonts w:ascii="仿宋_GB2312" w:hAnsi="仿宋_GB2312" w:cs="仿宋_GB2312" w:eastAsia="仿宋_GB2312"/>
                <w:sz w:val="21"/>
              </w:rPr>
              <w:t>5</w:t>
            </w:r>
            <w:r>
              <w:rPr>
                <w:rFonts w:ascii="仿宋_GB2312" w:hAnsi="仿宋_GB2312" w:cs="仿宋_GB2312" w:eastAsia="仿宋_GB2312"/>
                <w:sz w:val="21"/>
              </w:rPr>
              <w:t>人，包括项目负责人、技术人员及数据收集整理人员</w:t>
            </w:r>
            <w:r>
              <w:rPr>
                <w:rFonts w:ascii="仿宋_GB2312" w:hAnsi="仿宋_GB2312" w:cs="仿宋_GB2312" w:eastAsia="仿宋_GB2312"/>
                <w:sz w:val="21"/>
              </w:rPr>
              <w:t>。</w:t>
            </w:r>
          </w:p>
          <w:p>
            <w:pPr>
              <w:pStyle w:val="null3"/>
            </w:pPr>
            <w:r>
              <w:rPr>
                <w:rFonts w:ascii="仿宋_GB2312" w:hAnsi="仿宋_GB2312" w:cs="仿宋_GB2312" w:eastAsia="仿宋_GB2312"/>
              </w:rPr>
              <w:t>四、</w:t>
            </w:r>
            <w:r>
              <w:rPr>
                <w:rFonts w:ascii="仿宋_GB2312" w:hAnsi="仿宋_GB2312" w:cs="仿宋_GB2312" w:eastAsia="仿宋_GB2312"/>
                <w:sz w:val="21"/>
              </w:rPr>
              <w:t>商务要求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服务期限</w:t>
            </w:r>
          </w:p>
          <w:p>
            <w:pPr>
              <w:pStyle w:val="null3"/>
            </w:pPr>
            <w:r>
              <w:rPr>
                <w:rFonts w:ascii="仿宋_GB2312" w:hAnsi="仿宋_GB2312" w:cs="仿宋_GB2312" w:eastAsia="仿宋_GB2312"/>
                <w:sz w:val="21"/>
              </w:rPr>
              <w:t>自合同签订之日起至本项服务结束时止。</w:t>
            </w:r>
          </w:p>
          <w:p>
            <w:pPr>
              <w:pStyle w:val="null3"/>
            </w:pPr>
            <w:r>
              <w:rPr>
                <w:rFonts w:ascii="仿宋_GB2312" w:hAnsi="仿宋_GB2312" w:cs="仿宋_GB2312" w:eastAsia="仿宋_GB2312"/>
                <w:sz w:val="21"/>
              </w:rPr>
              <w:t>2.</w:t>
            </w:r>
            <w:r>
              <w:rPr>
                <w:rFonts w:ascii="仿宋_GB2312" w:hAnsi="仿宋_GB2312" w:cs="仿宋_GB2312" w:eastAsia="仿宋_GB2312"/>
                <w:sz w:val="21"/>
              </w:rPr>
              <w:t>款项结算</w:t>
            </w:r>
          </w:p>
          <w:p>
            <w:pPr>
              <w:pStyle w:val="null3"/>
            </w:pPr>
            <w:r>
              <w:rPr>
                <w:rFonts w:ascii="仿宋_GB2312" w:hAnsi="仿宋_GB2312" w:cs="仿宋_GB2312" w:eastAsia="仿宋_GB2312"/>
                <w:sz w:val="21"/>
              </w:rPr>
              <w:t>完成合同约定的所有工作，并提交成果资料，上报市级后，一次性支付全部的合同价款。</w:t>
            </w:r>
          </w:p>
          <w:p>
            <w:pPr>
              <w:pStyle w:val="null3"/>
            </w:pPr>
            <w:r>
              <w:rPr>
                <w:rFonts w:ascii="仿宋_GB2312" w:hAnsi="仿宋_GB2312" w:cs="仿宋_GB2312" w:eastAsia="仿宋_GB2312"/>
              </w:rPr>
              <w:t>五、</w:t>
            </w: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1.进度要求</w:t>
            </w:r>
          </w:p>
          <w:p>
            <w:pPr>
              <w:pStyle w:val="null3"/>
            </w:pPr>
            <w:r>
              <w:rPr>
                <w:rFonts w:ascii="仿宋_GB2312" w:hAnsi="仿宋_GB2312" w:cs="仿宋_GB2312" w:eastAsia="仿宋_GB2312"/>
                <w:sz w:val="21"/>
              </w:rPr>
              <w:t>按照西安市政府、资规局及甲方要求的时间及质量要求完成任务</w:t>
            </w:r>
            <w:r>
              <w:rPr>
                <w:rFonts w:ascii="仿宋_GB2312" w:hAnsi="仿宋_GB2312" w:cs="仿宋_GB2312" w:eastAsia="仿宋_GB2312"/>
                <w:sz w:val="21"/>
              </w:rPr>
              <w:t>.</w:t>
            </w:r>
          </w:p>
          <w:p>
            <w:pPr>
              <w:pStyle w:val="null3"/>
            </w:pPr>
            <w:r>
              <w:rPr>
                <w:rFonts w:ascii="仿宋_GB2312" w:hAnsi="仿宋_GB2312" w:cs="仿宋_GB2312" w:eastAsia="仿宋_GB2312"/>
                <w:sz w:val="21"/>
              </w:rPr>
              <w:t>2.质量验收标准或规范</w:t>
            </w:r>
          </w:p>
          <w:p>
            <w:pPr>
              <w:pStyle w:val="null3"/>
            </w:pPr>
            <w:r>
              <w:rPr>
                <w:rFonts w:ascii="仿宋_GB2312" w:hAnsi="仿宋_GB2312" w:cs="仿宋_GB2312" w:eastAsia="仿宋_GB2312"/>
                <w:sz w:val="21"/>
              </w:rPr>
              <w:t>《西安市自然资源和规划局转发</w:t>
            </w:r>
            <w:r>
              <w:rPr>
                <w:rFonts w:ascii="仿宋_GB2312" w:hAnsi="仿宋_GB2312" w:cs="仿宋_GB2312" w:eastAsia="仿宋_GB2312"/>
                <w:sz w:val="21"/>
              </w:rPr>
              <w:t>&lt;陕西省自然资源厅办公室关于加快完成2026年度土地储备计划编制工作的通知&gt;》（2025年12月14日）、</w:t>
            </w:r>
          </w:p>
          <w:p>
            <w:pPr>
              <w:pStyle w:val="null3"/>
            </w:pPr>
            <w:r>
              <w:rPr>
                <w:rFonts w:ascii="仿宋_GB2312" w:hAnsi="仿宋_GB2312" w:cs="仿宋_GB2312" w:eastAsia="仿宋_GB2312"/>
                <w:sz w:val="21"/>
              </w:rPr>
              <w:t>《土地储备管理办法》、</w:t>
            </w:r>
          </w:p>
          <w:p>
            <w:pPr>
              <w:pStyle w:val="null3"/>
            </w:pPr>
            <w:r>
              <w:rPr>
                <w:rFonts w:ascii="仿宋_GB2312" w:hAnsi="仿宋_GB2312" w:cs="仿宋_GB2312" w:eastAsia="仿宋_GB2312"/>
                <w:sz w:val="21"/>
              </w:rPr>
              <w:t>《中华人民共和国自然资源部司局函》（自然资权益函〔</w:t>
            </w:r>
            <w:r>
              <w:rPr>
                <w:rFonts w:ascii="仿宋_GB2312" w:hAnsi="仿宋_GB2312" w:cs="仿宋_GB2312" w:eastAsia="仿宋_GB2312"/>
                <w:sz w:val="21"/>
              </w:rPr>
              <w:t>2021〕53号）、</w:t>
            </w:r>
          </w:p>
          <w:p>
            <w:pPr>
              <w:pStyle w:val="null3"/>
            </w:pPr>
            <w:r>
              <w:rPr>
                <w:rFonts w:ascii="仿宋_GB2312" w:hAnsi="仿宋_GB2312" w:cs="仿宋_GB2312" w:eastAsia="仿宋_GB2312"/>
                <w:sz w:val="21"/>
              </w:rPr>
              <w:t>《自然资源部关于升级土地储备监测监管系统的通知》（自然资办函〔</w:t>
            </w:r>
            <w:r>
              <w:rPr>
                <w:rFonts w:ascii="仿宋_GB2312" w:hAnsi="仿宋_GB2312" w:cs="仿宋_GB2312" w:eastAsia="仿宋_GB2312"/>
                <w:sz w:val="21"/>
              </w:rPr>
              <w:t>2022〕676号）、</w:t>
            </w:r>
          </w:p>
          <w:p>
            <w:pPr>
              <w:pStyle w:val="null3"/>
            </w:pPr>
            <w:r>
              <w:rPr>
                <w:rFonts w:ascii="仿宋_GB2312" w:hAnsi="仿宋_GB2312" w:cs="仿宋_GB2312" w:eastAsia="仿宋_GB2312"/>
                <w:sz w:val="21"/>
              </w:rPr>
              <w:t>《自然资源部办公厅关于土地储备监测监管系统更名及有关事项的通知》（自然资办函〔</w:t>
            </w:r>
            <w:r>
              <w:rPr>
                <w:rFonts w:ascii="仿宋_GB2312" w:hAnsi="仿宋_GB2312" w:cs="仿宋_GB2312" w:eastAsia="仿宋_GB2312"/>
                <w:sz w:val="21"/>
              </w:rPr>
              <w:t>2023〕13号）。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配备项目人员不少于5人，包括项目负责人、技术人员。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配备项目人员不少于5人，包括项目负责人、技术人员及数据收集整理人员。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自合同签订之日起至本项服务结束时止。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自合同签订之日起至本项服务结束时止。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其他，完成本合同约定全部服务内容，提交完整合规成果且顺利上报市级主管部门后，达到付款条件起30个工作日内，支付合同总金额的100.0%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其他，完成合同约定的所有工作，并提交成果资料，上报市级后，达到付款条件起30个工作日内，支付合同总金额的100.0%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按照磋商文件及合同要求执行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（1）本项目支付按照此条款执行： 采购包1：本项目采用一次性付款方式。乙方完成本合同约定全部服务内容，提交完整合规成果且顺利上报市级主管部门后，甲方一次性结清全部合同款项。 采购包2：项目成果完成后，采购人在一个月内一次性付清合同款。 （2）供应商应自响应文件递交截止时间起至评标结束保持在线状态、如因自身原因导致未及时在系统中响应相关内容，供应商自行承担责任。 （3）成交人在领取成交通知书前将纸质版响应文件正本1份、副本1份、电子版2份（U盘）打印后提交至采购代理公司处，成交人应保持响应文件纸质版内容与线上提交的响应文件保持一致，否则将承担一切法律责任。 （4）定标环节采购人有权对响应文件承诺响应的内容进行复核，如有虚假响应，一经发现，取消成交资格并上报财政主管部门，列入政府采购黑名单。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供应商具有独立承担民事责任的能力：供应商为合法注册的法人、其他组织或自然人，具有独立承担民事责任的能力，提供营业执照（或事业法人证）等证明文件，供应商为自然人的提供身份证。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供应商具有履行合同所必需的设备和专业技术能力：提供声明文件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供应商具有依法缴纳税收的良好记录</w:t>
            </w:r>
          </w:p>
        </w:tc>
        <w:tc>
          <w:tcPr>
            <w:tcW w:type="dxa" w:w="3322"/>
          </w:tcPr>
          <w:p>
            <w:pPr>
              <w:pStyle w:val="null3"/>
            </w:pPr>
            <w:r>
              <w:rPr>
                <w:rFonts w:ascii="仿宋_GB2312" w:hAnsi="仿宋_GB2312" w:cs="仿宋_GB2312" w:eastAsia="仿宋_GB2312"/>
              </w:rPr>
              <w:t>供应商具有依法缴纳税收的良好记录：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供应商具有依法缴纳社会保障资金的良好记录</w:t>
            </w:r>
          </w:p>
        </w:tc>
        <w:tc>
          <w:tcPr>
            <w:tcW w:type="dxa" w:w="3322"/>
          </w:tcPr>
          <w:p>
            <w:pPr>
              <w:pStyle w:val="null3"/>
            </w:pPr>
            <w:r>
              <w:rPr>
                <w:rFonts w:ascii="仿宋_GB2312" w:hAnsi="仿宋_GB2312" w:cs="仿宋_GB2312" w:eastAsia="仿宋_GB2312"/>
              </w:rPr>
              <w:t>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3322"/>
          </w:tcPr>
          <w:p>
            <w:pPr>
              <w:pStyle w:val="null3"/>
            </w:pPr>
            <w:r>
              <w:rPr>
                <w:rFonts w:ascii="仿宋_GB2312" w:hAnsi="仿宋_GB2312" w:cs="仿宋_GB2312" w:eastAsia="仿宋_GB2312"/>
              </w:rPr>
              <w:t>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企业资格要求</w:t>
            </w:r>
          </w:p>
        </w:tc>
        <w:tc>
          <w:tcPr>
            <w:tcW w:type="dxa" w:w="3322"/>
          </w:tcPr>
          <w:p>
            <w:pPr>
              <w:pStyle w:val="null3"/>
            </w:pPr>
            <w:r>
              <w:rPr>
                <w:rFonts w:ascii="仿宋_GB2312" w:hAnsi="仿宋_GB2312" w:cs="仿宋_GB2312" w:eastAsia="仿宋_GB2312"/>
              </w:rPr>
              <w:t>企业资格要求：供应商具备行政主管部门颁发的乙级及以上城乡规划（国土空间规划）编制单位资质。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拟派项目负责人要求：拟派项目负责人具有注册城乡规划师执业资格。</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控股关系：单位负责人为同一人或者存在控股、管理关系的不同单位，不得同时参加本项目投标</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本项目不接受联合体磋商（响应主体为单一供应商，无需提供证明材料）</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供应商具有独立承担民事责任的能力：供应商为合法注册的法人、其他组织或自然人，具有独立承担民事责任的能力，提供营业执照（或事业法人证）等证明文件，供应商为自然人的提供身份证。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供应商具有履行合同所必需的设备和专业技术能力：提供声明文件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供应商具有依法缴纳税收的良好记录</w:t>
            </w:r>
          </w:p>
        </w:tc>
        <w:tc>
          <w:tcPr>
            <w:tcW w:type="dxa" w:w="3322"/>
          </w:tcPr>
          <w:p>
            <w:pPr>
              <w:pStyle w:val="null3"/>
            </w:pPr>
            <w:r>
              <w:rPr>
                <w:rFonts w:ascii="仿宋_GB2312" w:hAnsi="仿宋_GB2312" w:cs="仿宋_GB2312" w:eastAsia="仿宋_GB2312"/>
              </w:rPr>
              <w:t>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供应商具有依法缴纳社会保障资金的良好记录</w:t>
            </w:r>
          </w:p>
        </w:tc>
        <w:tc>
          <w:tcPr>
            <w:tcW w:type="dxa" w:w="3322"/>
          </w:tcPr>
          <w:p>
            <w:pPr>
              <w:pStyle w:val="null3"/>
            </w:pPr>
            <w:r>
              <w:rPr>
                <w:rFonts w:ascii="仿宋_GB2312" w:hAnsi="仿宋_GB2312" w:cs="仿宋_GB2312" w:eastAsia="仿宋_GB2312"/>
              </w:rPr>
              <w:t>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3322"/>
          </w:tcPr>
          <w:p>
            <w:pPr>
              <w:pStyle w:val="null3"/>
            </w:pPr>
            <w:r>
              <w:rPr>
                <w:rFonts w:ascii="仿宋_GB2312" w:hAnsi="仿宋_GB2312" w:cs="仿宋_GB2312" w:eastAsia="仿宋_GB2312"/>
              </w:rPr>
              <w:t>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控股关系：单位负责人为同一人或者存在控股、管理关系的不同单位，不得同时参加本项目投标</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本项目不接受联合体磋商（响应主体为单一供应商，无需提供证明材料）</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自合同签订之日起至本项服务结束时止。</w:t>
            </w:r>
          </w:p>
        </w:tc>
        <w:tc>
          <w:tcPr>
            <w:tcW w:type="dxa" w:w="1661"/>
          </w:tcPr>
          <w:p>
            <w:pPr>
              <w:pStyle w:val="null3"/>
            </w:pPr>
            <w:r>
              <w:rPr>
                <w:rFonts w:ascii="仿宋_GB2312" w:hAnsi="仿宋_GB2312" w:cs="仿宋_GB2312" w:eastAsia="仿宋_GB2312"/>
              </w:rPr>
              <w:t>技术偏离表.pdf 商务偏离表.pdf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技术偏离表.pdf 响应函 商务偏离表.pdf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自合同签订之日起至本项服务结束时止。</w:t>
            </w:r>
          </w:p>
        </w:tc>
        <w:tc>
          <w:tcPr>
            <w:tcW w:type="dxa" w:w="1661"/>
          </w:tcPr>
          <w:p>
            <w:pPr>
              <w:pStyle w:val="null3"/>
            </w:pPr>
            <w:r>
              <w:rPr>
                <w:rFonts w:ascii="仿宋_GB2312" w:hAnsi="仿宋_GB2312" w:cs="仿宋_GB2312" w:eastAsia="仿宋_GB2312"/>
              </w:rPr>
              <w:t>技术偏离表.pdf 商务偏离表.pdf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技术偏离表.pdf 响应函 商务偏离表.pdf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2021年1月1日起至本项目响应文件递交截止时间止，承接过类似业绩，每提供一个得4分，最高得16分。未提供不得分。 注： ①类似业绩以中标通知书或合同为准； ②时间以中标通知书落款时间或合同签订日期为准。 ③合同需提供关键页（必须含封面、内容、签订时间、盖章签字页等信息）</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1.项目负责人（7分） ①具有本科及以上学历，得3分，其他不得分。 ①具有高级技术职称，得4分，中级技术职称，得2分，未提供不得分。 2.项目团队（10分） ①拟投入的专业工作人员数量（不含项目负责人）：≥10人，得5分；5-9人，得3分；不足5人，得0分。 ②团队人员中具有中级及以上技术职称或注册职业证书的，每提供一个相关证书得1分，最高5分。（每个人的证书不可累计）</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评审内容：供应商针对本项目的总体服务需求，提供全面详细、科学合理的服务方案。方案内容包含 ①项目组织方案； ②项目需求分析； ③专业资料的搜集与内容梳理方案； ④计划进度安排 ⑤项目团队配备方案。 每项内容，有得1分，内容无缺陷得3分，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每提出一点在项目实施过程中存在的重点、难点并提出解决措施及相应处理方案，得1分，最高5分。（每一点提供内容不全的该点不得分）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供应商针对本项目的工作内容提供的质量保障措施，包含但不限于 ①服务质量目标；②质量保证措施；③质量问题处理方案。以上内容无缺项，专门针对本项目编制，符合本项目实际情况，内容全面详细，且条理清晰、准确、合理，能够保障项目顺利实施的得12分。每小项缺项或者内容非针对于本项目的扣4分，每小项有一项内容有缺陷的扣0.5分，扣完为止。（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供应商针对本项目的工作内容提供的进度计划及保障措施，包含但不限于 ①合理的工作计划及时间节点；②项目进度保障措施；③突发状况应急预案。以上内容无缺项，专门针对本项目编制，符合本项目实际情况，内容全面详细，且条理清晰、准确、合理，能够保障项目顺利实施的得12分。每小项缺项或者内容非针对于本项目的扣4分，每小项有一项内容有缺陷的扣0.5分，扣完为止。（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针对本项目内控管理制度，包含但不限于：①项目责任制度；②人员岗位职责；③服务质量和风险防控制度；④服务回访制度等，每提供一项得1.5分，最高得6分。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对本项目服务工作的响应速度、质量承诺、后期服务保障等提出服务承诺，每提供一条得1分，满分4分。不提供不得分。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报价为评审基准价，其价格分为满分。其他供应商的价格分统一按照下列公式计算：响应报价得分=(评审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2021年1月1日起至本项目响应文件递交截止时间止，承接过类似业绩，每提供一个得4分，最高得16分。未提供不得分。 注： ①类似业绩以中标通知书或合同为准； ②时间以中标通知书落款时间或合同签订日期为准。 ③合同需提供关键页（必须含封面、内容、签订时间、盖章签字页等信息）</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1.项目负责人（7分） ①具有本科及以上学历，得3分，其他不得分。 ①具有高级技术职称，得4分，中级技术职称，得2分，未提供不得分。 2.项目团队（10分） ①拟投入的专业工作人员数量（不含项目负责人）：≥10人，得5分；5-9人，得3分；不足5人，得0分。 ②团队人员中具有中级及以上技术职称或注册职业证书的，每提供一个相关证书得1分，最高5分。（每个人的证书不可累计）</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评审内容：供应商针对本项目的总体服务需求，提供全面详细、科学合理的服务方案。方案内容包含 ①项目组织方案； ②项目需求分析； ③专业资料的搜集与内容梳理方案； ④计划进度安排 ⑤项目团队配备方案。 每项内容，有得1分，内容无缺陷得3分，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每提出一点在项目实施过程中存在的重点、难点并提出解决措施及相应处理方案，得1分，最高5分。（每一点提供内容不全的该点不得分）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供应商针对本项目的工作内容提供的质量保障措施，包含但不限于 ①服务质量目标；②质量保证措施；③质量问题处理方案。以上内容无缺项，专门针对本项目编制，符合本项目实际情况，内容全面详细，且条理清晰、准确、合理，能够保障项目顺利实施的得12分。每小项缺项或者内容非针对于本项目的扣4分，每小项有一项内容有缺陷的扣0.5分，扣完为止。（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供应商针对本项目的工作内容提供的进度计划及保障措施，包含但不限于 ①合理的工作计划及时间节点；②项目进度保障措施；③突发状况应急预案。以上内容无缺项，专门针对本项目编制，符合本项目实际情况，内容全面详细，且条理清晰、准确、合理，能够保障项目顺利实施的得12分。每小项缺项或者内容非针对于本项目的扣4分，每小项有一项内容有缺陷的扣0.5分，扣完为止。（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针对本项目内控管理制度，包含但不限于：①项目责任制度；②人员岗位职责；③服务质量和风险防控制度；④服务回访制度等，每提供一项得1.5分，最高得6分。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对本项目服务工作的响应速度、质量承诺、后期服务保障等提出服务承诺，每提供一条得1分，满分4分。不提供不得分。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报价为评审基准价，其价格分为满分。其他供应商的价格分统一按照下列公式计算：响应报价得分=(评审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详见附件：技术偏离表.pdf</w:t>
      </w:r>
    </w:p>
    <w:p>
      <w:pPr>
        <w:pStyle w:val="null3"/>
        <w:ind w:firstLine="960"/>
      </w:pPr>
      <w:r>
        <w:rPr>
          <w:rFonts w:ascii="仿宋_GB2312" w:hAnsi="仿宋_GB2312" w:cs="仿宋_GB2312" w:eastAsia="仿宋_GB2312"/>
        </w:rPr>
        <w:t>详见附件：商务偏离表.pdf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详见附件：技术偏离表.pdf</w:t>
      </w:r>
    </w:p>
    <w:p>
      <w:pPr>
        <w:pStyle w:val="null3"/>
        <w:ind w:firstLine="960"/>
      </w:pPr>
      <w:r>
        <w:rPr>
          <w:rFonts w:ascii="仿宋_GB2312" w:hAnsi="仿宋_GB2312" w:cs="仿宋_GB2312" w:eastAsia="仿宋_GB2312"/>
        </w:rPr>
        <w:t>详见附件：商务偏离表.pdf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