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E4368FB">
      <w:pPr>
        <w:spacing w:line="360" w:lineRule="auto"/>
        <w:jc w:val="center"/>
        <w:rPr>
          <w:rFonts w:hint="eastAsia" w:ascii="华文中宋" w:hAnsi="华文中宋" w:eastAsia="华文中宋" w:cs="Times New Roman"/>
          <w:b/>
          <w:color w:val="auto"/>
          <w:sz w:val="56"/>
          <w:szCs w:val="56"/>
          <w:highlight w:val="none"/>
        </w:rPr>
      </w:pPr>
      <w:r>
        <w:rPr>
          <w:rFonts w:hint="eastAsia" w:ascii="华文中宋" w:hAnsi="华文中宋" w:eastAsia="华文中宋" w:cs="Times New Roman"/>
          <w:b/>
          <w:color w:val="auto"/>
          <w:sz w:val="44"/>
          <w:szCs w:val="44"/>
          <w:highlight w:val="none"/>
          <w:lang w:val="en-US" w:eastAsia="zh-CN"/>
        </w:rPr>
        <w:t>汉滨区五里高级中学厨房设施设备采购项目</w:t>
      </w:r>
    </w:p>
    <w:p w14:paraId="0BB395B3">
      <w:pPr>
        <w:pStyle w:val="16"/>
        <w:rPr>
          <w:rFonts w:hint="eastAsia"/>
          <w:highlight w:val="none"/>
        </w:rPr>
      </w:pPr>
    </w:p>
    <w:p w14:paraId="1690F57C">
      <w:pPr>
        <w:rPr>
          <w:rFonts w:hint="eastAsia"/>
          <w:highlight w:val="none"/>
        </w:rPr>
      </w:pPr>
    </w:p>
    <w:p w14:paraId="2B98E625">
      <w:pPr>
        <w:bidi w:val="0"/>
        <w:rPr>
          <w:rFonts w:hint="eastAsia"/>
          <w:highlight w:val="none"/>
          <w:lang w:val="en-US" w:eastAsia="zh-CN"/>
        </w:rPr>
      </w:pPr>
      <w:r>
        <w:rPr>
          <w:rFonts w:hint="eastAsia"/>
          <w:highlight w:val="none"/>
          <w:lang w:val="en-US" w:eastAsia="zh-CN"/>
        </w:rPr>
        <w:t xml:space="preserve">                                           </w:t>
      </w:r>
    </w:p>
    <w:p w14:paraId="67646DED">
      <w:pPr>
        <w:bidi w:val="0"/>
        <w:rPr>
          <w:rFonts w:hint="eastAsia"/>
          <w:highlight w:val="none"/>
          <w:lang w:val="en-US" w:eastAsia="zh-CN"/>
        </w:rPr>
      </w:pPr>
      <w:r>
        <w:rPr>
          <w:rFonts w:hint="eastAsia"/>
          <w:highlight w:val="none"/>
          <w:lang w:val="en-US" w:eastAsia="zh-CN"/>
        </w:rPr>
        <w:t xml:space="preserve">                               </w:t>
      </w:r>
    </w:p>
    <w:p w14:paraId="2139D1B7">
      <w:pPr>
        <w:pStyle w:val="16"/>
        <w:rPr>
          <w:rFonts w:hint="eastAsia"/>
          <w:lang w:val="en-US" w:eastAsia="zh-CN"/>
        </w:rPr>
      </w:pPr>
    </w:p>
    <w:p w14:paraId="40481F4E">
      <w:pPr>
        <w:bidi w:val="0"/>
        <w:rPr>
          <w:rFonts w:hint="default" w:eastAsia="宋体"/>
          <w:highlight w:val="none"/>
          <w:lang w:val="en-US" w:eastAsia="zh-CN"/>
        </w:rPr>
      </w:pPr>
      <w:r>
        <w:rPr>
          <w:rFonts w:hint="eastAsia"/>
          <w:highlight w:val="none"/>
          <w:lang w:val="en-US" w:eastAsia="zh-CN"/>
        </w:rPr>
        <w:t xml:space="preserve">                                                                                                                                                                                                                                                                                                                                                                                                                                                                                                                                                                                                                                                                                                                                                                                                                                                                                                                                                                                                                                                                                                                                                                                                                                                                                                                                                                                                                                                                                                                                                                                                                                                                                                                                                                                                                                                                                                                                                                                                                                                                                                                                                                                                                                                                                                                                                                                                                                                                                                                                                                                                                                                                                                                                                                                                                                                                                                                                                                                                                                                                                                                                                                                                                                                                                                                                                                                                                                                                                                                                                                                                                                                                                                                                                                                                                                                                                                                                                                                                                                                                                                                                                                                                                </w:t>
      </w:r>
      <w:r>
        <w:rPr>
          <w:rFonts w:hint="eastAsia"/>
          <w:highlight w:val="none"/>
          <w:lang w:val="en-US" w:eastAsia="zh-CN"/>
        </w:rPr>
        <w:t xml:space="preserve">                                                                                                                                                                                                                                                                                                                                                                                                                                                                                                                                                                                                                                                                                                                                                                                                                                                                                                                                                                                                                                                                                                                                                                                                                                                                                                                                                                                                                                                                                                                                                                                                                                                                                                                                                                                                                                                                                                                                                                                                                                                                                                                                                                                                                                                                                                                                                                                                                                                                                                                                                                                                                                                                                                                                                                                                                                                                                                                                                                                                                                                                                                                                                                                                                                                                                                                                                                                                                                                                                                                                                                                                                                                                                                                                                                                                                                                                                                                                                                                                                                                                                                                                                                                                                </w:t>
      </w:r>
      <w:r>
        <w:rPr>
          <w:rFonts w:hint="eastAsia"/>
          <w:highlight w:val="none"/>
          <w:lang w:val="en-US" w:eastAsia="zh-CN"/>
        </w:rPr>
        <w:t xml:space="preserve">                                                                                                                                                                                                                                                                                                                                                                                                                                                                                                                                                                                                                                                                                                                                                                                                                                                                                                                                                                                                                                                                                                                                                                                                                                                                                                                                                                                                                                                                                                                                                                                                                                                                                                                                                                                                                                                                                                                                                                                                                                                                                                                                                                                                                                                                                                                                                                                                                                                                                                                                                                                                                                                                                                                                                                                                                                                                                                                                                                                                                                                                                                                                                                                                                                                                                                                                                                                                                                                                                                                                                                                                                                                                                                                                                                                                                                                                                                                                                                                                                                                                                                                                                                                                                </w:t>
      </w:r>
      <w:r>
        <w:rPr>
          <w:rFonts w:hint="eastAsia"/>
          <w:highlight w:val="none"/>
          <w:lang w:val="en-US" w:eastAsia="zh-CN"/>
        </w:rPr>
        <w:t xml:space="preserve">                                                                                                                                                                                                                                                                                                                                                                                                                                                                                                                                                                                                                                                                                                                                                                                                                                                                                                                                                                                                                                                                                                                                                                                                                                                                                                                                                                                                                                                                                                                                                                                                                                                                                                                                                                                                                                                                                                                                                                                                                                                                                                                                                                                                                                                                                                                                                                                                                                                                                                                                                                                                                                                                                                                                                                                                                                                                                                                                                                                                                                                                                                                                                                                                                                                                                                                                                                                                                                                                                                                                                                                                                                                                                                                                                                                                                                                                                                                                                                                                                                                                                                                                                                                                                </w:t>
      </w:r>
      <w:r>
        <w:rPr>
          <w:rFonts w:hint="eastAsia"/>
          <w:highlight w:val="none"/>
          <w:lang w:val="en-US" w:eastAsia="zh-CN"/>
        </w:rPr>
        <w:t xml:space="preserve">                                                                                                                                                                                                                                               </w:t>
      </w:r>
    </w:p>
    <w:p w14:paraId="215EDF26">
      <w:pPr>
        <w:widowControl/>
        <w:tabs>
          <w:tab w:val="left" w:pos="3828"/>
        </w:tabs>
        <w:autoSpaceDE w:val="0"/>
        <w:autoSpaceDN w:val="0"/>
        <w:jc w:val="center"/>
        <w:textAlignment w:val="bottom"/>
        <w:rPr>
          <w:rFonts w:hint="eastAsia" w:ascii="华文中宋" w:hAnsi="华文中宋" w:eastAsia="华文中宋"/>
          <w:b/>
          <w:color w:val="000000"/>
          <w:spacing w:val="66"/>
          <w:kern w:val="0"/>
          <w:sz w:val="72"/>
          <w:szCs w:val="112"/>
          <w:highlight w:val="none"/>
          <w14:shadow w14:blurRad="50800" w14:dist="38100" w14:dir="2700000" w14:sx="100000" w14:sy="100000" w14:kx="0" w14:ky="0" w14:algn="tl">
            <w14:srgbClr w14:val="000000">
              <w14:alpha w14:val="60001"/>
            </w14:srgbClr>
          </w14:shadow>
        </w:rPr>
      </w:pPr>
      <w:r>
        <w:rPr>
          <w:rFonts w:hint="eastAsia" w:ascii="华文中宋" w:hAnsi="华文中宋" w:eastAsia="华文中宋"/>
          <w:b/>
          <w:color w:val="000000"/>
          <w:spacing w:val="66"/>
          <w:kern w:val="0"/>
          <w:sz w:val="72"/>
          <w:szCs w:val="112"/>
          <w:highlight w:val="none"/>
          <w:lang w:eastAsia="zh-CN"/>
          <w14:shadow w14:blurRad="0" w14:dist="0" w14:dir="0" w14:sx="100000" w14:sy="100000" w14:kx="0" w14:ky="0" w14:algn="none">
            <w14:srgbClr w14:val="808080"/>
          </w14:shadow>
        </w:rPr>
        <w:t>公开</w:t>
      </w:r>
      <w:r>
        <w:rPr>
          <w:rFonts w:hint="eastAsia" w:ascii="华文中宋" w:hAnsi="华文中宋" w:eastAsia="华文中宋"/>
          <w:b/>
          <w:color w:val="000000"/>
          <w:spacing w:val="66"/>
          <w:kern w:val="0"/>
          <w:sz w:val="72"/>
          <w:szCs w:val="112"/>
          <w:highlight w:val="none"/>
          <w14:shadow w14:blurRad="0" w14:dist="0" w14:dir="0" w14:sx="100000" w14:sy="100000" w14:kx="0" w14:ky="0" w14:algn="none">
            <w14:srgbClr w14:val="808080"/>
          </w14:shadow>
        </w:rPr>
        <w:t>招标文件</w:t>
      </w:r>
    </w:p>
    <w:p w14:paraId="0E21A1CF">
      <w:pPr>
        <w:autoSpaceDE w:val="0"/>
        <w:autoSpaceDN w:val="0"/>
        <w:adjustRightInd w:val="0"/>
        <w:jc w:val="center"/>
        <w:outlineLvl w:val="0"/>
        <w:rPr>
          <w:rFonts w:hint="eastAsia" w:ascii="华文中宋" w:hAnsi="华文中宋" w:eastAsia="华文中宋" w:cs="宋体"/>
          <w:color w:val="auto"/>
          <w:sz w:val="40"/>
          <w:szCs w:val="40"/>
          <w:highlight w:val="none"/>
          <w:lang w:eastAsia="zh-CN"/>
        </w:rPr>
      </w:pPr>
      <w:bookmarkStart w:id="0" w:name="_Toc23193"/>
      <w:bookmarkStart w:id="1" w:name="_Toc2230"/>
      <w:r>
        <w:rPr>
          <w:rFonts w:hint="eastAsia" w:ascii="华文中宋" w:hAnsi="华文中宋" w:eastAsia="华文中宋" w:cs="宋体"/>
          <w:color w:val="auto"/>
          <w:sz w:val="40"/>
          <w:szCs w:val="40"/>
          <w:highlight w:val="none"/>
          <w:lang w:eastAsia="zh-CN"/>
        </w:rPr>
        <w:t>（</w:t>
      </w:r>
      <w:r>
        <w:rPr>
          <w:rFonts w:hint="eastAsia" w:ascii="华文中宋" w:hAnsi="华文中宋" w:eastAsia="华文中宋" w:cs="宋体"/>
          <w:b/>
          <w:bCs/>
          <w:color w:val="auto"/>
          <w:sz w:val="40"/>
          <w:szCs w:val="40"/>
          <w:highlight w:val="none"/>
          <w:lang w:eastAsia="zh-CN"/>
        </w:rPr>
        <w:t>项目编号：</w:t>
      </w:r>
      <w:r>
        <w:rPr>
          <w:rFonts w:hint="eastAsia" w:eastAsia="华文中宋" w:cs="Times New Roman"/>
          <w:b/>
          <w:bCs/>
          <w:color w:val="auto"/>
          <w:sz w:val="40"/>
          <w:szCs w:val="40"/>
          <w:highlight w:val="none"/>
          <w:lang w:eastAsia="zh-CN"/>
        </w:rPr>
        <w:t>RHAKCG-20260730</w:t>
      </w:r>
      <w:r>
        <w:rPr>
          <w:rFonts w:hint="eastAsia" w:ascii="华文中宋" w:hAnsi="华文中宋" w:eastAsia="华文中宋" w:cs="宋体"/>
          <w:color w:val="auto"/>
          <w:sz w:val="40"/>
          <w:szCs w:val="40"/>
          <w:highlight w:val="none"/>
          <w:lang w:eastAsia="zh-CN"/>
        </w:rPr>
        <w:t>）</w:t>
      </w:r>
      <w:bookmarkEnd w:id="0"/>
      <w:bookmarkEnd w:id="1"/>
    </w:p>
    <w:p w14:paraId="57FDEF2D">
      <w:pPr>
        <w:pStyle w:val="11"/>
        <w:rPr>
          <w:rFonts w:hint="eastAsia" w:ascii="华文中宋" w:hAnsi="华文中宋" w:eastAsia="华文中宋" w:cs="宋体"/>
          <w:color w:val="auto"/>
          <w:sz w:val="40"/>
          <w:szCs w:val="40"/>
          <w:highlight w:val="none"/>
          <w:lang w:eastAsia="zh-CN"/>
        </w:rPr>
      </w:pPr>
    </w:p>
    <w:p w14:paraId="3F3BE02A">
      <w:pPr>
        <w:pStyle w:val="12"/>
        <w:rPr>
          <w:rFonts w:hint="eastAsia" w:ascii="华文中宋" w:hAnsi="华文中宋" w:eastAsia="华文中宋" w:cs="宋体"/>
          <w:color w:val="auto"/>
          <w:sz w:val="40"/>
          <w:szCs w:val="40"/>
          <w:highlight w:val="none"/>
          <w:lang w:eastAsia="zh-CN"/>
        </w:rPr>
      </w:pPr>
    </w:p>
    <w:p w14:paraId="3FBB474A">
      <w:pPr>
        <w:rPr>
          <w:rFonts w:hint="eastAsia"/>
          <w:lang w:eastAsia="zh-CN"/>
        </w:rPr>
      </w:pPr>
    </w:p>
    <w:p w14:paraId="275C9811">
      <w:pPr>
        <w:bidi w:val="0"/>
        <w:rPr>
          <w:rFonts w:hint="eastAsia"/>
          <w:highlight w:val="none"/>
          <w:lang w:val="es-ES" w:eastAsia="zh-CN"/>
        </w:rPr>
      </w:pPr>
    </w:p>
    <w:p w14:paraId="19CA5257">
      <w:pPr>
        <w:bidi w:val="0"/>
        <w:rPr>
          <w:rFonts w:hint="eastAsia" w:eastAsia="宋体"/>
          <w:highlight w:val="none"/>
          <w:lang w:val="es-ES" w:eastAsia="zh-CN"/>
        </w:rPr>
      </w:pPr>
    </w:p>
    <w:p w14:paraId="51C23D7A">
      <w:pPr>
        <w:pStyle w:val="16"/>
        <w:rPr>
          <w:rFonts w:hint="eastAsia"/>
          <w:highlight w:val="none"/>
          <w:lang w:val="es-ES" w:eastAsia="zh-CN"/>
        </w:rPr>
      </w:pPr>
    </w:p>
    <w:p w14:paraId="54D6A608">
      <w:pPr>
        <w:pStyle w:val="16"/>
        <w:rPr>
          <w:rFonts w:hint="eastAsia"/>
          <w:highlight w:val="none"/>
          <w:lang w:val="es-ES" w:eastAsia="zh-CN"/>
        </w:rPr>
      </w:pPr>
      <w:r>
        <w:rPr>
          <w:rFonts w:hint="eastAsia" w:ascii="宋体" w:hAnsi="宋体" w:eastAsia="宋体" w:cs="宋体"/>
          <w:b/>
          <w:color w:val="auto"/>
          <w:sz w:val="28"/>
          <w:szCs w:val="28"/>
          <w:lang w:eastAsia="zh-CN"/>
        </w:rPr>
        <w:drawing>
          <wp:anchor distT="0" distB="0" distL="114300" distR="114300" simplePos="0" relativeHeight="251662336" behindDoc="1" locked="0" layoutInCell="1" allowOverlap="1">
            <wp:simplePos x="0" y="0"/>
            <wp:positionH relativeFrom="column">
              <wp:posOffset>1880870</wp:posOffset>
            </wp:positionH>
            <wp:positionV relativeFrom="paragraph">
              <wp:posOffset>-1107440</wp:posOffset>
            </wp:positionV>
            <wp:extent cx="1769110" cy="2514600"/>
            <wp:effectExtent l="0" t="0" r="2540" b="0"/>
            <wp:wrapNone/>
            <wp:docPr id="5" name="图片 1" descr="微信图片_20200615151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descr="微信图片_20200615151509"/>
                    <pic:cNvPicPr>
                      <a:picLocks noChangeAspect="1"/>
                    </pic:cNvPicPr>
                  </pic:nvPicPr>
                  <pic:blipFill>
                    <a:blip r:embed="rId12"/>
                    <a:stretch>
                      <a:fillRect/>
                    </a:stretch>
                  </pic:blipFill>
                  <pic:spPr>
                    <a:xfrm>
                      <a:off x="0" y="0"/>
                      <a:ext cx="1769110" cy="2514600"/>
                    </a:xfrm>
                    <a:prstGeom prst="rect">
                      <a:avLst/>
                    </a:prstGeom>
                    <a:noFill/>
                    <a:ln>
                      <a:noFill/>
                    </a:ln>
                  </pic:spPr>
                </pic:pic>
              </a:graphicData>
            </a:graphic>
          </wp:anchor>
        </w:drawing>
      </w:r>
    </w:p>
    <w:p w14:paraId="60ACD543">
      <w:pPr>
        <w:pStyle w:val="16"/>
        <w:rPr>
          <w:rFonts w:hint="eastAsia"/>
          <w:highlight w:val="none"/>
          <w:lang w:val="es-ES" w:eastAsia="zh-CN"/>
        </w:rPr>
      </w:pPr>
    </w:p>
    <w:p w14:paraId="0D97E5C4">
      <w:pPr>
        <w:pStyle w:val="16"/>
        <w:rPr>
          <w:rFonts w:hint="eastAsia"/>
          <w:highlight w:val="none"/>
          <w:lang w:val="es-ES" w:eastAsia="zh-CN"/>
        </w:rPr>
      </w:pPr>
    </w:p>
    <w:p w14:paraId="34119080">
      <w:pPr>
        <w:pStyle w:val="16"/>
        <w:rPr>
          <w:rFonts w:hint="eastAsia"/>
          <w:highlight w:val="none"/>
          <w:lang w:val="es-ES" w:eastAsia="zh-CN"/>
        </w:rPr>
      </w:pPr>
    </w:p>
    <w:p w14:paraId="735E9574">
      <w:pPr>
        <w:pStyle w:val="16"/>
        <w:rPr>
          <w:rFonts w:hint="eastAsia"/>
          <w:highlight w:val="none"/>
          <w:lang w:val="es-ES" w:eastAsia="zh-CN"/>
        </w:rPr>
      </w:pPr>
    </w:p>
    <w:p w14:paraId="366C116F">
      <w:pPr>
        <w:pStyle w:val="38"/>
        <w:rPr>
          <w:rFonts w:hint="eastAsia"/>
          <w:highlight w:val="none"/>
          <w:lang w:val="es-ES" w:eastAsia="zh-CN"/>
        </w:rPr>
      </w:pPr>
    </w:p>
    <w:p w14:paraId="015A4B3B">
      <w:pPr>
        <w:pStyle w:val="38"/>
        <w:rPr>
          <w:rFonts w:hint="eastAsia"/>
          <w:highlight w:val="none"/>
          <w:lang w:val="es-ES" w:eastAsia="zh-CN"/>
        </w:rPr>
      </w:pPr>
    </w:p>
    <w:p w14:paraId="31856ADB">
      <w:pPr>
        <w:pStyle w:val="16"/>
        <w:rPr>
          <w:rFonts w:hint="eastAsia"/>
          <w:highlight w:val="none"/>
          <w:lang w:val="es-ES" w:eastAsia="zh-CN"/>
        </w:rPr>
      </w:pPr>
    </w:p>
    <w:p w14:paraId="4101EECB">
      <w:pPr>
        <w:rPr>
          <w:rFonts w:hint="eastAsia"/>
          <w:lang w:val="es-ES" w:eastAsia="zh-CN"/>
        </w:rPr>
      </w:pPr>
    </w:p>
    <w:p w14:paraId="737DD572">
      <w:pPr>
        <w:bidi w:val="0"/>
        <w:rPr>
          <w:rFonts w:hint="eastAsia"/>
          <w:highlight w:val="none"/>
          <w:lang w:val="es-ES"/>
        </w:rPr>
      </w:pPr>
    </w:p>
    <w:p w14:paraId="23030B84">
      <w:pPr>
        <w:keepNext w:val="0"/>
        <w:keepLines w:val="0"/>
        <w:pageBreakBefore w:val="0"/>
        <w:widowControl w:val="0"/>
        <w:kinsoku/>
        <w:wordWrap/>
        <w:overflowPunct/>
        <w:topLinePunct w:val="0"/>
        <w:autoSpaceDE/>
        <w:autoSpaceDN/>
        <w:bidi w:val="0"/>
        <w:adjustRightInd/>
        <w:snapToGrid/>
        <w:spacing w:before="157" w:beforeLines="50" w:after="157" w:afterLines="50" w:line="600" w:lineRule="exact"/>
        <w:ind w:left="0" w:leftChars="0" w:right="0" w:rightChars="0" w:firstLine="0" w:firstLineChars="0"/>
        <w:jc w:val="center"/>
        <w:textAlignment w:val="auto"/>
        <w:outlineLvl w:val="9"/>
        <w:rPr>
          <w:rFonts w:hint="eastAsia" w:eastAsia="华文中宋"/>
          <w:b/>
          <w:bCs/>
          <w:color w:val="000000"/>
          <w:sz w:val="32"/>
          <w:szCs w:val="32"/>
          <w:highlight w:val="none"/>
          <w:lang w:val="es-ES" w:eastAsia="zh-CN"/>
        </w:rPr>
      </w:pPr>
      <w:r>
        <w:rPr>
          <w:rFonts w:hint="eastAsia" w:eastAsia="华文中宋"/>
          <w:b/>
          <w:bCs/>
          <w:color w:val="000000"/>
          <w:sz w:val="32"/>
          <w:szCs w:val="32"/>
          <w:highlight w:val="none"/>
          <w:lang w:val="es-ES" w:eastAsia="zh-CN"/>
        </w:rPr>
        <w:t>采购</w:t>
      </w:r>
      <w:r>
        <w:rPr>
          <w:rFonts w:hint="eastAsia" w:eastAsia="华文中宋"/>
          <w:b/>
          <w:bCs/>
          <w:color w:val="000000"/>
          <w:sz w:val="32"/>
          <w:szCs w:val="32"/>
          <w:highlight w:val="none"/>
          <w:lang w:val="es-ES"/>
        </w:rPr>
        <w:t>代理</w:t>
      </w:r>
      <w:r>
        <w:rPr>
          <w:rFonts w:hint="eastAsia" w:eastAsia="华文中宋"/>
          <w:b/>
          <w:bCs/>
          <w:color w:val="000000"/>
          <w:sz w:val="32"/>
          <w:szCs w:val="32"/>
          <w:highlight w:val="none"/>
          <w:lang w:val="es-ES" w:eastAsia="zh-CN"/>
        </w:rPr>
        <w:t>机构</w:t>
      </w:r>
      <w:r>
        <w:rPr>
          <w:rFonts w:hint="eastAsia" w:eastAsia="华文中宋"/>
          <w:b/>
          <w:bCs/>
          <w:color w:val="000000"/>
          <w:sz w:val="32"/>
          <w:szCs w:val="32"/>
          <w:highlight w:val="none"/>
          <w:lang w:val="es-ES"/>
        </w:rPr>
        <w:t>：</w:t>
      </w:r>
      <w:r>
        <w:rPr>
          <w:rFonts w:hint="eastAsia" w:eastAsia="华文中宋"/>
          <w:b/>
          <w:bCs/>
          <w:color w:val="000000"/>
          <w:sz w:val="32"/>
          <w:szCs w:val="32"/>
          <w:highlight w:val="none"/>
          <w:lang w:val="es-ES" w:eastAsia="zh-CN"/>
        </w:rPr>
        <w:t>瑞恒项目管理有限公司</w:t>
      </w:r>
    </w:p>
    <w:p w14:paraId="64FC7C58">
      <w:pPr>
        <w:keepNext w:val="0"/>
        <w:keepLines w:val="0"/>
        <w:pageBreakBefore w:val="0"/>
        <w:widowControl w:val="0"/>
        <w:kinsoku/>
        <w:wordWrap/>
        <w:overflowPunct/>
        <w:topLinePunct w:val="0"/>
        <w:autoSpaceDE/>
        <w:autoSpaceDN/>
        <w:bidi w:val="0"/>
        <w:adjustRightInd/>
        <w:snapToGrid/>
        <w:spacing w:before="157" w:beforeLines="50" w:after="157" w:afterLines="50" w:line="600" w:lineRule="exact"/>
        <w:ind w:left="0" w:leftChars="0" w:right="0" w:rightChars="0" w:firstLine="0" w:firstLineChars="0"/>
        <w:jc w:val="center"/>
        <w:textAlignment w:val="auto"/>
        <w:outlineLvl w:val="9"/>
        <w:rPr>
          <w:rFonts w:hint="eastAsia"/>
          <w:sz w:val="30"/>
          <w:szCs w:val="30"/>
          <w:highlight w:val="none"/>
        </w:rPr>
        <w:sectPr>
          <w:headerReference r:id="rId3" w:type="default"/>
          <w:footerReference r:id="rId4" w:type="default"/>
          <w:pgSz w:w="11905" w:h="16838"/>
          <w:pgMar w:top="1304" w:right="1236" w:bottom="1304" w:left="1236" w:header="1020" w:footer="680" w:gutter="0"/>
          <w:pgBorders w:zOrder="back">
            <w:top w:val="thinThickSmallGap" w:color="auto" w:sz="24" w:space="1"/>
            <w:left w:val="none" w:sz="0" w:space="0"/>
            <w:bottom w:val="thinThickSmallGap" w:color="auto" w:sz="24" w:space="1"/>
            <w:right w:val="none" w:sz="0" w:space="0"/>
          </w:pgBorders>
          <w:cols w:space="0" w:num="1"/>
          <w:rtlGutter w:val="0"/>
          <w:docGrid w:type="lines" w:linePitch="319" w:charSpace="0"/>
        </w:sectPr>
      </w:pPr>
      <w:r>
        <w:rPr>
          <w:rFonts w:hint="eastAsia" w:eastAsia="华文中宋"/>
          <w:b/>
          <w:bCs/>
          <w:color w:val="000000"/>
          <w:sz w:val="32"/>
          <w:szCs w:val="32"/>
          <w:highlight w:val="none"/>
          <w:lang w:val="es-ES"/>
        </w:rPr>
        <w:t>发</w:t>
      </w:r>
      <w:r>
        <w:rPr>
          <w:rFonts w:hint="eastAsia" w:eastAsia="华文中宋"/>
          <w:b/>
          <w:bCs/>
          <w:color w:val="auto"/>
          <w:sz w:val="32"/>
          <w:szCs w:val="32"/>
          <w:highlight w:val="none"/>
          <w:lang w:val="es-ES"/>
        </w:rPr>
        <w:t>布日期：二〇二</w:t>
      </w:r>
      <w:r>
        <w:rPr>
          <w:rFonts w:hint="eastAsia" w:eastAsia="华文中宋"/>
          <w:b/>
          <w:bCs/>
          <w:color w:val="auto"/>
          <w:sz w:val="32"/>
          <w:szCs w:val="32"/>
          <w:highlight w:val="none"/>
          <w:lang w:val="en-US" w:eastAsia="zh-CN"/>
        </w:rPr>
        <w:t>六</w:t>
      </w:r>
      <w:r>
        <w:rPr>
          <w:rFonts w:hint="eastAsia" w:eastAsia="华文中宋"/>
          <w:b/>
          <w:bCs/>
          <w:color w:val="auto"/>
          <w:sz w:val="32"/>
          <w:szCs w:val="32"/>
          <w:highlight w:val="none"/>
          <w:lang w:val="es-ES"/>
        </w:rPr>
        <w:t>年</w:t>
      </w:r>
      <w:r>
        <w:rPr>
          <w:rFonts w:hint="eastAsia" w:eastAsia="华文中宋"/>
          <w:b/>
          <w:bCs/>
          <w:color w:val="auto"/>
          <w:sz w:val="32"/>
          <w:szCs w:val="32"/>
          <w:highlight w:val="none"/>
          <w:lang w:val="en-US" w:eastAsia="zh-CN"/>
        </w:rPr>
        <w:t>七</w:t>
      </w:r>
      <w:r>
        <w:rPr>
          <w:rFonts w:hint="eastAsia" w:eastAsia="华文中宋"/>
          <w:b/>
          <w:bCs/>
          <w:color w:val="auto"/>
          <w:sz w:val="32"/>
          <w:szCs w:val="32"/>
          <w:highlight w:val="none"/>
          <w:lang w:val="es-ES"/>
        </w:rPr>
        <w:t>月</w:t>
      </w:r>
    </w:p>
    <w:p w14:paraId="4A2C51AB">
      <w:pPr>
        <w:spacing w:line="360" w:lineRule="auto"/>
        <w:jc w:val="center"/>
        <w:rPr>
          <w:rFonts w:hint="eastAsia" w:ascii="宋体" w:hAnsi="宋体" w:eastAsia="宋体" w:cs="宋体"/>
          <w:b/>
          <w:bCs/>
          <w:sz w:val="36"/>
          <w:szCs w:val="36"/>
          <w:highlight w:val="none"/>
        </w:rPr>
      </w:pPr>
      <w:bookmarkStart w:id="2" w:name="_Toc18166"/>
      <w:bookmarkStart w:id="3" w:name="_Toc196474972"/>
      <w:r>
        <w:rPr>
          <w:rFonts w:hint="eastAsia" w:ascii="宋体" w:hAnsi="宋体" w:eastAsia="宋体" w:cs="宋体"/>
          <w:b/>
          <w:bCs/>
          <w:sz w:val="36"/>
          <w:szCs w:val="36"/>
          <w:highlight w:val="none"/>
          <w:lang w:val="zh-CN"/>
        </w:rPr>
        <w:t>目   录</w:t>
      </w:r>
      <w:bookmarkEnd w:id="2"/>
    </w:p>
    <w:p w14:paraId="34E79EBF">
      <w:pPr>
        <w:pStyle w:val="29"/>
        <w:tabs>
          <w:tab w:val="right" w:leader="dot" w:pos="9433"/>
          <w:tab w:val="clear" w:pos="8280"/>
          <w:tab w:val="clear" w:pos="9360"/>
        </w:tabs>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fldChar w:fldCharType="begin"/>
      </w:r>
      <w:r>
        <w:rPr>
          <w:rFonts w:hint="eastAsia" w:ascii="宋体" w:hAnsi="宋体" w:eastAsia="宋体" w:cs="宋体"/>
          <w:b w:val="0"/>
          <w:bCs/>
          <w:sz w:val="24"/>
          <w:szCs w:val="24"/>
          <w:highlight w:val="none"/>
        </w:rPr>
        <w:instrText xml:space="preserve">TOC \o "1-1" \h \u </w:instrText>
      </w:r>
      <w:r>
        <w:rPr>
          <w:rFonts w:hint="eastAsia" w:ascii="宋体" w:hAnsi="宋体" w:eastAsia="宋体" w:cs="宋体"/>
          <w:b w:val="0"/>
          <w:bCs/>
          <w:sz w:val="24"/>
          <w:szCs w:val="24"/>
          <w:highlight w:val="none"/>
        </w:rPr>
        <w:fldChar w:fldCharType="separate"/>
      </w:r>
    </w:p>
    <w:p w14:paraId="562D1C38"/>
    <w:p w14:paraId="4A8AB34D">
      <w:pPr>
        <w:pStyle w:val="29"/>
        <w:tabs>
          <w:tab w:val="right" w:leader="dot" w:pos="9433"/>
          <w:tab w:val="clear" w:pos="8280"/>
          <w:tab w:val="clear" w:pos="9360"/>
        </w:tabs>
        <w:rPr>
          <w:rFonts w:hint="eastAsia" w:ascii="宋体" w:hAnsi="宋体" w:eastAsia="宋体" w:cs="宋体"/>
          <w:bCs/>
          <w:szCs w:val="24"/>
          <w:highlight w:val="none"/>
        </w:rPr>
      </w:pPr>
      <w:r>
        <w:rPr>
          <w:rFonts w:hint="eastAsia" w:ascii="宋体" w:hAnsi="宋体" w:eastAsia="宋体" w:cs="宋体"/>
          <w:bCs/>
          <w:szCs w:val="24"/>
          <w:highlight w:val="none"/>
        </w:rPr>
        <w:fldChar w:fldCharType="begin"/>
      </w:r>
      <w:r>
        <w:rPr>
          <w:rFonts w:hint="eastAsia" w:ascii="宋体" w:hAnsi="宋体" w:eastAsia="宋体" w:cs="宋体"/>
          <w:bCs/>
          <w:szCs w:val="24"/>
          <w:highlight w:val="none"/>
        </w:rPr>
        <w:instrText xml:space="preserve"> HYPERLINK \l _Toc4554 </w:instrText>
      </w:r>
      <w:r>
        <w:rPr>
          <w:rFonts w:hint="eastAsia" w:ascii="宋体" w:hAnsi="宋体" w:eastAsia="宋体" w:cs="宋体"/>
          <w:bCs/>
          <w:szCs w:val="24"/>
          <w:highlight w:val="none"/>
        </w:rPr>
        <w:fldChar w:fldCharType="separate"/>
      </w:r>
      <w:r>
        <w:rPr>
          <w:rFonts w:hint="eastAsia" w:ascii="宋体" w:hAnsi="宋体" w:eastAsia="宋体" w:cs="宋体"/>
          <w:bCs/>
          <w:szCs w:val="36"/>
          <w:highlight w:val="none"/>
          <w:lang w:eastAsia="zh-CN"/>
        </w:rPr>
        <w:t>第一章</w:t>
      </w:r>
      <w:r>
        <w:rPr>
          <w:rFonts w:hint="eastAsia" w:ascii="宋体" w:hAnsi="宋体" w:eastAsia="宋体" w:cs="宋体"/>
          <w:bCs/>
          <w:szCs w:val="36"/>
          <w:highlight w:val="none"/>
          <w:lang w:val="en-US" w:eastAsia="zh-CN"/>
        </w:rPr>
        <w:t xml:space="preserve">  </w:t>
      </w:r>
      <w:r>
        <w:rPr>
          <w:rFonts w:hint="eastAsia" w:ascii="宋体" w:hAnsi="宋体" w:eastAsia="宋体" w:cs="宋体"/>
          <w:bCs/>
          <w:szCs w:val="36"/>
          <w:highlight w:val="none"/>
        </w:rPr>
        <w:t>招标公告</w:t>
      </w:r>
      <w:r>
        <w:tab/>
      </w:r>
      <w:r>
        <w:fldChar w:fldCharType="begin"/>
      </w:r>
      <w:r>
        <w:instrText xml:space="preserve"> PAGEREF _Toc4554 \h </w:instrText>
      </w:r>
      <w:r>
        <w:fldChar w:fldCharType="separate"/>
      </w:r>
      <w:r>
        <w:t>3</w:t>
      </w:r>
      <w:r>
        <w:fldChar w:fldCharType="end"/>
      </w:r>
      <w:r>
        <w:rPr>
          <w:rFonts w:hint="eastAsia" w:ascii="宋体" w:hAnsi="宋体" w:eastAsia="宋体" w:cs="宋体"/>
          <w:bCs/>
          <w:szCs w:val="24"/>
          <w:highlight w:val="none"/>
        </w:rPr>
        <w:fldChar w:fldCharType="end"/>
      </w:r>
    </w:p>
    <w:p w14:paraId="7299F462"/>
    <w:p w14:paraId="335E973C">
      <w:pPr>
        <w:pStyle w:val="29"/>
        <w:tabs>
          <w:tab w:val="right" w:leader="dot" w:pos="9433"/>
          <w:tab w:val="clear" w:pos="8280"/>
          <w:tab w:val="clear" w:pos="9360"/>
        </w:tabs>
        <w:rPr>
          <w:rFonts w:hint="eastAsia" w:ascii="宋体" w:hAnsi="宋体" w:eastAsia="宋体" w:cs="宋体"/>
          <w:bCs/>
          <w:szCs w:val="24"/>
          <w:highlight w:val="none"/>
        </w:rPr>
      </w:pPr>
      <w:r>
        <w:rPr>
          <w:rFonts w:hint="eastAsia" w:ascii="宋体" w:hAnsi="宋体" w:eastAsia="宋体" w:cs="宋体"/>
          <w:bCs/>
          <w:szCs w:val="24"/>
          <w:highlight w:val="none"/>
        </w:rPr>
        <w:fldChar w:fldCharType="begin"/>
      </w:r>
      <w:r>
        <w:rPr>
          <w:rFonts w:hint="eastAsia" w:ascii="宋体" w:hAnsi="宋体" w:eastAsia="宋体" w:cs="宋体"/>
          <w:bCs/>
          <w:szCs w:val="24"/>
          <w:highlight w:val="none"/>
        </w:rPr>
        <w:instrText xml:space="preserve"> HYPERLINK \l _Toc24230 </w:instrText>
      </w:r>
      <w:r>
        <w:rPr>
          <w:rFonts w:hint="eastAsia" w:ascii="宋体" w:hAnsi="宋体" w:eastAsia="宋体" w:cs="宋体"/>
          <w:bCs/>
          <w:szCs w:val="24"/>
          <w:highlight w:val="none"/>
        </w:rPr>
        <w:fldChar w:fldCharType="separate"/>
      </w:r>
      <w:r>
        <w:rPr>
          <w:rFonts w:hint="eastAsia" w:ascii="宋体" w:hAnsi="宋体" w:eastAsia="宋体" w:cs="宋体"/>
          <w:bCs/>
          <w:szCs w:val="36"/>
          <w:highlight w:val="none"/>
          <w:lang w:eastAsia="zh-CN"/>
        </w:rPr>
        <w:t>第二章</w:t>
      </w:r>
      <w:r>
        <w:rPr>
          <w:rFonts w:hint="eastAsia" w:ascii="宋体" w:hAnsi="宋体" w:eastAsia="宋体" w:cs="宋体"/>
          <w:bCs/>
          <w:szCs w:val="36"/>
          <w:highlight w:val="none"/>
          <w:lang w:val="en-US" w:eastAsia="zh-CN"/>
        </w:rPr>
        <w:t xml:space="preserve">  </w:t>
      </w:r>
      <w:r>
        <w:rPr>
          <w:rFonts w:hint="eastAsia" w:ascii="宋体" w:hAnsi="宋体" w:eastAsia="宋体" w:cs="宋体"/>
          <w:bCs/>
          <w:szCs w:val="36"/>
          <w:highlight w:val="none"/>
        </w:rPr>
        <w:t>投标人须知</w:t>
      </w:r>
      <w:r>
        <w:tab/>
      </w:r>
      <w:r>
        <w:rPr>
          <w:rFonts w:hint="eastAsia"/>
          <w:lang w:val="en-US" w:eastAsia="zh-CN"/>
        </w:rPr>
        <w:t>8</w:t>
      </w:r>
      <w:r>
        <w:rPr>
          <w:rFonts w:hint="eastAsia" w:ascii="宋体" w:hAnsi="宋体" w:eastAsia="宋体" w:cs="宋体"/>
          <w:bCs/>
          <w:szCs w:val="24"/>
          <w:highlight w:val="none"/>
        </w:rPr>
        <w:fldChar w:fldCharType="end"/>
      </w:r>
    </w:p>
    <w:p w14:paraId="1777767B"/>
    <w:p w14:paraId="2852C173">
      <w:pPr>
        <w:pStyle w:val="29"/>
        <w:tabs>
          <w:tab w:val="right" w:leader="dot" w:pos="9433"/>
          <w:tab w:val="clear" w:pos="8280"/>
          <w:tab w:val="clear" w:pos="9360"/>
        </w:tabs>
        <w:rPr>
          <w:rFonts w:hint="eastAsia" w:eastAsia="宋体" w:cs="宋体"/>
          <w:bCs/>
          <w:szCs w:val="24"/>
          <w:highlight w:val="none"/>
          <w:lang w:val="en-US" w:eastAsia="zh-CN"/>
        </w:rPr>
      </w:pPr>
      <w:r>
        <w:rPr>
          <w:rFonts w:hint="eastAsia" w:ascii="宋体" w:hAnsi="宋体" w:eastAsia="宋体" w:cs="宋体"/>
          <w:bCs/>
          <w:szCs w:val="24"/>
          <w:highlight w:val="none"/>
        </w:rPr>
        <w:fldChar w:fldCharType="begin"/>
      </w:r>
      <w:r>
        <w:rPr>
          <w:rFonts w:hint="eastAsia" w:ascii="宋体" w:hAnsi="宋体" w:eastAsia="宋体" w:cs="宋体"/>
          <w:bCs/>
          <w:szCs w:val="24"/>
          <w:highlight w:val="none"/>
        </w:rPr>
        <w:instrText xml:space="preserve"> HYPERLINK \l _Toc18171 </w:instrText>
      </w:r>
      <w:r>
        <w:rPr>
          <w:rFonts w:hint="eastAsia" w:ascii="宋体" w:hAnsi="宋体" w:eastAsia="宋体" w:cs="宋体"/>
          <w:bCs/>
          <w:szCs w:val="24"/>
          <w:highlight w:val="none"/>
        </w:rPr>
        <w:fldChar w:fldCharType="separate"/>
      </w:r>
      <w:r>
        <w:rPr>
          <w:rFonts w:hint="eastAsia" w:ascii="宋体" w:hAnsi="宋体" w:eastAsia="宋体" w:cs="宋体"/>
          <w:bCs/>
          <w:szCs w:val="36"/>
          <w:highlight w:val="none"/>
          <w:lang w:eastAsia="zh-CN"/>
        </w:rPr>
        <w:t>第三章</w:t>
      </w:r>
      <w:r>
        <w:rPr>
          <w:rFonts w:hint="eastAsia" w:ascii="宋体" w:hAnsi="宋体" w:eastAsia="宋体" w:cs="宋体"/>
          <w:bCs/>
          <w:szCs w:val="36"/>
          <w:highlight w:val="none"/>
          <w:lang w:val="en-US" w:eastAsia="zh-CN"/>
        </w:rPr>
        <w:t xml:space="preserve">  </w:t>
      </w:r>
      <w:r>
        <w:rPr>
          <w:rFonts w:hint="eastAsia" w:ascii="宋体" w:hAnsi="宋体" w:eastAsia="宋体" w:cs="宋体"/>
          <w:bCs/>
          <w:szCs w:val="36"/>
          <w:highlight w:val="none"/>
        </w:rPr>
        <w:t>评标办法</w:t>
      </w:r>
      <w:r>
        <w:tab/>
      </w:r>
      <w:r>
        <w:rPr>
          <w:rFonts w:hint="eastAsia"/>
          <w:lang w:val="en-US" w:eastAsia="zh-CN"/>
        </w:rPr>
        <w:t>3</w:t>
      </w:r>
      <w:r>
        <w:rPr>
          <w:rFonts w:hint="eastAsia" w:ascii="宋体" w:hAnsi="宋体" w:eastAsia="宋体" w:cs="宋体"/>
          <w:bCs/>
          <w:szCs w:val="24"/>
          <w:highlight w:val="none"/>
        </w:rPr>
        <w:fldChar w:fldCharType="end"/>
      </w:r>
      <w:r>
        <w:rPr>
          <w:rFonts w:hint="eastAsia" w:cs="宋体"/>
          <w:bCs/>
          <w:szCs w:val="24"/>
          <w:highlight w:val="none"/>
          <w:lang w:val="en-US" w:eastAsia="zh-CN"/>
        </w:rPr>
        <w:t>1</w:t>
      </w:r>
    </w:p>
    <w:p w14:paraId="55367DA3">
      <w:pPr>
        <w:rPr>
          <w:rFonts w:hint="eastAsia"/>
          <w:lang w:val="en-US" w:eastAsia="zh-CN"/>
        </w:rPr>
      </w:pPr>
    </w:p>
    <w:p w14:paraId="5B272BE2">
      <w:pPr>
        <w:pStyle w:val="29"/>
        <w:tabs>
          <w:tab w:val="right" w:leader="dot" w:pos="9433"/>
          <w:tab w:val="clear" w:pos="8280"/>
          <w:tab w:val="clear" w:pos="9360"/>
        </w:tabs>
        <w:rPr>
          <w:rFonts w:hint="default" w:eastAsia="宋体"/>
          <w:lang w:val="en-US" w:eastAsia="zh-CN"/>
        </w:rPr>
      </w:pPr>
      <w:r>
        <w:rPr>
          <w:rFonts w:hint="eastAsia" w:cs="宋体"/>
          <w:bCs/>
          <w:szCs w:val="24"/>
          <w:highlight w:val="none"/>
          <w:lang w:val="en-US" w:eastAsia="zh-CN"/>
        </w:rPr>
        <w:t>第四章  采购</w:t>
      </w:r>
      <w:r>
        <w:rPr>
          <w:rFonts w:hint="eastAsia" w:ascii="宋体" w:hAnsi="宋体" w:eastAsia="宋体" w:cs="宋体"/>
          <w:bCs/>
          <w:szCs w:val="24"/>
          <w:highlight w:val="none"/>
          <w:lang w:val="en-US" w:eastAsia="zh-CN"/>
        </w:rPr>
        <w:t>内容及要求</w:t>
      </w:r>
      <w:r>
        <w:tab/>
      </w:r>
      <w:r>
        <w:rPr>
          <w:rFonts w:hint="eastAsia"/>
          <w:lang w:val="en-US" w:eastAsia="zh-CN"/>
        </w:rPr>
        <w:t>44</w:t>
      </w:r>
    </w:p>
    <w:p w14:paraId="0215AE12"/>
    <w:p w14:paraId="52DE0905">
      <w:pPr>
        <w:pStyle w:val="29"/>
        <w:tabs>
          <w:tab w:val="right" w:leader="dot" w:pos="9433"/>
          <w:tab w:val="clear" w:pos="8280"/>
          <w:tab w:val="clear" w:pos="9360"/>
        </w:tabs>
        <w:rPr>
          <w:rFonts w:hint="eastAsia" w:ascii="宋体" w:hAnsi="宋体" w:eastAsia="宋体" w:cs="宋体"/>
          <w:bCs/>
          <w:szCs w:val="24"/>
          <w:highlight w:val="none"/>
          <w:lang w:val="en-US" w:eastAsia="zh-CN"/>
        </w:rPr>
      </w:pPr>
      <w:r>
        <w:rPr>
          <w:rFonts w:hint="eastAsia" w:ascii="宋体" w:hAnsi="宋体" w:eastAsia="宋体" w:cs="宋体"/>
          <w:bCs/>
          <w:szCs w:val="24"/>
          <w:highlight w:val="none"/>
        </w:rPr>
        <w:fldChar w:fldCharType="begin"/>
      </w:r>
      <w:r>
        <w:rPr>
          <w:rFonts w:hint="eastAsia" w:ascii="宋体" w:hAnsi="宋体" w:eastAsia="宋体" w:cs="宋体"/>
          <w:bCs/>
          <w:szCs w:val="24"/>
          <w:highlight w:val="none"/>
        </w:rPr>
        <w:instrText xml:space="preserve"> HYPERLINK \l _Toc19379 </w:instrText>
      </w:r>
      <w:r>
        <w:rPr>
          <w:rFonts w:hint="eastAsia" w:ascii="宋体" w:hAnsi="宋体" w:eastAsia="宋体" w:cs="宋体"/>
          <w:bCs/>
          <w:szCs w:val="24"/>
          <w:highlight w:val="none"/>
        </w:rPr>
        <w:fldChar w:fldCharType="separate"/>
      </w:r>
      <w:r>
        <w:rPr>
          <w:rFonts w:hint="eastAsia" w:ascii="宋体" w:hAnsi="宋体" w:eastAsia="宋体" w:cs="宋体"/>
          <w:bCs/>
          <w:szCs w:val="36"/>
          <w:highlight w:val="none"/>
          <w:lang w:eastAsia="zh-CN"/>
        </w:rPr>
        <w:t>第五章</w:t>
      </w:r>
      <w:r>
        <w:rPr>
          <w:rFonts w:hint="eastAsia" w:ascii="宋体" w:hAnsi="宋体" w:eastAsia="宋体" w:cs="宋体"/>
          <w:bCs/>
          <w:szCs w:val="36"/>
          <w:highlight w:val="none"/>
          <w:lang w:val="en-US" w:eastAsia="zh-CN"/>
        </w:rPr>
        <w:t xml:space="preserve">  </w:t>
      </w:r>
      <w:r>
        <w:rPr>
          <w:rFonts w:hint="eastAsia" w:cs="宋体"/>
          <w:bCs/>
          <w:szCs w:val="36"/>
          <w:highlight w:val="none"/>
          <w:lang w:eastAsia="zh-CN"/>
        </w:rPr>
        <w:t>主要合同条款</w:t>
      </w:r>
      <w:r>
        <w:tab/>
      </w:r>
      <w:r>
        <w:rPr>
          <w:rFonts w:hint="eastAsia"/>
          <w:lang w:val="en-US" w:eastAsia="zh-CN"/>
        </w:rPr>
        <w:t>9</w:t>
      </w:r>
      <w:r>
        <w:rPr>
          <w:rFonts w:hint="eastAsia" w:ascii="宋体" w:hAnsi="宋体" w:eastAsia="宋体" w:cs="宋体"/>
          <w:bCs/>
          <w:szCs w:val="24"/>
          <w:highlight w:val="none"/>
        </w:rPr>
        <w:fldChar w:fldCharType="end"/>
      </w:r>
      <w:r>
        <w:rPr>
          <w:rFonts w:hint="eastAsia" w:cs="宋体"/>
          <w:bCs/>
          <w:szCs w:val="24"/>
          <w:highlight w:val="none"/>
          <w:lang w:val="en-US" w:eastAsia="zh-CN"/>
        </w:rPr>
        <w:t>1</w:t>
      </w:r>
    </w:p>
    <w:p w14:paraId="0A7AD351"/>
    <w:p w14:paraId="3C370739">
      <w:pPr>
        <w:pStyle w:val="29"/>
        <w:tabs>
          <w:tab w:val="right" w:leader="dot" w:pos="9433"/>
          <w:tab w:val="clear" w:pos="8280"/>
          <w:tab w:val="clear" w:pos="9360"/>
        </w:tabs>
        <w:rPr>
          <w:rFonts w:hint="eastAsia" w:eastAsia="宋体"/>
          <w:lang w:val="en-US" w:eastAsia="zh-CN"/>
        </w:rPr>
      </w:pPr>
      <w:r>
        <w:rPr>
          <w:rFonts w:hint="eastAsia" w:ascii="宋体" w:hAnsi="宋体" w:eastAsia="宋体" w:cs="宋体"/>
          <w:bCs/>
          <w:szCs w:val="24"/>
          <w:highlight w:val="none"/>
        </w:rPr>
        <w:fldChar w:fldCharType="begin"/>
      </w:r>
      <w:r>
        <w:rPr>
          <w:rFonts w:hint="eastAsia" w:ascii="宋体" w:hAnsi="宋体" w:eastAsia="宋体" w:cs="宋体"/>
          <w:bCs/>
          <w:szCs w:val="24"/>
          <w:highlight w:val="none"/>
        </w:rPr>
        <w:instrText xml:space="preserve"> HYPERLINK \l _Toc17681 </w:instrText>
      </w:r>
      <w:r>
        <w:rPr>
          <w:rFonts w:hint="eastAsia" w:ascii="宋体" w:hAnsi="宋体" w:eastAsia="宋体" w:cs="宋体"/>
          <w:bCs/>
          <w:szCs w:val="24"/>
          <w:highlight w:val="none"/>
        </w:rPr>
        <w:fldChar w:fldCharType="separate"/>
      </w:r>
      <w:r>
        <w:rPr>
          <w:rFonts w:hint="eastAsia" w:ascii="宋体" w:hAnsi="宋体" w:eastAsia="宋体" w:cs="宋体"/>
          <w:bCs/>
          <w:szCs w:val="36"/>
          <w:highlight w:val="none"/>
        </w:rPr>
        <w:t>第</w:t>
      </w:r>
      <w:r>
        <w:rPr>
          <w:rFonts w:hint="eastAsia" w:ascii="宋体" w:hAnsi="宋体" w:eastAsia="宋体" w:cs="宋体"/>
          <w:bCs/>
          <w:szCs w:val="36"/>
          <w:highlight w:val="none"/>
          <w:lang w:eastAsia="zh-CN"/>
        </w:rPr>
        <w:t>六</w:t>
      </w:r>
      <w:r>
        <w:rPr>
          <w:rFonts w:hint="eastAsia" w:ascii="宋体" w:hAnsi="宋体" w:eastAsia="宋体" w:cs="宋体"/>
          <w:bCs/>
          <w:szCs w:val="36"/>
          <w:highlight w:val="none"/>
        </w:rPr>
        <w:t>章  投标文件格式</w:t>
      </w:r>
      <w:r>
        <w:tab/>
      </w:r>
      <w:r>
        <w:rPr>
          <w:rFonts w:hint="eastAsia"/>
          <w:lang w:val="en-US" w:eastAsia="zh-CN"/>
        </w:rPr>
        <w:t>9</w:t>
      </w:r>
      <w:r>
        <w:rPr>
          <w:rFonts w:hint="eastAsia" w:ascii="宋体" w:hAnsi="宋体" w:eastAsia="宋体" w:cs="宋体"/>
          <w:bCs/>
          <w:szCs w:val="24"/>
          <w:highlight w:val="none"/>
        </w:rPr>
        <w:fldChar w:fldCharType="end"/>
      </w:r>
      <w:r>
        <w:rPr>
          <w:rFonts w:hint="eastAsia" w:cs="宋体"/>
          <w:bCs/>
          <w:szCs w:val="24"/>
          <w:highlight w:val="none"/>
          <w:lang w:val="en-US" w:eastAsia="zh-CN"/>
        </w:rPr>
        <w:t>4</w:t>
      </w:r>
    </w:p>
    <w:p w14:paraId="4C358782">
      <w:pPr>
        <w:pStyle w:val="32"/>
        <w:keepNext w:val="0"/>
        <w:keepLines w:val="0"/>
        <w:pageBreakBefore w:val="0"/>
        <w:widowControl w:val="0"/>
        <w:tabs>
          <w:tab w:val="right" w:leader="dot" w:pos="9458"/>
        </w:tabs>
        <w:kinsoku/>
        <w:wordWrap/>
        <w:overflowPunct/>
        <w:topLinePunct w:val="0"/>
        <w:autoSpaceDE/>
        <w:autoSpaceDN/>
        <w:bidi w:val="0"/>
        <w:spacing w:line="600" w:lineRule="exact"/>
        <w:ind w:left="0" w:leftChars="0" w:right="0" w:rightChars="0"/>
        <w:jc w:val="both"/>
        <w:textAlignment w:val="auto"/>
        <w:outlineLvl w:val="9"/>
        <w:rPr>
          <w:rFonts w:hint="eastAsia" w:ascii="新宋体" w:hAnsi="新宋体" w:eastAsia="新宋体" w:cs="新宋体"/>
          <w:szCs w:val="21"/>
          <w:highlight w:val="none"/>
        </w:rPr>
      </w:pPr>
      <w:r>
        <w:rPr>
          <w:rFonts w:hint="eastAsia" w:ascii="宋体" w:hAnsi="宋体" w:eastAsia="宋体" w:cs="宋体"/>
          <w:bCs/>
          <w:szCs w:val="24"/>
          <w:highlight w:val="none"/>
        </w:rPr>
        <w:fldChar w:fldCharType="end"/>
      </w:r>
    </w:p>
    <w:p w14:paraId="7591A928">
      <w:pPr>
        <w:pStyle w:val="32"/>
        <w:tabs>
          <w:tab w:val="right" w:leader="dot" w:pos="9458"/>
        </w:tabs>
        <w:spacing w:line="600" w:lineRule="exact"/>
        <w:ind w:left="0" w:leftChars="0"/>
        <w:rPr>
          <w:rFonts w:hint="eastAsia" w:ascii="新宋体" w:hAnsi="新宋体" w:eastAsia="新宋体" w:cs="新宋体"/>
          <w:szCs w:val="21"/>
          <w:highlight w:val="none"/>
        </w:rPr>
      </w:pPr>
    </w:p>
    <w:p w14:paraId="142BBB01">
      <w:pPr>
        <w:pStyle w:val="32"/>
        <w:tabs>
          <w:tab w:val="right" w:leader="dot" w:pos="9458"/>
        </w:tabs>
        <w:spacing w:line="600" w:lineRule="exact"/>
        <w:ind w:left="0" w:leftChars="0"/>
        <w:rPr>
          <w:rFonts w:hint="eastAsia" w:ascii="新宋体" w:hAnsi="新宋体" w:eastAsia="新宋体" w:cs="新宋体"/>
          <w:szCs w:val="21"/>
          <w:highlight w:val="none"/>
        </w:rPr>
      </w:pPr>
    </w:p>
    <w:p w14:paraId="3310D3E5">
      <w:pPr>
        <w:pStyle w:val="32"/>
        <w:tabs>
          <w:tab w:val="right" w:leader="dot" w:pos="9458"/>
        </w:tabs>
        <w:spacing w:line="600" w:lineRule="exact"/>
        <w:ind w:left="0" w:leftChars="0"/>
        <w:rPr>
          <w:rFonts w:hint="eastAsia" w:ascii="新宋体" w:hAnsi="新宋体" w:eastAsia="新宋体" w:cs="新宋体"/>
          <w:szCs w:val="21"/>
          <w:highlight w:val="none"/>
        </w:rPr>
      </w:pPr>
    </w:p>
    <w:p w14:paraId="26595584">
      <w:pPr>
        <w:pStyle w:val="32"/>
        <w:tabs>
          <w:tab w:val="right" w:leader="dot" w:pos="9458"/>
        </w:tabs>
        <w:spacing w:line="600" w:lineRule="exact"/>
        <w:ind w:left="0" w:leftChars="0"/>
        <w:rPr>
          <w:rFonts w:hint="eastAsia" w:ascii="新宋体" w:hAnsi="新宋体" w:eastAsia="新宋体" w:cs="新宋体"/>
          <w:szCs w:val="21"/>
          <w:highlight w:val="none"/>
        </w:rPr>
      </w:pPr>
    </w:p>
    <w:p w14:paraId="1E49B35D">
      <w:pPr>
        <w:pStyle w:val="32"/>
        <w:tabs>
          <w:tab w:val="right" w:leader="dot" w:pos="9458"/>
        </w:tabs>
        <w:spacing w:line="600" w:lineRule="exact"/>
        <w:ind w:left="0" w:leftChars="0"/>
        <w:rPr>
          <w:rFonts w:hint="eastAsia" w:ascii="新宋体" w:hAnsi="新宋体" w:eastAsia="新宋体" w:cs="新宋体"/>
          <w:szCs w:val="21"/>
          <w:highlight w:val="none"/>
        </w:rPr>
      </w:pPr>
    </w:p>
    <w:p w14:paraId="5A3DF960">
      <w:pPr>
        <w:pStyle w:val="32"/>
        <w:tabs>
          <w:tab w:val="right" w:leader="dot" w:pos="9458"/>
        </w:tabs>
        <w:spacing w:line="600" w:lineRule="exact"/>
        <w:ind w:left="0" w:leftChars="0"/>
        <w:rPr>
          <w:rFonts w:hint="eastAsia" w:ascii="新宋体" w:hAnsi="新宋体" w:eastAsia="新宋体" w:cs="新宋体"/>
          <w:szCs w:val="21"/>
          <w:highlight w:val="none"/>
        </w:rPr>
      </w:pPr>
    </w:p>
    <w:p w14:paraId="54359166">
      <w:pPr>
        <w:pStyle w:val="32"/>
        <w:tabs>
          <w:tab w:val="right" w:leader="dot" w:pos="9458"/>
        </w:tabs>
        <w:spacing w:line="600" w:lineRule="exact"/>
        <w:ind w:left="0" w:leftChars="0"/>
        <w:rPr>
          <w:rFonts w:hint="eastAsia" w:ascii="新宋体" w:hAnsi="新宋体" w:eastAsia="新宋体" w:cs="新宋体"/>
          <w:szCs w:val="21"/>
          <w:highlight w:val="none"/>
        </w:rPr>
      </w:pPr>
    </w:p>
    <w:p w14:paraId="683B6074">
      <w:pPr>
        <w:pStyle w:val="32"/>
        <w:tabs>
          <w:tab w:val="right" w:leader="dot" w:pos="9458"/>
        </w:tabs>
        <w:spacing w:line="600" w:lineRule="exact"/>
        <w:ind w:left="0" w:leftChars="0"/>
        <w:rPr>
          <w:rFonts w:hint="eastAsia" w:ascii="新宋体" w:hAnsi="新宋体" w:eastAsia="新宋体" w:cs="新宋体"/>
          <w:szCs w:val="21"/>
          <w:highlight w:val="none"/>
        </w:rPr>
      </w:pPr>
    </w:p>
    <w:p w14:paraId="119DBACB">
      <w:pPr>
        <w:pStyle w:val="32"/>
        <w:tabs>
          <w:tab w:val="right" w:leader="dot" w:pos="9458"/>
        </w:tabs>
        <w:spacing w:line="600" w:lineRule="exact"/>
        <w:ind w:left="0" w:leftChars="0"/>
        <w:rPr>
          <w:rFonts w:hint="eastAsia"/>
          <w:sz w:val="36"/>
          <w:szCs w:val="36"/>
          <w:highlight w:val="none"/>
        </w:rPr>
      </w:pPr>
      <w:bookmarkStart w:id="4" w:name="_Toc222740105"/>
      <w:bookmarkStart w:id="5" w:name="_Toc204055778"/>
    </w:p>
    <w:p w14:paraId="05122998">
      <w:pPr>
        <w:rPr>
          <w:rFonts w:hint="eastAsia"/>
          <w:sz w:val="36"/>
          <w:szCs w:val="36"/>
          <w:highlight w:val="none"/>
        </w:rPr>
      </w:pPr>
    </w:p>
    <w:p w14:paraId="6044F86C">
      <w:pPr>
        <w:rPr>
          <w:rFonts w:hint="eastAsia"/>
          <w:sz w:val="36"/>
          <w:szCs w:val="36"/>
          <w:highlight w:val="none"/>
        </w:rPr>
      </w:pPr>
    </w:p>
    <w:p w14:paraId="70719CB1">
      <w:pPr>
        <w:rPr>
          <w:rFonts w:hint="eastAsia"/>
          <w:sz w:val="36"/>
          <w:szCs w:val="36"/>
          <w:highlight w:val="none"/>
        </w:rPr>
      </w:pPr>
    </w:p>
    <w:p w14:paraId="33664FE5">
      <w:pPr>
        <w:rPr>
          <w:rFonts w:hint="eastAsia"/>
          <w:sz w:val="36"/>
          <w:szCs w:val="36"/>
          <w:highlight w:val="none"/>
        </w:rPr>
      </w:pPr>
    </w:p>
    <w:p w14:paraId="3B33CF76">
      <w:pPr>
        <w:bidi w:val="0"/>
        <w:rPr>
          <w:rFonts w:hint="eastAsia"/>
          <w:highlight w:val="none"/>
        </w:rPr>
      </w:pPr>
    </w:p>
    <w:p w14:paraId="4A59688B">
      <w:pPr>
        <w:pStyle w:val="11"/>
        <w:rPr>
          <w:rFonts w:hint="eastAsia"/>
          <w:highlight w:val="none"/>
        </w:rPr>
      </w:pPr>
    </w:p>
    <w:p w14:paraId="6DDC9AE9">
      <w:pPr>
        <w:pStyle w:val="11"/>
        <w:rPr>
          <w:rFonts w:hint="eastAsia"/>
          <w:highlight w:val="none"/>
        </w:rPr>
      </w:pPr>
    </w:p>
    <w:p w14:paraId="42CC4E0A">
      <w:pPr>
        <w:pStyle w:val="11"/>
        <w:rPr>
          <w:rFonts w:hint="eastAsia"/>
          <w:highlight w:val="none"/>
        </w:rPr>
      </w:pPr>
    </w:p>
    <w:p w14:paraId="6D96815C">
      <w:pPr>
        <w:bidi w:val="0"/>
        <w:rPr>
          <w:rFonts w:hint="eastAsia"/>
          <w:highlight w:val="none"/>
        </w:rPr>
      </w:pPr>
    </w:p>
    <w:p w14:paraId="58F96CEA">
      <w:pPr>
        <w:pStyle w:val="16"/>
        <w:rPr>
          <w:rFonts w:hint="eastAsia"/>
          <w:highlight w:val="none"/>
        </w:rPr>
      </w:pPr>
    </w:p>
    <w:p w14:paraId="57D0C5C3">
      <w:pPr>
        <w:rPr>
          <w:rFonts w:hint="eastAsia"/>
          <w:highlight w:val="none"/>
        </w:rPr>
      </w:pPr>
    </w:p>
    <w:bookmarkEnd w:id="3"/>
    <w:bookmarkEnd w:id="4"/>
    <w:bookmarkEnd w:id="5"/>
    <w:p w14:paraId="2949E1F3">
      <w:pPr>
        <w:bidi w:val="0"/>
        <w:rPr>
          <w:rFonts w:hint="eastAsia"/>
          <w:highlight w:val="none"/>
        </w:rPr>
      </w:pPr>
    </w:p>
    <w:p w14:paraId="0EEC47CB">
      <w:pPr>
        <w:bidi w:val="0"/>
        <w:rPr>
          <w:rFonts w:hint="eastAsia"/>
          <w:highlight w:val="none"/>
        </w:rPr>
      </w:pPr>
    </w:p>
    <w:p w14:paraId="2C2318C9">
      <w:pPr>
        <w:bidi w:val="0"/>
        <w:rPr>
          <w:rFonts w:hint="eastAsia"/>
          <w:highlight w:val="none"/>
        </w:rPr>
      </w:pPr>
    </w:p>
    <w:p w14:paraId="1F645A6E">
      <w:pPr>
        <w:bidi w:val="0"/>
        <w:rPr>
          <w:rFonts w:hint="eastAsia"/>
          <w:highlight w:val="none"/>
        </w:rPr>
      </w:pPr>
    </w:p>
    <w:p w14:paraId="25F68E19">
      <w:pPr>
        <w:bidi w:val="0"/>
        <w:rPr>
          <w:rFonts w:hint="eastAsia"/>
          <w:highlight w:val="none"/>
        </w:rPr>
      </w:pPr>
    </w:p>
    <w:p w14:paraId="2D93B648">
      <w:pPr>
        <w:pStyle w:val="2"/>
        <w:numPr>
          <w:ilvl w:val="0"/>
          <w:numId w:val="0"/>
        </w:numPr>
        <w:tabs>
          <w:tab w:val="clear" w:pos="324"/>
        </w:tabs>
        <w:ind w:leftChars="0"/>
        <w:jc w:val="center"/>
        <w:rPr>
          <w:rFonts w:hint="eastAsia" w:ascii="宋体" w:hAnsi="宋体" w:eastAsia="宋体" w:cs="宋体"/>
          <w:b/>
          <w:bCs/>
          <w:sz w:val="36"/>
          <w:szCs w:val="36"/>
          <w:highlight w:val="none"/>
        </w:rPr>
      </w:pPr>
      <w:bookmarkStart w:id="6" w:name="_Toc4554"/>
      <w:r>
        <w:rPr>
          <w:rFonts w:hint="eastAsia" w:ascii="宋体" w:hAnsi="宋体" w:eastAsia="宋体" w:cs="宋体"/>
          <w:b/>
          <w:bCs/>
          <w:sz w:val="36"/>
          <w:szCs w:val="36"/>
          <w:highlight w:val="none"/>
          <w:lang w:eastAsia="zh-CN"/>
        </w:rPr>
        <w:t>第一章</w:t>
      </w:r>
      <w:r>
        <w:rPr>
          <w:rFonts w:hint="eastAsia" w:ascii="宋体" w:hAnsi="宋体" w:eastAsia="宋体" w:cs="宋体"/>
          <w:b/>
          <w:bCs/>
          <w:sz w:val="36"/>
          <w:szCs w:val="36"/>
          <w:highlight w:val="none"/>
          <w:lang w:val="en-US" w:eastAsia="zh-CN"/>
        </w:rPr>
        <w:t xml:space="preserve">  </w:t>
      </w:r>
      <w:r>
        <w:rPr>
          <w:rFonts w:hint="eastAsia" w:ascii="宋体" w:hAnsi="宋体" w:eastAsia="宋体" w:cs="宋体"/>
          <w:b/>
          <w:bCs/>
          <w:sz w:val="36"/>
          <w:szCs w:val="36"/>
          <w:highlight w:val="none"/>
        </w:rPr>
        <w:t>招标公告</w:t>
      </w:r>
      <w:bookmarkEnd w:id="6"/>
    </w:p>
    <w:p w14:paraId="4EBBF803">
      <w:pPr>
        <w:bidi w:val="0"/>
        <w:rPr>
          <w:rFonts w:hint="eastAsia"/>
          <w:highlight w:val="none"/>
        </w:rPr>
      </w:pPr>
    </w:p>
    <w:p w14:paraId="0BB650FB">
      <w:pPr>
        <w:bidi w:val="0"/>
        <w:rPr>
          <w:rFonts w:hint="eastAsia"/>
          <w:highlight w:val="none"/>
        </w:rPr>
      </w:pPr>
    </w:p>
    <w:p w14:paraId="124FE1CE">
      <w:pPr>
        <w:bidi w:val="0"/>
        <w:rPr>
          <w:rFonts w:hint="eastAsia"/>
          <w:highlight w:val="none"/>
        </w:rPr>
      </w:pPr>
    </w:p>
    <w:p w14:paraId="68F2CC71">
      <w:pPr>
        <w:bidi w:val="0"/>
        <w:rPr>
          <w:rFonts w:hint="eastAsia"/>
          <w:highlight w:val="none"/>
        </w:rPr>
      </w:pPr>
    </w:p>
    <w:p w14:paraId="5657D0DC">
      <w:pPr>
        <w:rPr>
          <w:rFonts w:hint="eastAsia"/>
          <w:highlight w:val="none"/>
        </w:rPr>
      </w:pPr>
      <w:r>
        <w:rPr>
          <w:rFonts w:hint="eastAsia"/>
          <w:highlight w:val="none"/>
        </w:rPr>
        <w:br w:type="page"/>
      </w:r>
    </w:p>
    <w:p w14:paraId="45647504">
      <w:pPr>
        <w:keepNext w:val="0"/>
        <w:keepLines w:val="0"/>
        <w:pageBreakBefore w:val="0"/>
        <w:widowControl/>
        <w:kinsoku/>
        <w:overflowPunct/>
        <w:topLinePunct w:val="0"/>
        <w:bidi w:val="0"/>
        <w:snapToGrid w:val="0"/>
        <w:spacing w:line="360" w:lineRule="exact"/>
        <w:jc w:val="center"/>
        <w:textAlignment w:val="auto"/>
        <w:rPr>
          <w:rFonts w:hint="eastAsia" w:ascii="宋体" w:hAnsi="宋体" w:eastAsia="宋体" w:cs="宋体"/>
          <w:b/>
          <w:color w:val="auto"/>
          <w:sz w:val="28"/>
          <w:szCs w:val="28"/>
          <w:highlight w:val="none"/>
          <w:lang w:eastAsia="zh-CN"/>
        </w:rPr>
      </w:pPr>
      <w:bookmarkStart w:id="7" w:name="_Toc196474973"/>
      <w:bookmarkStart w:id="8" w:name="_Toc222740108"/>
      <w:bookmarkStart w:id="9" w:name="_Toc204055781"/>
      <w:bookmarkStart w:id="10" w:name="_Toc404444231"/>
      <w:r>
        <w:rPr>
          <w:rFonts w:hint="eastAsia" w:ascii="宋体" w:hAnsi="宋体" w:cs="宋体"/>
          <w:b/>
          <w:color w:val="auto"/>
          <w:sz w:val="28"/>
          <w:szCs w:val="28"/>
          <w:highlight w:val="none"/>
          <w:lang w:val="en-US" w:eastAsia="zh-CN"/>
        </w:rPr>
        <w:t>汉滨区五里高级中学厨房设施设备采购项目</w:t>
      </w:r>
    </w:p>
    <w:p w14:paraId="0089DD5F">
      <w:pPr>
        <w:keepNext w:val="0"/>
        <w:keepLines w:val="0"/>
        <w:pageBreakBefore w:val="0"/>
        <w:widowControl/>
        <w:kinsoku/>
        <w:overflowPunct/>
        <w:topLinePunct w:val="0"/>
        <w:bidi w:val="0"/>
        <w:snapToGrid w:val="0"/>
        <w:spacing w:line="360" w:lineRule="exact"/>
        <w:jc w:val="center"/>
        <w:textAlignment w:val="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公开招标公告</w:t>
      </w:r>
    </w:p>
    <w:tbl>
      <w:tblPr>
        <w:tblStyle w:val="4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88"/>
      </w:tblGrid>
      <w:tr w14:paraId="6CD052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88" w:type="dxa"/>
          </w:tcPr>
          <w:p w14:paraId="1D6DE8B5">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bidi w:val="0"/>
              <w:snapToGrid/>
              <w:spacing w:before="150" w:beforeAutospacing="0" w:after="150" w:afterAutospacing="0" w:line="400" w:lineRule="exact"/>
              <w:ind w:right="0"/>
              <w:jc w:val="left"/>
              <w:textAlignment w:val="baseline"/>
              <w:rPr>
                <w:rFonts w:hint="eastAsia" w:asciiTheme="minorEastAsia" w:hAnsiTheme="minorEastAsia" w:eastAsiaTheme="minorEastAsia" w:cstheme="minorEastAsia"/>
                <w:b w:val="0"/>
                <w:bCs w:val="0"/>
                <w:sz w:val="24"/>
                <w:szCs w:val="24"/>
              </w:rPr>
            </w:pPr>
            <w:r>
              <w:rPr>
                <w:rStyle w:val="43"/>
                <w:rFonts w:hint="eastAsia" w:asciiTheme="minorEastAsia" w:hAnsiTheme="minorEastAsia" w:eastAsiaTheme="minorEastAsia" w:cstheme="minorEastAsia"/>
                <w:b/>
                <w:bCs/>
                <w:i w:val="0"/>
                <w:iCs w:val="0"/>
                <w:caps w:val="0"/>
                <w:color w:val="333333"/>
                <w:spacing w:val="0"/>
                <w:sz w:val="24"/>
                <w:szCs w:val="24"/>
                <w:shd w:val="clear" w:fill="FFFFFF"/>
                <w:vertAlign w:val="baseline"/>
              </w:rPr>
              <w:t>项目概况</w:t>
            </w:r>
          </w:p>
          <w:p w14:paraId="7401F662">
            <w:pPr>
              <w:pStyle w:val="3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bidi w:val="0"/>
              <w:snapToGrid/>
              <w:spacing w:before="150" w:beforeAutospacing="0" w:after="150" w:afterAutospacing="0" w:line="400" w:lineRule="exact"/>
              <w:ind w:left="0" w:right="0" w:firstLine="480"/>
              <w:jc w:val="both"/>
              <w:textAlignment w:val="baseline"/>
              <w:rPr>
                <w:rStyle w:val="43"/>
                <w:rFonts w:hint="eastAsia" w:asciiTheme="minorEastAsia" w:hAnsiTheme="minorEastAsia" w:eastAsiaTheme="minorEastAsia" w:cstheme="minorEastAsia"/>
                <w:b/>
                <w:bCs/>
                <w:i w:val="0"/>
                <w:iCs w:val="0"/>
                <w:caps w:val="0"/>
                <w:color w:val="333333"/>
                <w:spacing w:val="0"/>
                <w:sz w:val="24"/>
                <w:szCs w:val="24"/>
                <w:shd w:val="clear" w:fill="FFFFFF"/>
                <w:vertAlign w:val="baseline"/>
              </w:rPr>
            </w:pPr>
            <w:r>
              <w:rPr>
                <w:rFonts w:hint="eastAsia" w:asciiTheme="minorEastAsia" w:hAnsiTheme="minorEastAsia" w:eastAsiaTheme="minorEastAsia" w:cstheme="minorEastAsia"/>
                <w:i w:val="0"/>
                <w:iCs w:val="0"/>
                <w:caps w:val="0"/>
                <w:color w:val="333333"/>
                <w:spacing w:val="0"/>
                <w:sz w:val="24"/>
                <w:szCs w:val="24"/>
                <w:shd w:val="clear" w:fill="FFFFFF"/>
                <w:vertAlign w:val="baseline"/>
              </w:rPr>
              <w:t>厨房设施设备采购项目招标项目的潜在投标人应在全国公共资源交易平台（陕西省·安康市）获取招标文件，并于2026年08月21日 09时00分（北京时间）前递交投标文件。</w:t>
            </w:r>
          </w:p>
        </w:tc>
      </w:tr>
    </w:tbl>
    <w:p w14:paraId="7023BD3D">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overflowPunct/>
        <w:topLinePunct w:val="0"/>
        <w:bidi w:val="0"/>
        <w:snapToGrid/>
        <w:spacing w:before="150" w:beforeAutospacing="0" w:after="0" w:afterAutospacing="0" w:line="400" w:lineRule="exact"/>
        <w:ind w:leftChars="0" w:right="0" w:rightChars="0"/>
        <w:jc w:val="left"/>
        <w:textAlignment w:val="baseline"/>
        <w:rPr>
          <w:rFonts w:hint="eastAsia" w:asciiTheme="minorEastAsia" w:hAnsiTheme="minorEastAsia" w:eastAsiaTheme="minorEastAsia" w:cstheme="minorEastAsia"/>
          <w:b w:val="0"/>
          <w:bCs w:val="0"/>
          <w:i w:val="0"/>
          <w:iCs w:val="0"/>
          <w:caps w:val="0"/>
          <w:color w:val="333333"/>
          <w:spacing w:val="0"/>
          <w:sz w:val="24"/>
          <w:szCs w:val="24"/>
        </w:rPr>
      </w:pPr>
      <w:r>
        <w:rPr>
          <w:rStyle w:val="43"/>
          <w:rFonts w:hint="eastAsia" w:asciiTheme="minorEastAsia" w:hAnsiTheme="minorEastAsia" w:eastAsiaTheme="minorEastAsia" w:cstheme="minorEastAsia"/>
          <w:b/>
          <w:bCs/>
          <w:i w:val="0"/>
          <w:iCs w:val="0"/>
          <w:caps w:val="0"/>
          <w:color w:val="333333"/>
          <w:spacing w:val="0"/>
          <w:sz w:val="24"/>
          <w:szCs w:val="24"/>
          <w:shd w:val="clear" w:fill="FFFFFF"/>
          <w:vertAlign w:val="baseline"/>
        </w:rPr>
        <w:t>一、项目基本情况</w:t>
      </w:r>
    </w:p>
    <w:p w14:paraId="1ACEB5CA">
      <w:pPr>
        <w:pStyle w:val="3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bidi w:val="0"/>
        <w:snapToGrid/>
        <w:spacing w:before="0" w:beforeAutospacing="0" w:after="0" w:afterAutospacing="0" w:line="400" w:lineRule="exact"/>
        <w:ind w:left="0" w:right="0" w:firstLine="480"/>
        <w:jc w:val="both"/>
        <w:textAlignment w:val="baseline"/>
        <w:rPr>
          <w:rFonts w:hint="eastAsia" w:asciiTheme="minorEastAsia" w:hAnsiTheme="minorEastAsia" w:eastAsiaTheme="minorEastAsia" w:cstheme="minorEastAsia"/>
          <w:i w:val="0"/>
          <w:iCs w:val="0"/>
          <w:caps w:val="0"/>
          <w:color w:val="333333"/>
          <w:spacing w:val="0"/>
          <w:sz w:val="24"/>
          <w:szCs w:val="24"/>
        </w:rPr>
      </w:pPr>
      <w:r>
        <w:rPr>
          <w:rFonts w:hint="eastAsia" w:asciiTheme="minorEastAsia" w:hAnsiTheme="minorEastAsia" w:eastAsiaTheme="minorEastAsia" w:cstheme="minorEastAsia"/>
          <w:i w:val="0"/>
          <w:iCs w:val="0"/>
          <w:caps w:val="0"/>
          <w:color w:val="333333"/>
          <w:spacing w:val="0"/>
          <w:sz w:val="24"/>
          <w:szCs w:val="24"/>
          <w:shd w:val="clear" w:fill="FFFFFF"/>
          <w:vertAlign w:val="baseline"/>
        </w:rPr>
        <w:t>项目编号：RHAKCG-20260730</w:t>
      </w:r>
    </w:p>
    <w:p w14:paraId="6DEE6A24">
      <w:pPr>
        <w:pStyle w:val="3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bidi w:val="0"/>
        <w:snapToGrid/>
        <w:spacing w:before="0" w:beforeAutospacing="0" w:after="0" w:afterAutospacing="0" w:line="400" w:lineRule="exact"/>
        <w:ind w:left="0" w:right="0" w:firstLine="480"/>
        <w:jc w:val="both"/>
        <w:textAlignment w:val="baseline"/>
        <w:rPr>
          <w:rFonts w:hint="eastAsia" w:asciiTheme="minorEastAsia" w:hAnsiTheme="minorEastAsia" w:eastAsiaTheme="minorEastAsia" w:cstheme="minorEastAsia"/>
          <w:i w:val="0"/>
          <w:iCs w:val="0"/>
          <w:caps w:val="0"/>
          <w:color w:val="333333"/>
          <w:spacing w:val="0"/>
          <w:sz w:val="24"/>
          <w:szCs w:val="24"/>
        </w:rPr>
      </w:pPr>
      <w:r>
        <w:rPr>
          <w:rFonts w:hint="eastAsia" w:asciiTheme="minorEastAsia" w:hAnsiTheme="minorEastAsia" w:eastAsiaTheme="minorEastAsia" w:cstheme="minorEastAsia"/>
          <w:i w:val="0"/>
          <w:iCs w:val="0"/>
          <w:caps w:val="0"/>
          <w:color w:val="333333"/>
          <w:spacing w:val="0"/>
          <w:sz w:val="24"/>
          <w:szCs w:val="24"/>
          <w:shd w:val="clear" w:fill="FFFFFF"/>
          <w:vertAlign w:val="baseline"/>
        </w:rPr>
        <w:t>项目名称：厨房设施设备采购项目</w:t>
      </w:r>
    </w:p>
    <w:p w14:paraId="323BC88F">
      <w:pPr>
        <w:pStyle w:val="3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bidi w:val="0"/>
        <w:snapToGrid/>
        <w:spacing w:before="0" w:beforeAutospacing="0" w:after="0" w:afterAutospacing="0" w:line="400" w:lineRule="exact"/>
        <w:ind w:left="0" w:right="0" w:firstLine="480"/>
        <w:jc w:val="both"/>
        <w:textAlignment w:val="baseline"/>
        <w:rPr>
          <w:rFonts w:hint="eastAsia" w:asciiTheme="minorEastAsia" w:hAnsiTheme="minorEastAsia" w:eastAsiaTheme="minorEastAsia" w:cstheme="minorEastAsia"/>
          <w:i w:val="0"/>
          <w:iCs w:val="0"/>
          <w:caps w:val="0"/>
          <w:color w:val="333333"/>
          <w:spacing w:val="0"/>
          <w:sz w:val="24"/>
          <w:szCs w:val="24"/>
        </w:rPr>
      </w:pPr>
      <w:r>
        <w:rPr>
          <w:rFonts w:hint="eastAsia" w:asciiTheme="minorEastAsia" w:hAnsiTheme="minorEastAsia" w:eastAsiaTheme="minorEastAsia" w:cstheme="minorEastAsia"/>
          <w:i w:val="0"/>
          <w:iCs w:val="0"/>
          <w:caps w:val="0"/>
          <w:color w:val="333333"/>
          <w:spacing w:val="0"/>
          <w:sz w:val="24"/>
          <w:szCs w:val="24"/>
          <w:shd w:val="clear" w:fill="FFFFFF"/>
          <w:vertAlign w:val="baseline"/>
        </w:rPr>
        <w:t>采购方式：公开招标</w:t>
      </w:r>
    </w:p>
    <w:p w14:paraId="021D0A00">
      <w:pPr>
        <w:pStyle w:val="3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bidi w:val="0"/>
        <w:snapToGrid/>
        <w:spacing w:before="0" w:beforeAutospacing="0" w:after="0" w:afterAutospacing="0" w:line="400" w:lineRule="exact"/>
        <w:ind w:left="0" w:right="0" w:firstLine="480"/>
        <w:jc w:val="both"/>
        <w:textAlignment w:val="baseline"/>
        <w:rPr>
          <w:rFonts w:hint="eastAsia" w:asciiTheme="minorEastAsia" w:hAnsiTheme="minorEastAsia" w:eastAsiaTheme="minorEastAsia" w:cstheme="minorEastAsia"/>
          <w:i w:val="0"/>
          <w:iCs w:val="0"/>
          <w:caps w:val="0"/>
          <w:color w:val="333333"/>
          <w:spacing w:val="0"/>
          <w:sz w:val="24"/>
          <w:szCs w:val="24"/>
        </w:rPr>
      </w:pPr>
      <w:r>
        <w:rPr>
          <w:rFonts w:hint="eastAsia" w:asciiTheme="minorEastAsia" w:hAnsiTheme="minorEastAsia" w:eastAsiaTheme="minorEastAsia" w:cstheme="minorEastAsia"/>
          <w:i w:val="0"/>
          <w:iCs w:val="0"/>
          <w:caps w:val="0"/>
          <w:color w:val="333333"/>
          <w:spacing w:val="0"/>
          <w:sz w:val="24"/>
          <w:szCs w:val="24"/>
          <w:shd w:val="clear" w:fill="FFFFFF"/>
          <w:vertAlign w:val="baseline"/>
        </w:rPr>
        <w:t>预算金额：2,300,419.00元</w:t>
      </w:r>
    </w:p>
    <w:p w14:paraId="1036D581">
      <w:pPr>
        <w:pStyle w:val="3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bidi w:val="0"/>
        <w:snapToGrid/>
        <w:spacing w:before="0" w:beforeAutospacing="0" w:after="0" w:afterAutospacing="0" w:line="400" w:lineRule="exact"/>
        <w:ind w:left="0" w:right="0" w:firstLine="480"/>
        <w:jc w:val="both"/>
        <w:textAlignment w:val="baseline"/>
        <w:rPr>
          <w:rFonts w:hint="eastAsia" w:asciiTheme="minorEastAsia" w:hAnsiTheme="minorEastAsia" w:eastAsiaTheme="minorEastAsia" w:cstheme="minorEastAsia"/>
          <w:i w:val="0"/>
          <w:iCs w:val="0"/>
          <w:caps w:val="0"/>
          <w:color w:val="333333"/>
          <w:spacing w:val="0"/>
          <w:sz w:val="24"/>
          <w:szCs w:val="24"/>
        </w:rPr>
      </w:pPr>
      <w:r>
        <w:rPr>
          <w:rFonts w:hint="eastAsia" w:asciiTheme="minorEastAsia" w:hAnsiTheme="minorEastAsia" w:eastAsiaTheme="minorEastAsia" w:cstheme="minorEastAsia"/>
          <w:i w:val="0"/>
          <w:iCs w:val="0"/>
          <w:caps w:val="0"/>
          <w:color w:val="333333"/>
          <w:spacing w:val="0"/>
          <w:sz w:val="24"/>
          <w:szCs w:val="24"/>
          <w:shd w:val="clear" w:fill="FFFFFF"/>
          <w:vertAlign w:val="baseline"/>
        </w:rPr>
        <w:t>采购需求：</w:t>
      </w:r>
    </w:p>
    <w:p w14:paraId="622AD0E8">
      <w:pPr>
        <w:pStyle w:val="3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bidi w:val="0"/>
        <w:snapToGrid/>
        <w:spacing w:before="0" w:beforeAutospacing="0" w:after="0" w:afterAutospacing="0" w:line="400" w:lineRule="exact"/>
        <w:ind w:left="0" w:right="0" w:firstLine="48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i w:val="0"/>
          <w:iCs w:val="0"/>
          <w:caps w:val="0"/>
          <w:color w:val="333333"/>
          <w:spacing w:val="0"/>
          <w:sz w:val="24"/>
          <w:szCs w:val="24"/>
          <w:shd w:val="clear" w:fill="FFFFFF"/>
          <w:vertAlign w:val="baseline"/>
        </w:rPr>
        <w:t>合同包1(汉滨区五里高级中学厨房设施设备采购项目):</w:t>
      </w:r>
    </w:p>
    <w:p w14:paraId="6BA0B04E">
      <w:pPr>
        <w:pStyle w:val="3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bidi w:val="0"/>
        <w:snapToGrid/>
        <w:spacing w:before="0" w:beforeAutospacing="0" w:after="0" w:afterAutospacing="0" w:line="400" w:lineRule="exact"/>
        <w:ind w:left="0" w:right="0" w:firstLine="63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i w:val="0"/>
          <w:iCs w:val="0"/>
          <w:caps w:val="0"/>
          <w:color w:val="333333"/>
          <w:spacing w:val="0"/>
          <w:sz w:val="24"/>
          <w:szCs w:val="24"/>
          <w:shd w:val="clear" w:fill="FFFFFF"/>
          <w:vertAlign w:val="baseline"/>
        </w:rPr>
        <w:t>合同包预算金额：2,300,419.00元</w:t>
      </w:r>
    </w:p>
    <w:p w14:paraId="51E4E50E">
      <w:pPr>
        <w:pStyle w:val="3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bidi w:val="0"/>
        <w:snapToGrid/>
        <w:spacing w:before="0" w:beforeAutospacing="0" w:after="0" w:afterAutospacing="0" w:line="400" w:lineRule="exact"/>
        <w:ind w:left="0" w:right="0" w:firstLine="63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i w:val="0"/>
          <w:iCs w:val="0"/>
          <w:caps w:val="0"/>
          <w:color w:val="333333"/>
          <w:spacing w:val="0"/>
          <w:sz w:val="24"/>
          <w:szCs w:val="24"/>
          <w:shd w:val="clear" w:fill="FFFFFF"/>
          <w:vertAlign w:val="baseline"/>
        </w:rPr>
        <w:t>合同包最高限价：2,300,419.00元</w:t>
      </w:r>
    </w:p>
    <w:tbl>
      <w:tblPr>
        <w:tblStyle w:val="40"/>
        <w:tblW w:w="939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616"/>
        <w:gridCol w:w="1707"/>
        <w:gridCol w:w="3234"/>
        <w:gridCol w:w="827"/>
        <w:gridCol w:w="1333"/>
        <w:gridCol w:w="1680"/>
      </w:tblGrid>
      <w:tr w14:paraId="6FD6B5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923" w:hRule="atLeast"/>
          <w:tblHeader/>
        </w:trPr>
        <w:tc>
          <w:tcPr>
            <w:tcW w:w="69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9B40F79">
            <w:pPr>
              <w:keepNext w:val="0"/>
              <w:keepLines w:val="0"/>
              <w:pageBreakBefore w:val="0"/>
              <w:widowControl/>
              <w:suppressLineNumbers w:val="0"/>
              <w:kinsoku/>
              <w:wordWrap w:val="0"/>
              <w:overflowPunct/>
              <w:topLinePunct w:val="0"/>
              <w:bidi w:val="0"/>
              <w:snapToGrid/>
              <w:spacing w:before="0" w:beforeAutospacing="0" w:after="0" w:afterAutospacing="0" w:line="400" w:lineRule="exact"/>
              <w:ind w:left="0" w:right="0"/>
              <w:jc w:val="center"/>
              <w:textAlignment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kern w:val="0"/>
                <w:sz w:val="24"/>
                <w:szCs w:val="24"/>
                <w:lang w:val="en-US" w:eastAsia="zh-CN" w:bidi="ar"/>
              </w:rPr>
              <w:t>品目号</w:t>
            </w:r>
          </w:p>
        </w:tc>
        <w:tc>
          <w:tcPr>
            <w:tcW w:w="240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49DFDE9">
            <w:pPr>
              <w:keepNext w:val="0"/>
              <w:keepLines w:val="0"/>
              <w:pageBreakBefore w:val="0"/>
              <w:widowControl/>
              <w:suppressLineNumbers w:val="0"/>
              <w:kinsoku/>
              <w:wordWrap w:val="0"/>
              <w:overflowPunct/>
              <w:topLinePunct w:val="0"/>
              <w:bidi w:val="0"/>
              <w:snapToGrid/>
              <w:spacing w:before="0" w:beforeAutospacing="0" w:after="0" w:afterAutospacing="0" w:line="400" w:lineRule="exact"/>
              <w:ind w:left="0" w:right="0"/>
              <w:jc w:val="center"/>
              <w:textAlignment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kern w:val="0"/>
                <w:sz w:val="24"/>
                <w:szCs w:val="24"/>
                <w:lang w:val="en-US" w:eastAsia="zh-CN" w:bidi="ar"/>
              </w:rPr>
              <w:t>品目名称</w:t>
            </w:r>
          </w:p>
        </w:tc>
        <w:tc>
          <w:tcPr>
            <w:tcW w:w="256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9A09EC4">
            <w:pPr>
              <w:keepNext w:val="0"/>
              <w:keepLines w:val="0"/>
              <w:pageBreakBefore w:val="0"/>
              <w:widowControl/>
              <w:suppressLineNumbers w:val="0"/>
              <w:kinsoku/>
              <w:wordWrap w:val="0"/>
              <w:overflowPunct/>
              <w:topLinePunct w:val="0"/>
              <w:bidi w:val="0"/>
              <w:snapToGrid/>
              <w:spacing w:before="0" w:beforeAutospacing="0" w:after="0" w:afterAutospacing="0" w:line="400" w:lineRule="exact"/>
              <w:ind w:left="0" w:right="0"/>
              <w:jc w:val="center"/>
              <w:textAlignment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kern w:val="0"/>
                <w:sz w:val="24"/>
                <w:szCs w:val="24"/>
                <w:lang w:val="en-US" w:eastAsia="zh-CN" w:bidi="ar"/>
              </w:rPr>
              <w:t>采购标的</w:t>
            </w:r>
          </w:p>
        </w:tc>
        <w:tc>
          <w:tcPr>
            <w:tcW w:w="88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A8F3B0C">
            <w:pPr>
              <w:keepNext w:val="0"/>
              <w:keepLines w:val="0"/>
              <w:pageBreakBefore w:val="0"/>
              <w:widowControl/>
              <w:suppressLineNumbers w:val="0"/>
              <w:kinsoku/>
              <w:wordWrap w:val="0"/>
              <w:overflowPunct/>
              <w:topLinePunct w:val="0"/>
              <w:bidi w:val="0"/>
              <w:snapToGrid/>
              <w:spacing w:before="0" w:beforeAutospacing="0" w:after="0" w:afterAutospacing="0" w:line="400" w:lineRule="exact"/>
              <w:ind w:left="0" w:right="0"/>
              <w:jc w:val="center"/>
              <w:textAlignment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kern w:val="0"/>
                <w:sz w:val="24"/>
                <w:szCs w:val="24"/>
                <w:lang w:val="en-US" w:eastAsia="zh-CN" w:bidi="ar"/>
              </w:rPr>
              <w:t>数量（单位）</w:t>
            </w:r>
          </w:p>
        </w:tc>
        <w:tc>
          <w:tcPr>
            <w:tcW w:w="166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888CD85">
            <w:pPr>
              <w:keepNext w:val="0"/>
              <w:keepLines w:val="0"/>
              <w:pageBreakBefore w:val="0"/>
              <w:widowControl/>
              <w:suppressLineNumbers w:val="0"/>
              <w:kinsoku/>
              <w:wordWrap w:val="0"/>
              <w:overflowPunct/>
              <w:topLinePunct w:val="0"/>
              <w:bidi w:val="0"/>
              <w:snapToGrid/>
              <w:spacing w:before="0" w:beforeAutospacing="0" w:after="0" w:afterAutospacing="0" w:line="400" w:lineRule="exact"/>
              <w:ind w:left="0" w:right="0"/>
              <w:jc w:val="center"/>
              <w:textAlignment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kern w:val="0"/>
                <w:sz w:val="24"/>
                <w:szCs w:val="24"/>
                <w:lang w:val="en-US" w:eastAsia="zh-CN" w:bidi="ar"/>
              </w:rPr>
              <w:t>技术规格、参数及要求</w:t>
            </w:r>
          </w:p>
        </w:tc>
        <w:tc>
          <w:tcPr>
            <w:tcW w:w="118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8C169DF">
            <w:pPr>
              <w:keepNext w:val="0"/>
              <w:keepLines w:val="0"/>
              <w:pageBreakBefore w:val="0"/>
              <w:widowControl/>
              <w:suppressLineNumbers w:val="0"/>
              <w:kinsoku/>
              <w:wordWrap w:val="0"/>
              <w:overflowPunct/>
              <w:topLinePunct w:val="0"/>
              <w:bidi w:val="0"/>
              <w:snapToGrid/>
              <w:spacing w:before="0" w:beforeAutospacing="0" w:after="0" w:afterAutospacing="0" w:line="400" w:lineRule="exact"/>
              <w:ind w:left="0" w:right="0"/>
              <w:jc w:val="center"/>
              <w:textAlignment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kern w:val="0"/>
                <w:sz w:val="24"/>
                <w:szCs w:val="24"/>
                <w:lang w:val="en-US" w:eastAsia="zh-CN" w:bidi="ar"/>
              </w:rPr>
              <w:t>品目预算(元)</w:t>
            </w:r>
          </w:p>
        </w:tc>
      </w:tr>
      <w:tr w14:paraId="4365D6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937" w:hRule="atLeast"/>
        </w:trPr>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834D29B">
            <w:pPr>
              <w:keepNext w:val="0"/>
              <w:keepLines w:val="0"/>
              <w:pageBreakBefore w:val="0"/>
              <w:widowControl/>
              <w:suppressLineNumbers w:val="0"/>
              <w:kinsoku/>
              <w:wordWrap w:val="0"/>
              <w:overflowPunct/>
              <w:topLinePunct w:val="0"/>
              <w:bidi w:val="0"/>
              <w:snapToGrid/>
              <w:spacing w:before="0" w:beforeAutospacing="0" w:after="0" w:afterAutospacing="0" w:line="400" w:lineRule="exact"/>
              <w:ind w:left="0" w:right="0"/>
              <w:jc w:val="center"/>
              <w:textAlignment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lang w:val="en-US" w:eastAsia="zh-CN" w:bidi="ar"/>
              </w:rPr>
              <w:t>1-1</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6EFC643">
            <w:pPr>
              <w:keepNext w:val="0"/>
              <w:keepLines w:val="0"/>
              <w:pageBreakBefore w:val="0"/>
              <w:widowControl/>
              <w:suppressLineNumbers w:val="0"/>
              <w:kinsoku/>
              <w:wordWrap w:val="0"/>
              <w:overflowPunct/>
              <w:topLinePunct w:val="0"/>
              <w:bidi w:val="0"/>
              <w:snapToGrid/>
              <w:spacing w:before="0" w:beforeAutospacing="0" w:after="0" w:afterAutospacing="0" w:line="400" w:lineRule="exact"/>
              <w:ind w:left="0" w:right="0"/>
              <w:jc w:val="center"/>
              <w:textAlignment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lang w:val="en-US" w:eastAsia="zh-CN" w:bidi="ar"/>
              </w:rPr>
              <w:t>其他厨卫用具</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7BAE451">
            <w:pPr>
              <w:keepNext w:val="0"/>
              <w:keepLines w:val="0"/>
              <w:pageBreakBefore w:val="0"/>
              <w:widowControl/>
              <w:suppressLineNumbers w:val="0"/>
              <w:kinsoku/>
              <w:wordWrap w:val="0"/>
              <w:overflowPunct/>
              <w:topLinePunct w:val="0"/>
              <w:bidi w:val="0"/>
              <w:snapToGrid/>
              <w:spacing w:before="0" w:beforeAutospacing="0" w:after="0" w:afterAutospacing="0" w:line="400" w:lineRule="exact"/>
              <w:ind w:left="0" w:right="0"/>
              <w:jc w:val="center"/>
              <w:textAlignment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lang w:val="en-US" w:eastAsia="zh-CN" w:bidi="ar"/>
              </w:rPr>
              <w:t>汉滨区五里高级中学厨房设施设备采购项目</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524797C">
            <w:pPr>
              <w:keepNext w:val="0"/>
              <w:keepLines w:val="0"/>
              <w:pageBreakBefore w:val="0"/>
              <w:widowControl/>
              <w:suppressLineNumbers w:val="0"/>
              <w:kinsoku/>
              <w:wordWrap w:val="0"/>
              <w:overflowPunct/>
              <w:topLinePunct w:val="0"/>
              <w:bidi w:val="0"/>
              <w:snapToGrid/>
              <w:spacing w:before="0" w:beforeAutospacing="0" w:after="0" w:afterAutospacing="0" w:line="400" w:lineRule="exact"/>
              <w:ind w:left="0" w:right="0"/>
              <w:jc w:val="center"/>
              <w:textAlignment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lang w:val="en-US" w:eastAsia="zh-CN" w:bidi="ar"/>
              </w:rPr>
              <w:t>1(批)</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F3A92FB">
            <w:pPr>
              <w:keepNext w:val="0"/>
              <w:keepLines w:val="0"/>
              <w:pageBreakBefore w:val="0"/>
              <w:widowControl/>
              <w:suppressLineNumbers w:val="0"/>
              <w:kinsoku/>
              <w:wordWrap w:val="0"/>
              <w:overflowPunct/>
              <w:topLinePunct w:val="0"/>
              <w:bidi w:val="0"/>
              <w:snapToGrid/>
              <w:spacing w:before="0" w:beforeAutospacing="0" w:after="0" w:afterAutospacing="0" w:line="400" w:lineRule="exact"/>
              <w:ind w:left="0" w:right="0"/>
              <w:jc w:val="center"/>
              <w:textAlignment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95C705A">
            <w:pPr>
              <w:keepNext w:val="0"/>
              <w:keepLines w:val="0"/>
              <w:pageBreakBefore w:val="0"/>
              <w:widowControl/>
              <w:suppressLineNumbers w:val="0"/>
              <w:kinsoku/>
              <w:wordWrap/>
              <w:overflowPunct/>
              <w:topLinePunct w:val="0"/>
              <w:bidi w:val="0"/>
              <w:snapToGrid/>
              <w:spacing w:before="0" w:beforeAutospacing="0" w:after="0" w:afterAutospacing="0" w:line="400" w:lineRule="exact"/>
              <w:ind w:left="0" w:right="0"/>
              <w:jc w:val="right"/>
              <w:textAlignment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vertAlign w:val="baseline"/>
                <w:lang w:val="en-US" w:eastAsia="zh-CN" w:bidi="ar"/>
              </w:rPr>
              <w:t>2,300,419.00</w:t>
            </w:r>
          </w:p>
        </w:tc>
      </w:tr>
    </w:tbl>
    <w:p w14:paraId="52420B85">
      <w:pPr>
        <w:pStyle w:val="3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bidi w:val="0"/>
        <w:snapToGrid/>
        <w:spacing w:before="0" w:beforeAutospacing="0" w:after="0" w:afterAutospacing="0" w:line="400" w:lineRule="exact"/>
        <w:ind w:left="0" w:right="0" w:firstLine="63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i w:val="0"/>
          <w:iCs w:val="0"/>
          <w:caps w:val="0"/>
          <w:color w:val="333333"/>
          <w:spacing w:val="0"/>
          <w:sz w:val="24"/>
          <w:szCs w:val="24"/>
          <w:shd w:val="clear" w:fill="FFFFFF"/>
          <w:vertAlign w:val="baseline"/>
        </w:rPr>
        <w:t>本合同包不接受联合体投标</w:t>
      </w:r>
    </w:p>
    <w:p w14:paraId="78CC0126">
      <w:pPr>
        <w:pStyle w:val="3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bidi w:val="0"/>
        <w:snapToGrid/>
        <w:spacing w:before="0" w:beforeAutospacing="0" w:after="0" w:afterAutospacing="0" w:line="400" w:lineRule="exact"/>
        <w:ind w:left="0" w:right="0" w:firstLine="63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i w:val="0"/>
          <w:iCs w:val="0"/>
          <w:caps w:val="0"/>
          <w:color w:val="333333"/>
          <w:spacing w:val="0"/>
          <w:sz w:val="24"/>
          <w:szCs w:val="24"/>
          <w:shd w:val="clear" w:fill="FFFFFF"/>
          <w:vertAlign w:val="baseline"/>
        </w:rPr>
        <w:t>合同履行期限：自合同签订之日起7日内</w:t>
      </w:r>
    </w:p>
    <w:p w14:paraId="593D4C3F">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overflowPunct/>
        <w:topLinePunct w:val="0"/>
        <w:bidi w:val="0"/>
        <w:snapToGrid/>
        <w:spacing w:before="150" w:beforeAutospacing="0" w:after="0" w:afterAutospacing="0" w:line="400" w:lineRule="exact"/>
        <w:ind w:leftChars="0" w:right="0" w:rightChars="0"/>
        <w:jc w:val="left"/>
        <w:textAlignment w:val="baseline"/>
        <w:rPr>
          <w:rFonts w:hint="eastAsia" w:asciiTheme="minorEastAsia" w:hAnsiTheme="minorEastAsia" w:eastAsiaTheme="minorEastAsia" w:cstheme="minorEastAsia"/>
          <w:b w:val="0"/>
          <w:bCs w:val="0"/>
          <w:i w:val="0"/>
          <w:iCs w:val="0"/>
          <w:caps w:val="0"/>
          <w:color w:val="333333"/>
          <w:spacing w:val="0"/>
          <w:sz w:val="24"/>
          <w:szCs w:val="24"/>
        </w:rPr>
      </w:pPr>
      <w:r>
        <w:rPr>
          <w:rStyle w:val="43"/>
          <w:rFonts w:hint="eastAsia" w:asciiTheme="minorEastAsia" w:hAnsiTheme="minorEastAsia" w:eastAsiaTheme="minorEastAsia" w:cstheme="minorEastAsia"/>
          <w:b/>
          <w:bCs/>
          <w:i w:val="0"/>
          <w:iCs w:val="0"/>
          <w:caps w:val="0"/>
          <w:color w:val="333333"/>
          <w:spacing w:val="0"/>
          <w:sz w:val="24"/>
          <w:szCs w:val="24"/>
          <w:shd w:val="clear" w:fill="FFFFFF"/>
          <w:vertAlign w:val="baseline"/>
        </w:rPr>
        <w:t>二、申请人的资格要求：</w:t>
      </w:r>
    </w:p>
    <w:p w14:paraId="3F72FEE9">
      <w:pPr>
        <w:pStyle w:val="3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bidi w:val="0"/>
        <w:snapToGrid/>
        <w:spacing w:before="0" w:beforeAutospacing="0" w:after="0" w:afterAutospacing="0" w:line="400" w:lineRule="exact"/>
        <w:ind w:left="0" w:right="0" w:firstLine="48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i w:val="0"/>
          <w:iCs w:val="0"/>
          <w:caps w:val="0"/>
          <w:color w:val="333333"/>
          <w:spacing w:val="0"/>
          <w:sz w:val="24"/>
          <w:szCs w:val="24"/>
          <w:shd w:val="clear" w:fill="FFFFFF"/>
          <w:vertAlign w:val="baseline"/>
        </w:rPr>
        <w:t>1.满足《中华人民共和国政府采购法》第二十二条规定;</w:t>
      </w:r>
    </w:p>
    <w:p w14:paraId="7C1F8FFF">
      <w:pPr>
        <w:pStyle w:val="3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bidi w:val="0"/>
        <w:snapToGrid/>
        <w:spacing w:before="0" w:beforeAutospacing="0" w:after="0" w:afterAutospacing="0" w:line="400" w:lineRule="exact"/>
        <w:ind w:left="0" w:right="0" w:firstLine="48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i w:val="0"/>
          <w:iCs w:val="0"/>
          <w:caps w:val="0"/>
          <w:color w:val="333333"/>
          <w:spacing w:val="0"/>
          <w:sz w:val="24"/>
          <w:szCs w:val="24"/>
          <w:shd w:val="clear" w:fill="FFFFFF"/>
          <w:vertAlign w:val="baseline"/>
        </w:rPr>
        <w:t>2.落实政府采购政策需满足的资格要求：</w:t>
      </w:r>
    </w:p>
    <w:p w14:paraId="3F9CF7E3">
      <w:pPr>
        <w:pStyle w:val="3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bidi w:val="0"/>
        <w:snapToGrid/>
        <w:spacing w:before="0" w:beforeAutospacing="0" w:after="0" w:afterAutospacing="0" w:line="400" w:lineRule="exact"/>
        <w:ind w:left="0" w:right="0" w:firstLine="48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i w:val="0"/>
          <w:iCs w:val="0"/>
          <w:caps w:val="0"/>
          <w:color w:val="333333"/>
          <w:spacing w:val="0"/>
          <w:sz w:val="24"/>
          <w:szCs w:val="24"/>
          <w:shd w:val="clear" w:fill="FFFFFF"/>
          <w:vertAlign w:val="baseline"/>
        </w:rPr>
        <w:t>合同包1(汉滨区五里高级中学厨房设施设备采购项目)落实政府采购政策需满足的资格要求如下:</w:t>
      </w:r>
    </w:p>
    <w:p w14:paraId="530B67DE">
      <w:pPr>
        <w:pStyle w:val="3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bidi w:val="0"/>
        <w:snapToGrid/>
        <w:spacing w:before="0" w:beforeAutospacing="0" w:after="0" w:afterAutospacing="0" w:line="400" w:lineRule="exact"/>
        <w:ind w:left="480" w:right="0" w:firstLine="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i w:val="0"/>
          <w:iCs w:val="0"/>
          <w:caps w:val="0"/>
          <w:color w:val="333333"/>
          <w:spacing w:val="0"/>
          <w:sz w:val="24"/>
          <w:szCs w:val="24"/>
          <w:shd w:val="clear" w:fill="FFFFFF"/>
          <w:vertAlign w:val="baseline"/>
        </w:rPr>
        <w:t>本项目专门面向中小企业采购。</w:t>
      </w:r>
    </w:p>
    <w:p w14:paraId="05165D6E">
      <w:pPr>
        <w:pStyle w:val="3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bidi w:val="0"/>
        <w:snapToGrid/>
        <w:spacing w:before="0" w:beforeAutospacing="0" w:after="0" w:afterAutospacing="0" w:line="400" w:lineRule="exact"/>
        <w:ind w:left="0" w:right="0" w:firstLine="48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i w:val="0"/>
          <w:iCs w:val="0"/>
          <w:caps w:val="0"/>
          <w:color w:val="333333"/>
          <w:spacing w:val="0"/>
          <w:sz w:val="24"/>
          <w:szCs w:val="24"/>
          <w:shd w:val="clear" w:fill="FFFFFF"/>
          <w:vertAlign w:val="baseline"/>
        </w:rPr>
        <w:t>3.本项目的特定资格要求：</w:t>
      </w:r>
    </w:p>
    <w:p w14:paraId="3DC4A0C0">
      <w:pPr>
        <w:pStyle w:val="3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bidi w:val="0"/>
        <w:snapToGrid/>
        <w:spacing w:before="0" w:beforeAutospacing="0" w:after="0" w:afterAutospacing="0" w:line="400" w:lineRule="exact"/>
        <w:ind w:left="0" w:right="0" w:firstLine="48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i w:val="0"/>
          <w:iCs w:val="0"/>
          <w:caps w:val="0"/>
          <w:color w:val="333333"/>
          <w:spacing w:val="0"/>
          <w:sz w:val="24"/>
          <w:szCs w:val="24"/>
          <w:shd w:val="clear" w:fill="FFFFFF"/>
          <w:vertAlign w:val="baseline"/>
        </w:rPr>
        <w:t>合同包1(汉滨区五里高级中学厨房设施设备采购项目)特定资格要求如下:</w:t>
      </w:r>
    </w:p>
    <w:p w14:paraId="6EF1F566">
      <w:pPr>
        <w:pStyle w:val="3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bidi w:val="0"/>
        <w:snapToGrid/>
        <w:spacing w:before="0" w:beforeAutospacing="0" w:after="0" w:afterAutospacing="0" w:line="400" w:lineRule="exact"/>
        <w:ind w:left="480" w:right="0" w:firstLine="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i w:val="0"/>
          <w:iCs w:val="0"/>
          <w:caps w:val="0"/>
          <w:color w:val="333333"/>
          <w:spacing w:val="0"/>
          <w:sz w:val="24"/>
          <w:szCs w:val="24"/>
          <w:shd w:val="clear" w:fill="FFFFFF"/>
          <w:vertAlign w:val="baseline"/>
        </w:rPr>
        <w:t>（1）在中华人民共和国境内注册，依法取得并有效存续的营业执照（含电子营业执照）/事业单位法人证书/民办非企业单位登记证书/非企业专业服务机构执业许可/自然人的提供身份证明文件。</w:t>
      </w:r>
      <w:r>
        <w:rPr>
          <w:rFonts w:hint="eastAsia" w:asciiTheme="minorEastAsia" w:hAnsiTheme="minorEastAsia" w:eastAsiaTheme="minorEastAsia" w:cstheme="minorEastAsia"/>
          <w:i w:val="0"/>
          <w:iCs w:val="0"/>
          <w:caps w:val="0"/>
          <w:color w:val="333333"/>
          <w:spacing w:val="0"/>
          <w:sz w:val="24"/>
          <w:szCs w:val="24"/>
          <w:shd w:val="clear" w:fill="FFFFFF"/>
          <w:vertAlign w:val="baseline"/>
        </w:rPr>
        <w:br w:type="textWrapping"/>
      </w:r>
      <w:r>
        <w:rPr>
          <w:rFonts w:hint="eastAsia" w:asciiTheme="minorEastAsia" w:hAnsiTheme="minorEastAsia" w:eastAsiaTheme="minorEastAsia" w:cstheme="minorEastAsia"/>
          <w:i w:val="0"/>
          <w:iCs w:val="0"/>
          <w:caps w:val="0"/>
          <w:color w:val="333333"/>
          <w:spacing w:val="0"/>
          <w:sz w:val="24"/>
          <w:szCs w:val="24"/>
          <w:shd w:val="clear" w:fill="FFFFFF"/>
          <w:vertAlign w:val="baseline"/>
        </w:rPr>
        <w:t>（2）法定代表人（负责人）参加投标的，须出具法定代表人（负责人）身份证明书及身份证正反两面扫描件或护照资料页扫描件；法定代表人（负责人）授权委托代理人参加投标的，须出具法定代表人（负责人）授权委托书及委托代理人身份证正反两面扫描件或护照资料页扫描件。</w:t>
      </w:r>
      <w:r>
        <w:rPr>
          <w:rFonts w:hint="eastAsia" w:asciiTheme="minorEastAsia" w:hAnsiTheme="minorEastAsia" w:eastAsiaTheme="minorEastAsia" w:cstheme="minorEastAsia"/>
          <w:i w:val="0"/>
          <w:iCs w:val="0"/>
          <w:caps w:val="0"/>
          <w:color w:val="333333"/>
          <w:spacing w:val="0"/>
          <w:sz w:val="24"/>
          <w:szCs w:val="24"/>
          <w:shd w:val="clear" w:fill="FFFFFF"/>
          <w:vertAlign w:val="baseline"/>
        </w:rPr>
        <w:br w:type="textWrapping"/>
      </w:r>
      <w:r>
        <w:rPr>
          <w:rFonts w:hint="eastAsia" w:asciiTheme="minorEastAsia" w:hAnsiTheme="minorEastAsia" w:eastAsiaTheme="minorEastAsia" w:cstheme="minorEastAsia"/>
          <w:i w:val="0"/>
          <w:iCs w:val="0"/>
          <w:caps w:val="0"/>
          <w:color w:val="333333"/>
          <w:spacing w:val="0"/>
          <w:sz w:val="24"/>
          <w:szCs w:val="24"/>
          <w:shd w:val="clear" w:fill="FFFFFF"/>
          <w:vertAlign w:val="baseline"/>
        </w:rPr>
        <w:t>（3）财务状况报告：提供2025年度财务审计报告（成立时间至开标时间不足一年的可提供成立后任意时段的资产负债表）；或提供基本存款账户信息及开标日期前三个月内其基本存款账户开户银行出具的资信证明；或财政部门认可的政府采购专业担保机构出具的投标担保函（依法不需要提供财务状况的供应商应提供相关证明）。</w:t>
      </w:r>
      <w:r>
        <w:rPr>
          <w:rFonts w:hint="eastAsia" w:asciiTheme="minorEastAsia" w:hAnsiTheme="minorEastAsia" w:eastAsiaTheme="minorEastAsia" w:cstheme="minorEastAsia"/>
          <w:i w:val="0"/>
          <w:iCs w:val="0"/>
          <w:caps w:val="0"/>
          <w:color w:val="333333"/>
          <w:spacing w:val="0"/>
          <w:sz w:val="24"/>
          <w:szCs w:val="24"/>
          <w:shd w:val="clear" w:fill="FFFFFF"/>
          <w:vertAlign w:val="baseline"/>
        </w:rPr>
        <w:br w:type="textWrapping"/>
      </w:r>
      <w:r>
        <w:rPr>
          <w:rFonts w:hint="eastAsia" w:asciiTheme="minorEastAsia" w:hAnsiTheme="minorEastAsia" w:eastAsiaTheme="minorEastAsia" w:cstheme="minorEastAsia"/>
          <w:i w:val="0"/>
          <w:iCs w:val="0"/>
          <w:caps w:val="0"/>
          <w:color w:val="333333"/>
          <w:spacing w:val="0"/>
          <w:sz w:val="24"/>
          <w:szCs w:val="24"/>
          <w:shd w:val="clear" w:fill="FFFFFF"/>
          <w:vertAlign w:val="baseline"/>
        </w:rPr>
        <w:t>（4）税收缴纳证明：提供投标响应文件截止时间一年内至少一个月的纳税证明或完税证明（任意税种），纳税证明或完税证明上应有代收机构或税务机关的公章或业务专用章（依法不需要缴纳税收的供应商应提供相关证明）。</w:t>
      </w:r>
      <w:r>
        <w:rPr>
          <w:rFonts w:hint="eastAsia" w:asciiTheme="minorEastAsia" w:hAnsiTheme="minorEastAsia" w:eastAsiaTheme="minorEastAsia" w:cstheme="minorEastAsia"/>
          <w:i w:val="0"/>
          <w:iCs w:val="0"/>
          <w:caps w:val="0"/>
          <w:color w:val="333333"/>
          <w:spacing w:val="0"/>
          <w:sz w:val="24"/>
          <w:szCs w:val="24"/>
          <w:shd w:val="clear" w:fill="FFFFFF"/>
          <w:vertAlign w:val="baseline"/>
        </w:rPr>
        <w:br w:type="textWrapping"/>
      </w:r>
      <w:r>
        <w:rPr>
          <w:rFonts w:hint="eastAsia" w:asciiTheme="minorEastAsia" w:hAnsiTheme="minorEastAsia" w:eastAsiaTheme="minorEastAsia" w:cstheme="minorEastAsia"/>
          <w:i w:val="0"/>
          <w:iCs w:val="0"/>
          <w:caps w:val="0"/>
          <w:color w:val="333333"/>
          <w:spacing w:val="0"/>
          <w:sz w:val="24"/>
          <w:szCs w:val="24"/>
          <w:shd w:val="clear" w:fill="FFFFFF"/>
          <w:vertAlign w:val="baseline"/>
        </w:rPr>
        <w:t>（5）社会保障资金缴纳证明：提供投标响应文件截止时间一年内至少一个月的社会保障资金缴存单据或社保机构开具的社会保险参保缴费情况证明，单据或证明上应有社保机构或代收机构的公章或业务专用章（依法不需要缴纳社会保障资金的供应商应提供相关证明）。</w:t>
      </w:r>
      <w:r>
        <w:rPr>
          <w:rFonts w:hint="eastAsia" w:asciiTheme="minorEastAsia" w:hAnsiTheme="minorEastAsia" w:eastAsiaTheme="minorEastAsia" w:cstheme="minorEastAsia"/>
          <w:i w:val="0"/>
          <w:iCs w:val="0"/>
          <w:caps w:val="0"/>
          <w:color w:val="333333"/>
          <w:spacing w:val="0"/>
          <w:sz w:val="24"/>
          <w:szCs w:val="24"/>
          <w:shd w:val="clear" w:fill="FFFFFF"/>
          <w:vertAlign w:val="baseline"/>
        </w:rPr>
        <w:br w:type="textWrapping"/>
      </w:r>
      <w:r>
        <w:rPr>
          <w:rFonts w:hint="eastAsia" w:asciiTheme="minorEastAsia" w:hAnsiTheme="minorEastAsia" w:eastAsiaTheme="minorEastAsia" w:cstheme="minorEastAsia"/>
          <w:i w:val="0"/>
          <w:iCs w:val="0"/>
          <w:caps w:val="0"/>
          <w:color w:val="333333"/>
          <w:spacing w:val="0"/>
          <w:sz w:val="24"/>
          <w:szCs w:val="24"/>
          <w:shd w:val="clear" w:fill="FFFFFF"/>
          <w:vertAlign w:val="baseline"/>
        </w:rPr>
        <w:t>（6）具有履行合同所必需的设备和专业技术能力书面声明函。</w:t>
      </w:r>
      <w:r>
        <w:rPr>
          <w:rFonts w:hint="eastAsia" w:asciiTheme="minorEastAsia" w:hAnsiTheme="minorEastAsia" w:eastAsiaTheme="minorEastAsia" w:cstheme="minorEastAsia"/>
          <w:i w:val="0"/>
          <w:iCs w:val="0"/>
          <w:caps w:val="0"/>
          <w:color w:val="333333"/>
          <w:spacing w:val="0"/>
          <w:sz w:val="24"/>
          <w:szCs w:val="24"/>
          <w:shd w:val="clear" w:fill="FFFFFF"/>
          <w:vertAlign w:val="baseline"/>
        </w:rPr>
        <w:br w:type="textWrapping"/>
      </w:r>
      <w:r>
        <w:rPr>
          <w:rFonts w:hint="eastAsia" w:asciiTheme="minorEastAsia" w:hAnsiTheme="minorEastAsia" w:eastAsiaTheme="minorEastAsia" w:cstheme="minorEastAsia"/>
          <w:i w:val="0"/>
          <w:iCs w:val="0"/>
          <w:caps w:val="0"/>
          <w:color w:val="333333"/>
          <w:spacing w:val="0"/>
          <w:sz w:val="24"/>
          <w:szCs w:val="24"/>
          <w:shd w:val="clear" w:fill="FFFFFF"/>
          <w:vertAlign w:val="baseline"/>
        </w:rPr>
        <w:t>（7）参加政府采购活动前三年内，在经营活动中没有重大违法记录的书面声明。</w:t>
      </w:r>
      <w:r>
        <w:rPr>
          <w:rFonts w:hint="eastAsia" w:asciiTheme="minorEastAsia" w:hAnsiTheme="minorEastAsia" w:eastAsiaTheme="minorEastAsia" w:cstheme="minorEastAsia"/>
          <w:i w:val="0"/>
          <w:iCs w:val="0"/>
          <w:caps w:val="0"/>
          <w:color w:val="333333"/>
          <w:spacing w:val="0"/>
          <w:sz w:val="24"/>
          <w:szCs w:val="24"/>
          <w:shd w:val="clear" w:fill="FFFFFF"/>
          <w:vertAlign w:val="baseline"/>
        </w:rPr>
        <w:br w:type="textWrapping"/>
      </w:r>
      <w:r>
        <w:rPr>
          <w:rFonts w:hint="eastAsia" w:asciiTheme="minorEastAsia" w:hAnsiTheme="minorEastAsia" w:eastAsiaTheme="minorEastAsia" w:cstheme="minorEastAsia"/>
          <w:i w:val="0"/>
          <w:iCs w:val="0"/>
          <w:caps w:val="0"/>
          <w:color w:val="333333"/>
          <w:spacing w:val="0"/>
          <w:sz w:val="24"/>
          <w:szCs w:val="24"/>
          <w:shd w:val="clear" w:fill="FFFFFF"/>
          <w:vertAlign w:val="baseline"/>
        </w:rPr>
        <w:t>（8）工业产品厂家须具备《中华人民共和国工业产品生产许可证管理条例实施办法》目录产品生产资质，直接接触食品的材料和相关产品须满足《食品安全法》相关法律法规。</w:t>
      </w:r>
      <w:r>
        <w:rPr>
          <w:rFonts w:hint="eastAsia" w:asciiTheme="minorEastAsia" w:hAnsiTheme="minorEastAsia" w:eastAsiaTheme="minorEastAsia" w:cstheme="minorEastAsia"/>
          <w:i w:val="0"/>
          <w:iCs w:val="0"/>
          <w:caps w:val="0"/>
          <w:color w:val="333333"/>
          <w:spacing w:val="0"/>
          <w:sz w:val="24"/>
          <w:szCs w:val="24"/>
          <w:shd w:val="clear" w:fill="FFFFFF"/>
          <w:vertAlign w:val="baseline"/>
        </w:rPr>
        <w:br w:type="textWrapping"/>
      </w:r>
      <w:r>
        <w:rPr>
          <w:rFonts w:hint="eastAsia" w:asciiTheme="minorEastAsia" w:hAnsiTheme="minorEastAsia" w:eastAsiaTheme="minorEastAsia" w:cstheme="minorEastAsia"/>
          <w:i w:val="0"/>
          <w:iCs w:val="0"/>
          <w:caps w:val="0"/>
          <w:color w:val="333333"/>
          <w:spacing w:val="0"/>
          <w:sz w:val="24"/>
          <w:szCs w:val="24"/>
          <w:shd w:val="clear" w:fill="FFFFFF"/>
          <w:vertAlign w:val="baseline"/>
        </w:rPr>
        <w:t>（9）本项目不接受联合体投标。</w:t>
      </w:r>
      <w:r>
        <w:rPr>
          <w:rFonts w:hint="eastAsia" w:asciiTheme="minorEastAsia" w:hAnsiTheme="minorEastAsia" w:eastAsiaTheme="minorEastAsia" w:cstheme="minorEastAsia"/>
          <w:i w:val="0"/>
          <w:iCs w:val="0"/>
          <w:caps w:val="0"/>
          <w:color w:val="333333"/>
          <w:spacing w:val="0"/>
          <w:sz w:val="24"/>
          <w:szCs w:val="24"/>
          <w:shd w:val="clear" w:fill="FFFFFF"/>
          <w:vertAlign w:val="baseline"/>
        </w:rPr>
        <w:br w:type="textWrapping"/>
      </w:r>
      <w:r>
        <w:rPr>
          <w:rFonts w:hint="eastAsia" w:asciiTheme="minorEastAsia" w:hAnsiTheme="minorEastAsia" w:eastAsiaTheme="minorEastAsia" w:cstheme="minorEastAsia"/>
          <w:i w:val="0"/>
          <w:iCs w:val="0"/>
          <w:caps w:val="0"/>
          <w:color w:val="333333"/>
          <w:spacing w:val="0"/>
          <w:sz w:val="24"/>
          <w:szCs w:val="24"/>
          <w:shd w:val="clear" w:fill="FFFFFF"/>
          <w:vertAlign w:val="baseline"/>
        </w:rPr>
        <w:t>（10）单位负责人为同一人或者存在直接控股、管理关系的不同供应商，不得参加同一合同项下的政府采购活动。为采购项目提供整体设计、规范编制或者项目管理、监理、检测等服务的供应商，不得再参加该采购项目的其他采购活动。</w:t>
      </w:r>
      <w:r>
        <w:rPr>
          <w:rFonts w:hint="eastAsia" w:asciiTheme="minorEastAsia" w:hAnsiTheme="minorEastAsia" w:eastAsiaTheme="minorEastAsia" w:cstheme="minorEastAsia"/>
          <w:i w:val="0"/>
          <w:iCs w:val="0"/>
          <w:caps w:val="0"/>
          <w:color w:val="333333"/>
          <w:spacing w:val="0"/>
          <w:sz w:val="24"/>
          <w:szCs w:val="24"/>
          <w:shd w:val="clear" w:fill="FFFFFF"/>
          <w:vertAlign w:val="baseline"/>
        </w:rPr>
        <w:br w:type="textWrapping"/>
      </w:r>
      <w:r>
        <w:rPr>
          <w:rFonts w:hint="eastAsia" w:asciiTheme="minorEastAsia" w:hAnsiTheme="minorEastAsia" w:eastAsiaTheme="minorEastAsia" w:cstheme="minorEastAsia"/>
          <w:i w:val="0"/>
          <w:iCs w:val="0"/>
          <w:caps w:val="0"/>
          <w:color w:val="333333"/>
          <w:spacing w:val="0"/>
          <w:sz w:val="24"/>
          <w:szCs w:val="24"/>
          <w:shd w:val="clear" w:fill="FFFFFF"/>
          <w:vertAlign w:val="baseline"/>
        </w:rPr>
        <w:t>（11）本项目专门面向中小企业采购，供应商须提供《中小企业声明函》。供应商为监狱企业的视同小型和微型企业，须提供由省级以上监狱管理局、戒毒管理局(含新疆生产建设兵团)出具的属于监狱企业的证明文件。供应</w:t>
      </w:r>
    </w:p>
    <w:p w14:paraId="7D6571BE">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overflowPunct/>
        <w:topLinePunct w:val="0"/>
        <w:bidi w:val="0"/>
        <w:snapToGrid/>
        <w:spacing w:before="150" w:beforeAutospacing="0" w:after="0" w:afterAutospacing="0" w:line="400" w:lineRule="exact"/>
        <w:ind w:leftChars="0" w:right="0" w:rightChars="0"/>
        <w:jc w:val="left"/>
        <w:textAlignment w:val="baseline"/>
        <w:rPr>
          <w:rFonts w:hint="eastAsia" w:asciiTheme="minorEastAsia" w:hAnsiTheme="minorEastAsia" w:eastAsiaTheme="minorEastAsia" w:cstheme="minorEastAsia"/>
          <w:b w:val="0"/>
          <w:bCs w:val="0"/>
          <w:i w:val="0"/>
          <w:iCs w:val="0"/>
          <w:caps w:val="0"/>
          <w:color w:val="333333"/>
          <w:spacing w:val="0"/>
          <w:sz w:val="24"/>
          <w:szCs w:val="24"/>
        </w:rPr>
      </w:pPr>
      <w:r>
        <w:rPr>
          <w:rStyle w:val="43"/>
          <w:rFonts w:hint="eastAsia" w:asciiTheme="minorEastAsia" w:hAnsiTheme="minorEastAsia" w:eastAsiaTheme="minorEastAsia" w:cstheme="minorEastAsia"/>
          <w:b/>
          <w:bCs/>
          <w:i w:val="0"/>
          <w:iCs w:val="0"/>
          <w:caps w:val="0"/>
          <w:color w:val="333333"/>
          <w:spacing w:val="0"/>
          <w:sz w:val="24"/>
          <w:szCs w:val="24"/>
          <w:shd w:val="clear" w:fill="FFFFFF"/>
          <w:vertAlign w:val="baseline"/>
        </w:rPr>
        <w:t>三、获取招标文件</w:t>
      </w:r>
    </w:p>
    <w:p w14:paraId="6EAE7A14">
      <w:pPr>
        <w:pStyle w:val="3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bidi w:val="0"/>
        <w:snapToGrid/>
        <w:spacing w:before="0" w:beforeAutospacing="0" w:after="0" w:afterAutospacing="0" w:line="400" w:lineRule="exact"/>
        <w:ind w:left="0" w:right="0" w:firstLine="480"/>
        <w:jc w:val="both"/>
        <w:textAlignment w:val="baseline"/>
        <w:rPr>
          <w:rFonts w:hint="eastAsia" w:asciiTheme="minorEastAsia" w:hAnsiTheme="minorEastAsia" w:eastAsiaTheme="minorEastAsia" w:cstheme="minorEastAsia"/>
          <w:i w:val="0"/>
          <w:iCs w:val="0"/>
          <w:caps w:val="0"/>
          <w:color w:val="333333"/>
          <w:spacing w:val="0"/>
          <w:sz w:val="24"/>
          <w:szCs w:val="24"/>
        </w:rPr>
      </w:pPr>
      <w:r>
        <w:rPr>
          <w:rFonts w:hint="eastAsia" w:asciiTheme="minorEastAsia" w:hAnsiTheme="minorEastAsia" w:eastAsiaTheme="minorEastAsia" w:cstheme="minorEastAsia"/>
          <w:i w:val="0"/>
          <w:iCs w:val="0"/>
          <w:caps w:val="0"/>
          <w:color w:val="333333"/>
          <w:spacing w:val="0"/>
          <w:sz w:val="24"/>
          <w:szCs w:val="24"/>
          <w:shd w:val="clear" w:fill="FFFFFF"/>
          <w:vertAlign w:val="baseline"/>
        </w:rPr>
        <w:t>时间：2026年07月31日至2026年08月06日，每天上午00:00:00至12:00:00，下午12:00:00至23:59:59 （北京时间）</w:t>
      </w:r>
    </w:p>
    <w:p w14:paraId="0842676C">
      <w:pPr>
        <w:pStyle w:val="3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bidi w:val="0"/>
        <w:snapToGrid/>
        <w:spacing w:before="0" w:beforeAutospacing="0" w:after="0" w:afterAutospacing="0" w:line="400" w:lineRule="exact"/>
        <w:ind w:left="0" w:right="0" w:firstLine="480"/>
        <w:jc w:val="both"/>
        <w:textAlignment w:val="baseline"/>
        <w:rPr>
          <w:rFonts w:hint="eastAsia" w:asciiTheme="minorEastAsia" w:hAnsiTheme="minorEastAsia" w:eastAsiaTheme="minorEastAsia" w:cstheme="minorEastAsia"/>
          <w:i w:val="0"/>
          <w:iCs w:val="0"/>
          <w:caps w:val="0"/>
          <w:color w:val="333333"/>
          <w:spacing w:val="0"/>
          <w:sz w:val="24"/>
          <w:szCs w:val="24"/>
        </w:rPr>
      </w:pPr>
      <w:r>
        <w:rPr>
          <w:rFonts w:hint="eastAsia" w:asciiTheme="minorEastAsia" w:hAnsiTheme="minorEastAsia" w:eastAsiaTheme="minorEastAsia" w:cstheme="minorEastAsia"/>
          <w:i w:val="0"/>
          <w:iCs w:val="0"/>
          <w:caps w:val="0"/>
          <w:color w:val="333333"/>
          <w:spacing w:val="0"/>
          <w:sz w:val="24"/>
          <w:szCs w:val="24"/>
          <w:shd w:val="clear" w:fill="FFFFFF"/>
          <w:vertAlign w:val="baseline"/>
        </w:rPr>
        <w:t>途径：全国公共资源交易平台（陕西省·安康市）</w:t>
      </w:r>
    </w:p>
    <w:p w14:paraId="4A4EA2EC">
      <w:pPr>
        <w:pStyle w:val="3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bidi w:val="0"/>
        <w:snapToGrid/>
        <w:spacing w:before="0" w:beforeAutospacing="0" w:after="0" w:afterAutospacing="0" w:line="400" w:lineRule="exact"/>
        <w:ind w:left="0" w:right="0" w:firstLine="480"/>
        <w:jc w:val="both"/>
        <w:textAlignment w:val="baseline"/>
        <w:rPr>
          <w:rFonts w:hint="eastAsia" w:asciiTheme="minorEastAsia" w:hAnsiTheme="minorEastAsia" w:eastAsiaTheme="minorEastAsia" w:cstheme="minorEastAsia"/>
          <w:i w:val="0"/>
          <w:iCs w:val="0"/>
          <w:caps w:val="0"/>
          <w:color w:val="333333"/>
          <w:spacing w:val="0"/>
          <w:sz w:val="24"/>
          <w:szCs w:val="24"/>
        </w:rPr>
      </w:pPr>
      <w:r>
        <w:rPr>
          <w:rFonts w:hint="eastAsia" w:asciiTheme="minorEastAsia" w:hAnsiTheme="minorEastAsia" w:eastAsiaTheme="minorEastAsia" w:cstheme="minorEastAsia"/>
          <w:i w:val="0"/>
          <w:iCs w:val="0"/>
          <w:caps w:val="0"/>
          <w:color w:val="333333"/>
          <w:spacing w:val="0"/>
          <w:sz w:val="24"/>
          <w:szCs w:val="24"/>
          <w:shd w:val="clear" w:fill="FFFFFF"/>
          <w:vertAlign w:val="baseline"/>
        </w:rPr>
        <w:t>方式：在线获取</w:t>
      </w:r>
    </w:p>
    <w:p w14:paraId="5800C17C">
      <w:pPr>
        <w:pStyle w:val="3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bidi w:val="0"/>
        <w:snapToGrid/>
        <w:spacing w:before="0" w:beforeAutospacing="0" w:after="0" w:afterAutospacing="0" w:line="400" w:lineRule="exact"/>
        <w:ind w:left="0" w:right="0" w:firstLine="480"/>
        <w:jc w:val="both"/>
        <w:textAlignment w:val="baseline"/>
        <w:rPr>
          <w:rFonts w:hint="eastAsia" w:asciiTheme="minorEastAsia" w:hAnsiTheme="minorEastAsia" w:eastAsiaTheme="minorEastAsia" w:cstheme="minorEastAsia"/>
          <w:i w:val="0"/>
          <w:iCs w:val="0"/>
          <w:caps w:val="0"/>
          <w:color w:val="333333"/>
          <w:spacing w:val="0"/>
          <w:sz w:val="24"/>
          <w:szCs w:val="24"/>
        </w:rPr>
      </w:pPr>
      <w:r>
        <w:rPr>
          <w:rFonts w:hint="eastAsia" w:asciiTheme="minorEastAsia" w:hAnsiTheme="minorEastAsia" w:eastAsiaTheme="minorEastAsia" w:cstheme="minorEastAsia"/>
          <w:i w:val="0"/>
          <w:iCs w:val="0"/>
          <w:caps w:val="0"/>
          <w:color w:val="333333"/>
          <w:spacing w:val="0"/>
          <w:sz w:val="24"/>
          <w:szCs w:val="24"/>
          <w:shd w:val="clear" w:fill="FFFFFF"/>
          <w:vertAlign w:val="baseline"/>
        </w:rPr>
        <w:t>售价：0元</w:t>
      </w:r>
    </w:p>
    <w:p w14:paraId="405D1FDA">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overflowPunct/>
        <w:topLinePunct w:val="0"/>
        <w:bidi w:val="0"/>
        <w:snapToGrid/>
        <w:spacing w:before="150" w:beforeAutospacing="0" w:after="0" w:afterAutospacing="0" w:line="400" w:lineRule="exact"/>
        <w:ind w:leftChars="0" w:right="0" w:rightChars="0"/>
        <w:jc w:val="left"/>
        <w:textAlignment w:val="baseline"/>
        <w:rPr>
          <w:rFonts w:hint="eastAsia" w:asciiTheme="minorEastAsia" w:hAnsiTheme="minorEastAsia" w:eastAsiaTheme="minorEastAsia" w:cstheme="minorEastAsia"/>
          <w:b w:val="0"/>
          <w:bCs w:val="0"/>
          <w:i w:val="0"/>
          <w:iCs w:val="0"/>
          <w:caps w:val="0"/>
          <w:color w:val="333333"/>
          <w:spacing w:val="0"/>
          <w:sz w:val="24"/>
          <w:szCs w:val="24"/>
        </w:rPr>
      </w:pPr>
      <w:r>
        <w:rPr>
          <w:rStyle w:val="43"/>
          <w:rFonts w:hint="eastAsia" w:asciiTheme="minorEastAsia" w:hAnsiTheme="minorEastAsia" w:eastAsiaTheme="minorEastAsia" w:cstheme="minorEastAsia"/>
          <w:b/>
          <w:bCs/>
          <w:i w:val="0"/>
          <w:iCs w:val="0"/>
          <w:caps w:val="0"/>
          <w:color w:val="333333"/>
          <w:spacing w:val="0"/>
          <w:sz w:val="24"/>
          <w:szCs w:val="24"/>
          <w:shd w:val="clear" w:fill="FFFFFF"/>
          <w:vertAlign w:val="baseline"/>
        </w:rPr>
        <w:t>四、提交投标文件截止时间、开标时间和地点</w:t>
      </w:r>
    </w:p>
    <w:p w14:paraId="4FA2C7BC">
      <w:pPr>
        <w:pStyle w:val="3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bidi w:val="0"/>
        <w:snapToGrid/>
        <w:spacing w:before="0" w:beforeAutospacing="0" w:after="0" w:afterAutospacing="0" w:line="400" w:lineRule="exact"/>
        <w:ind w:left="0" w:right="0" w:firstLine="480"/>
        <w:jc w:val="both"/>
        <w:textAlignment w:val="baseline"/>
        <w:rPr>
          <w:rFonts w:hint="eastAsia" w:asciiTheme="minorEastAsia" w:hAnsiTheme="minorEastAsia" w:eastAsiaTheme="minorEastAsia" w:cstheme="minorEastAsia"/>
          <w:i w:val="0"/>
          <w:iCs w:val="0"/>
          <w:caps w:val="0"/>
          <w:color w:val="333333"/>
          <w:spacing w:val="0"/>
          <w:sz w:val="24"/>
          <w:szCs w:val="24"/>
        </w:rPr>
      </w:pPr>
      <w:r>
        <w:rPr>
          <w:rFonts w:hint="eastAsia" w:asciiTheme="minorEastAsia" w:hAnsiTheme="minorEastAsia" w:eastAsiaTheme="minorEastAsia" w:cstheme="minorEastAsia"/>
          <w:i w:val="0"/>
          <w:iCs w:val="0"/>
          <w:caps w:val="0"/>
          <w:color w:val="333333"/>
          <w:spacing w:val="0"/>
          <w:sz w:val="24"/>
          <w:szCs w:val="24"/>
          <w:shd w:val="clear" w:fill="FFFFFF"/>
          <w:vertAlign w:val="baseline"/>
        </w:rPr>
        <w:t>时间：2026年08月21日 09时00分00秒 （北京时间）</w:t>
      </w:r>
    </w:p>
    <w:p w14:paraId="505DF67A">
      <w:pPr>
        <w:pStyle w:val="3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bidi w:val="0"/>
        <w:snapToGrid/>
        <w:spacing w:before="0" w:beforeAutospacing="0" w:after="0" w:afterAutospacing="0" w:line="400" w:lineRule="exact"/>
        <w:ind w:left="0" w:right="0" w:firstLine="480"/>
        <w:jc w:val="both"/>
        <w:textAlignment w:val="baseline"/>
        <w:rPr>
          <w:rFonts w:hint="eastAsia" w:asciiTheme="minorEastAsia" w:hAnsiTheme="minorEastAsia" w:eastAsiaTheme="minorEastAsia" w:cstheme="minorEastAsia"/>
          <w:i w:val="0"/>
          <w:iCs w:val="0"/>
          <w:caps w:val="0"/>
          <w:color w:val="333333"/>
          <w:spacing w:val="0"/>
          <w:sz w:val="24"/>
          <w:szCs w:val="24"/>
        </w:rPr>
      </w:pPr>
      <w:r>
        <w:rPr>
          <w:rFonts w:hint="eastAsia" w:asciiTheme="minorEastAsia" w:hAnsiTheme="minorEastAsia" w:eastAsiaTheme="minorEastAsia" w:cstheme="minorEastAsia"/>
          <w:i w:val="0"/>
          <w:iCs w:val="0"/>
          <w:caps w:val="0"/>
          <w:color w:val="333333"/>
          <w:spacing w:val="0"/>
          <w:sz w:val="24"/>
          <w:szCs w:val="24"/>
          <w:shd w:val="clear" w:fill="FFFFFF"/>
          <w:vertAlign w:val="baseline"/>
        </w:rPr>
        <w:t>提交投标文件地点：全国公共资源交易平台（陕西省·安康市）</w:t>
      </w:r>
    </w:p>
    <w:p w14:paraId="33ECFE38">
      <w:pPr>
        <w:pStyle w:val="3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bidi w:val="0"/>
        <w:snapToGrid/>
        <w:spacing w:before="0" w:beforeAutospacing="0" w:after="0" w:afterAutospacing="0" w:line="400" w:lineRule="exact"/>
        <w:ind w:left="0" w:right="0" w:firstLine="480"/>
        <w:jc w:val="both"/>
        <w:textAlignment w:val="baseline"/>
        <w:rPr>
          <w:rFonts w:hint="eastAsia" w:asciiTheme="minorEastAsia" w:hAnsiTheme="minorEastAsia" w:eastAsiaTheme="minorEastAsia" w:cstheme="minorEastAsia"/>
          <w:i w:val="0"/>
          <w:iCs w:val="0"/>
          <w:caps w:val="0"/>
          <w:color w:val="333333"/>
          <w:spacing w:val="0"/>
          <w:sz w:val="24"/>
          <w:szCs w:val="24"/>
        </w:rPr>
      </w:pPr>
      <w:r>
        <w:rPr>
          <w:rFonts w:hint="eastAsia" w:asciiTheme="minorEastAsia" w:hAnsiTheme="minorEastAsia" w:eastAsiaTheme="minorEastAsia" w:cstheme="minorEastAsia"/>
          <w:i w:val="0"/>
          <w:iCs w:val="0"/>
          <w:caps w:val="0"/>
          <w:color w:val="333333"/>
          <w:spacing w:val="0"/>
          <w:sz w:val="24"/>
          <w:szCs w:val="24"/>
          <w:shd w:val="clear" w:fill="FFFFFF"/>
          <w:vertAlign w:val="baseline"/>
        </w:rPr>
        <w:t>开标地点：不见面开标大厅</w:t>
      </w:r>
    </w:p>
    <w:p w14:paraId="1C4EF2B2">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overflowPunct/>
        <w:topLinePunct w:val="0"/>
        <w:bidi w:val="0"/>
        <w:snapToGrid/>
        <w:spacing w:before="150" w:beforeAutospacing="0" w:after="0" w:afterAutospacing="0" w:line="400" w:lineRule="exact"/>
        <w:ind w:leftChars="0" w:right="0" w:rightChars="0"/>
        <w:jc w:val="left"/>
        <w:textAlignment w:val="baseline"/>
        <w:rPr>
          <w:rFonts w:hint="eastAsia" w:asciiTheme="minorEastAsia" w:hAnsiTheme="minorEastAsia" w:eastAsiaTheme="minorEastAsia" w:cstheme="minorEastAsia"/>
          <w:b w:val="0"/>
          <w:bCs w:val="0"/>
          <w:i w:val="0"/>
          <w:iCs w:val="0"/>
          <w:caps w:val="0"/>
          <w:color w:val="333333"/>
          <w:spacing w:val="0"/>
          <w:sz w:val="24"/>
          <w:szCs w:val="24"/>
        </w:rPr>
      </w:pPr>
      <w:r>
        <w:rPr>
          <w:rStyle w:val="43"/>
          <w:rFonts w:hint="eastAsia" w:asciiTheme="minorEastAsia" w:hAnsiTheme="minorEastAsia" w:eastAsiaTheme="minorEastAsia" w:cstheme="minorEastAsia"/>
          <w:b/>
          <w:bCs/>
          <w:i w:val="0"/>
          <w:iCs w:val="0"/>
          <w:caps w:val="0"/>
          <w:color w:val="333333"/>
          <w:spacing w:val="0"/>
          <w:sz w:val="24"/>
          <w:szCs w:val="24"/>
          <w:shd w:val="clear" w:fill="FFFFFF"/>
          <w:vertAlign w:val="baseline"/>
        </w:rPr>
        <w:t>五、公告期限</w:t>
      </w:r>
    </w:p>
    <w:p w14:paraId="26AD64C7">
      <w:pPr>
        <w:pStyle w:val="3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bidi w:val="0"/>
        <w:snapToGrid/>
        <w:spacing w:before="0" w:beforeAutospacing="0" w:after="0" w:afterAutospacing="0" w:line="400" w:lineRule="exact"/>
        <w:ind w:left="0" w:right="0" w:firstLine="480"/>
        <w:jc w:val="both"/>
        <w:textAlignment w:val="baseline"/>
        <w:rPr>
          <w:rFonts w:hint="eastAsia" w:asciiTheme="minorEastAsia" w:hAnsiTheme="minorEastAsia" w:eastAsiaTheme="minorEastAsia" w:cstheme="minorEastAsia"/>
          <w:i w:val="0"/>
          <w:iCs w:val="0"/>
          <w:caps w:val="0"/>
          <w:color w:val="333333"/>
          <w:spacing w:val="0"/>
          <w:sz w:val="24"/>
          <w:szCs w:val="24"/>
        </w:rPr>
      </w:pPr>
      <w:r>
        <w:rPr>
          <w:rFonts w:hint="eastAsia" w:asciiTheme="minorEastAsia" w:hAnsiTheme="minorEastAsia" w:eastAsiaTheme="minorEastAsia" w:cstheme="minorEastAsia"/>
          <w:i w:val="0"/>
          <w:iCs w:val="0"/>
          <w:caps w:val="0"/>
          <w:color w:val="333333"/>
          <w:spacing w:val="0"/>
          <w:sz w:val="24"/>
          <w:szCs w:val="24"/>
          <w:shd w:val="clear" w:fill="FFFFFF"/>
          <w:vertAlign w:val="baseline"/>
        </w:rPr>
        <w:t>自本公告发布之日起5个工作日。</w:t>
      </w:r>
    </w:p>
    <w:p w14:paraId="2535FFA4">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overflowPunct/>
        <w:topLinePunct w:val="0"/>
        <w:bidi w:val="0"/>
        <w:snapToGrid/>
        <w:spacing w:before="150" w:beforeAutospacing="0" w:after="0" w:afterAutospacing="0" w:line="400" w:lineRule="exact"/>
        <w:ind w:leftChars="0" w:right="0" w:rightChars="0"/>
        <w:jc w:val="left"/>
        <w:textAlignment w:val="baseline"/>
        <w:rPr>
          <w:rFonts w:hint="eastAsia" w:asciiTheme="minorEastAsia" w:hAnsiTheme="minorEastAsia" w:eastAsiaTheme="minorEastAsia" w:cstheme="minorEastAsia"/>
          <w:b w:val="0"/>
          <w:bCs w:val="0"/>
          <w:i w:val="0"/>
          <w:iCs w:val="0"/>
          <w:caps w:val="0"/>
          <w:color w:val="333333"/>
          <w:spacing w:val="0"/>
          <w:sz w:val="24"/>
          <w:szCs w:val="24"/>
        </w:rPr>
      </w:pPr>
      <w:r>
        <w:rPr>
          <w:rStyle w:val="43"/>
          <w:rFonts w:hint="eastAsia" w:asciiTheme="minorEastAsia" w:hAnsiTheme="minorEastAsia" w:eastAsiaTheme="minorEastAsia" w:cstheme="minorEastAsia"/>
          <w:b/>
          <w:bCs/>
          <w:i w:val="0"/>
          <w:iCs w:val="0"/>
          <w:caps w:val="0"/>
          <w:color w:val="333333"/>
          <w:spacing w:val="0"/>
          <w:sz w:val="24"/>
          <w:szCs w:val="24"/>
          <w:shd w:val="clear" w:fill="FFFFFF"/>
          <w:vertAlign w:val="baseline"/>
        </w:rPr>
        <w:t>六、其他补充事宜</w:t>
      </w:r>
    </w:p>
    <w:p w14:paraId="59A79375">
      <w:pPr>
        <w:pStyle w:val="3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bidi w:val="0"/>
        <w:snapToGrid/>
        <w:spacing w:before="0" w:beforeAutospacing="0" w:after="0" w:afterAutospacing="0" w:line="400" w:lineRule="exact"/>
        <w:ind w:left="0" w:right="0" w:firstLine="42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i w:val="0"/>
          <w:iCs w:val="0"/>
          <w:caps w:val="0"/>
          <w:color w:val="333333"/>
          <w:spacing w:val="0"/>
          <w:kern w:val="0"/>
          <w:sz w:val="24"/>
          <w:szCs w:val="24"/>
          <w:shd w:val="clear" w:fill="FFFFFF"/>
          <w:vertAlign w:val="baseline"/>
          <w:lang w:val="en-US" w:eastAsia="zh-CN" w:bidi="ar"/>
        </w:rPr>
        <w:t>落实政府采购政策需满足的资格要求如下:</w:t>
      </w:r>
    </w:p>
    <w:p w14:paraId="79DA6D31">
      <w:pPr>
        <w:pStyle w:val="3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bidi w:val="0"/>
        <w:snapToGrid/>
        <w:spacing w:before="0" w:beforeAutospacing="0" w:after="0" w:afterAutospacing="0" w:line="400" w:lineRule="exact"/>
        <w:ind w:left="0" w:right="0" w:firstLine="42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i w:val="0"/>
          <w:iCs w:val="0"/>
          <w:caps w:val="0"/>
          <w:color w:val="333333"/>
          <w:spacing w:val="0"/>
          <w:kern w:val="0"/>
          <w:sz w:val="24"/>
          <w:szCs w:val="24"/>
          <w:shd w:val="clear" w:fill="FFFFFF"/>
          <w:vertAlign w:val="baseline"/>
          <w:lang w:val="en-US" w:eastAsia="zh-CN" w:bidi="ar"/>
        </w:rPr>
        <w:t>（1）财政部、工业和信息化部关于印发《政府采购促进中小企业发展管理办法》的通知-财库〔2020〕46号；（2）关于进一步加大政府采购支持中小企业力度的通知-财库〔2022〕19号；（3）财政部 司法部关于政府采购支持监狱企业发展有关问题的通知-财库〔2014〕68号；（4）财政部 民政部 中国残疾人联合会关于促进残疾人就业政府采购政策的通知-财库〔2017〕141号；（5）关于调整优化节能产品、环境标志产品政府采购执行机制的通知-财库〔2019〕9号；（6）财政部生态 环境部关于印发环境标志产品政府采购品目清单的通知-财库〔2019〕18号；（7）财政部发展改革委关于印发节能产品政府采购品目清单的通知-财库〔2019〕19号；（8）财政部 农业农村部 国家乡村振兴局关于运用政府采购政策支持乡村产业振兴的通知-财库〔2021〕19 号；（9）财政部、农业农村部、国家乡村振兴局、中华全国供销合作总社关于印发《关于深入开展政府采购脱贫地区农副产品工作推进乡村产业振兴的实施意见》的通知-财库〔2021〕20号；（10）陕西省财政厅关于落实政府采购支持中小企业政策有关事项的通知-陕财办采函〔2022〕10 号；（11）陕西省财政厅关于进一步加强政府绿色采购有关问题的通知-陕财办采〔2021〕29号；（12）陕西省财政厅关于印发《陕西省中小企业政府采购信用融资办法》-陕财办采〔2018〕23号；（13）陕西省财政厅关于加快推进我省中小企业政府采购信用融资工作的通知-陕财办采〔2020〕15号；（14）陕西省财政厅 中国人民银行西安分行关于深入推进政府采购信用融资业务的通知-陕财办采〔2023〕5号；（15）《财政部 工业和信息化部关于贯彻落实&lt;国务院办公厅关于在政府采购中实施本国产品标准及相关政策的通知&gt;的意见》（财库〔2025〕30 号）；（16）《关于推动解决政府采购异常低价问题的通知》（财库〔2026〕 2号）；（17）如有最新颁布的政府采购政策，按最新的文件执行。</w:t>
      </w:r>
    </w:p>
    <w:p w14:paraId="621D6A2C">
      <w:pPr>
        <w:pStyle w:val="3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bidi w:val="0"/>
        <w:snapToGrid/>
        <w:spacing w:before="0" w:beforeAutospacing="0" w:after="0" w:afterAutospacing="0" w:line="400" w:lineRule="exact"/>
        <w:ind w:left="0" w:right="0" w:firstLine="482"/>
        <w:jc w:val="both"/>
        <w:textAlignment w:val="baseline"/>
        <w:rPr>
          <w:rFonts w:hint="eastAsia" w:asciiTheme="minorEastAsia" w:hAnsiTheme="minorEastAsia" w:eastAsiaTheme="minorEastAsia" w:cstheme="minorEastAsia"/>
          <w:sz w:val="24"/>
          <w:szCs w:val="24"/>
        </w:rPr>
      </w:pPr>
      <w:r>
        <w:rPr>
          <w:rStyle w:val="43"/>
          <w:rFonts w:hint="eastAsia" w:asciiTheme="minorEastAsia" w:hAnsiTheme="minorEastAsia" w:eastAsiaTheme="minorEastAsia" w:cstheme="minorEastAsia"/>
          <w:b/>
          <w:bCs/>
          <w:i w:val="0"/>
          <w:iCs w:val="0"/>
          <w:caps w:val="0"/>
          <w:color w:val="333333"/>
          <w:spacing w:val="0"/>
          <w:kern w:val="0"/>
          <w:sz w:val="24"/>
          <w:szCs w:val="24"/>
          <w:shd w:val="clear" w:fill="FFFFFF"/>
          <w:vertAlign w:val="baseline"/>
          <w:lang w:val="en-US" w:eastAsia="zh-CN" w:bidi="ar"/>
        </w:rPr>
        <w:t>注：（1）使用捆绑省交易平台的CA锁登录电子交易平台，通过政府采购系统企业端进入，点击我要投标，完善相关投标信息，下载采购文件。（2）本项目采购公告同时在全国公共资源交易平台（陕西省·安康市）安康市公共资源交易中心（网址：http://ak.sxggzyjy.cn/）、陕西省政府采购网（网址：http://www.ccgp-shaanxi.gov.cn/）发布。请供应商按照陕西省财政厅关于政府采购供应商注册登记有关事项的通知中的要求，通过陕西省政府采购网（http://www.ccgp-shaanxi.gov.cn/）注册登记加入陕西省政府采购供应商库。（3）本项目采用电子化投标及远程不见面开标方式，相关操作流程详见全国公共资源交易平台（陕西省）网站[服务指南-下载专区]中的《陕西省公共资源交易中心政府采购项目投标指南》；（4）电子招标文件技术支持：4009280095、4009980000；（5）未及时下载招标文件或未经招标代理机构确认的将会影响后续开评标活动。如无进行线上操作，导致无法参与投标的，责任自负。（6）本项目采用电子化投标及远程不见面开标方式。供应商须使用数字认证证书（CA锁）对电子响应文件进行签章、加密、递交及开启时解密等相关招投标事宜。开标前，供应商需登录网络开标大厅。开启时，按照工作人员要求进行远程解密，如因供应商自身原因造成无法在规定时间内解密响应文件的，按无效投标对待。</w:t>
      </w:r>
    </w:p>
    <w:p w14:paraId="47E8F69D">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overflowPunct/>
        <w:topLinePunct w:val="0"/>
        <w:bidi w:val="0"/>
        <w:snapToGrid/>
        <w:spacing w:before="150" w:beforeAutospacing="0" w:after="0" w:afterAutospacing="0" w:line="400" w:lineRule="exact"/>
        <w:ind w:leftChars="0" w:right="0" w:rightChars="0"/>
        <w:jc w:val="left"/>
        <w:textAlignment w:val="baseline"/>
        <w:rPr>
          <w:rFonts w:hint="eastAsia" w:asciiTheme="minorEastAsia" w:hAnsiTheme="minorEastAsia" w:eastAsiaTheme="minorEastAsia" w:cstheme="minorEastAsia"/>
          <w:b w:val="0"/>
          <w:bCs w:val="0"/>
          <w:i w:val="0"/>
          <w:iCs w:val="0"/>
          <w:caps w:val="0"/>
          <w:color w:val="333333"/>
          <w:spacing w:val="0"/>
          <w:sz w:val="24"/>
          <w:szCs w:val="24"/>
        </w:rPr>
      </w:pPr>
      <w:r>
        <w:rPr>
          <w:rStyle w:val="43"/>
          <w:rFonts w:hint="eastAsia" w:asciiTheme="minorEastAsia" w:hAnsiTheme="minorEastAsia" w:eastAsiaTheme="minorEastAsia" w:cstheme="minorEastAsia"/>
          <w:b/>
          <w:bCs/>
          <w:i w:val="0"/>
          <w:iCs w:val="0"/>
          <w:caps w:val="0"/>
          <w:color w:val="333333"/>
          <w:spacing w:val="0"/>
          <w:sz w:val="24"/>
          <w:szCs w:val="24"/>
          <w:shd w:val="clear" w:fill="FFFFFF"/>
          <w:vertAlign w:val="baseline"/>
        </w:rPr>
        <w:t>七、对本次招标提出询问，请按以下方式联系。</w:t>
      </w:r>
    </w:p>
    <w:p w14:paraId="40BF41A0">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bidi w:val="0"/>
        <w:snapToGrid/>
        <w:spacing w:before="0" w:beforeAutospacing="0" w:after="0" w:afterAutospacing="0" w:line="400" w:lineRule="exact"/>
        <w:ind w:right="0"/>
        <w:jc w:val="left"/>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i w:val="0"/>
          <w:iCs w:val="0"/>
          <w:caps w:val="0"/>
          <w:color w:val="333333"/>
          <w:spacing w:val="0"/>
          <w:sz w:val="24"/>
          <w:szCs w:val="24"/>
          <w:shd w:val="clear" w:fill="FFFFFF"/>
          <w:vertAlign w:val="baseline"/>
        </w:rPr>
        <w:t>1.采购人信息</w:t>
      </w:r>
    </w:p>
    <w:p w14:paraId="1078E850">
      <w:pPr>
        <w:pStyle w:val="3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bidi w:val="0"/>
        <w:snapToGrid/>
        <w:spacing w:before="0" w:beforeAutospacing="0" w:after="0" w:afterAutospacing="0" w:line="400" w:lineRule="exact"/>
        <w:ind w:left="0" w:right="0" w:firstLine="48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i w:val="0"/>
          <w:iCs w:val="0"/>
          <w:caps w:val="0"/>
          <w:color w:val="333333"/>
          <w:spacing w:val="0"/>
          <w:sz w:val="24"/>
          <w:szCs w:val="24"/>
          <w:shd w:val="clear" w:fill="FFFFFF"/>
          <w:vertAlign w:val="baseline"/>
        </w:rPr>
        <w:t>名称：汉滨区五里高级中学</w:t>
      </w:r>
    </w:p>
    <w:p w14:paraId="131A4531">
      <w:pPr>
        <w:pStyle w:val="3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bidi w:val="0"/>
        <w:snapToGrid/>
        <w:spacing w:before="0" w:beforeAutospacing="0" w:after="0" w:afterAutospacing="0" w:line="400" w:lineRule="exact"/>
        <w:ind w:left="0" w:right="0" w:firstLine="48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i w:val="0"/>
          <w:iCs w:val="0"/>
          <w:caps w:val="0"/>
          <w:color w:val="333333"/>
          <w:spacing w:val="0"/>
          <w:sz w:val="24"/>
          <w:szCs w:val="24"/>
          <w:shd w:val="clear" w:fill="FFFFFF"/>
          <w:vertAlign w:val="baseline"/>
        </w:rPr>
        <w:t>地址：汉滨区五里镇团结村一组</w:t>
      </w:r>
    </w:p>
    <w:p w14:paraId="1EB047EE">
      <w:pPr>
        <w:pStyle w:val="3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bidi w:val="0"/>
        <w:snapToGrid/>
        <w:spacing w:before="0" w:beforeAutospacing="0" w:after="0" w:afterAutospacing="0" w:line="400" w:lineRule="exact"/>
        <w:ind w:left="0" w:right="0" w:firstLine="48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i w:val="0"/>
          <w:iCs w:val="0"/>
          <w:caps w:val="0"/>
          <w:color w:val="333333"/>
          <w:spacing w:val="0"/>
          <w:sz w:val="24"/>
          <w:szCs w:val="24"/>
          <w:shd w:val="clear" w:fill="FFFFFF"/>
          <w:vertAlign w:val="baseline"/>
        </w:rPr>
        <w:t>联系方式：0915-3917970</w:t>
      </w:r>
    </w:p>
    <w:p w14:paraId="076379C5">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bidi w:val="0"/>
        <w:snapToGrid/>
        <w:spacing w:before="0" w:beforeAutospacing="0" w:after="0" w:afterAutospacing="0" w:line="400" w:lineRule="exact"/>
        <w:ind w:right="0"/>
        <w:jc w:val="left"/>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i w:val="0"/>
          <w:iCs w:val="0"/>
          <w:caps w:val="0"/>
          <w:color w:val="333333"/>
          <w:spacing w:val="0"/>
          <w:sz w:val="24"/>
          <w:szCs w:val="24"/>
          <w:shd w:val="clear" w:fill="FFFFFF"/>
          <w:vertAlign w:val="baseline"/>
        </w:rPr>
        <w:t>2.采购代理机构信息</w:t>
      </w:r>
    </w:p>
    <w:p w14:paraId="75077935">
      <w:pPr>
        <w:pStyle w:val="3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bidi w:val="0"/>
        <w:snapToGrid/>
        <w:spacing w:before="0" w:beforeAutospacing="0" w:after="0" w:afterAutospacing="0" w:line="400" w:lineRule="exact"/>
        <w:ind w:left="0" w:right="0" w:firstLine="48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i w:val="0"/>
          <w:iCs w:val="0"/>
          <w:caps w:val="0"/>
          <w:color w:val="333333"/>
          <w:spacing w:val="0"/>
          <w:sz w:val="24"/>
          <w:szCs w:val="24"/>
          <w:shd w:val="clear" w:fill="FFFFFF"/>
          <w:vertAlign w:val="baseline"/>
        </w:rPr>
        <w:t>名称：瑞恒项目管理有限公司</w:t>
      </w:r>
    </w:p>
    <w:p w14:paraId="282934F4">
      <w:pPr>
        <w:pStyle w:val="3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bidi w:val="0"/>
        <w:snapToGrid/>
        <w:spacing w:before="0" w:beforeAutospacing="0" w:after="0" w:afterAutospacing="0" w:line="400" w:lineRule="exact"/>
        <w:ind w:left="0" w:right="0" w:firstLine="48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i w:val="0"/>
          <w:iCs w:val="0"/>
          <w:caps w:val="0"/>
          <w:color w:val="333333"/>
          <w:spacing w:val="0"/>
          <w:sz w:val="24"/>
          <w:szCs w:val="24"/>
          <w:shd w:val="clear" w:fill="FFFFFF"/>
          <w:vertAlign w:val="baseline"/>
        </w:rPr>
        <w:t>地址：安康市汉滨区水景湾15幢1单元门面房</w:t>
      </w:r>
    </w:p>
    <w:p w14:paraId="0228A822">
      <w:pPr>
        <w:pStyle w:val="3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bidi w:val="0"/>
        <w:snapToGrid/>
        <w:spacing w:before="0" w:beforeAutospacing="0" w:after="0" w:afterAutospacing="0" w:line="400" w:lineRule="exact"/>
        <w:ind w:left="0" w:right="0" w:firstLine="48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i w:val="0"/>
          <w:iCs w:val="0"/>
          <w:caps w:val="0"/>
          <w:color w:val="333333"/>
          <w:spacing w:val="0"/>
          <w:sz w:val="24"/>
          <w:szCs w:val="24"/>
          <w:shd w:val="clear" w:fill="FFFFFF"/>
          <w:vertAlign w:val="baseline"/>
        </w:rPr>
        <w:t>联系方式：0915-3230990</w:t>
      </w:r>
    </w:p>
    <w:p w14:paraId="65D86EBF">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bidi w:val="0"/>
        <w:snapToGrid/>
        <w:spacing w:before="0" w:beforeAutospacing="0" w:after="0" w:afterAutospacing="0" w:line="400" w:lineRule="exact"/>
        <w:ind w:right="0"/>
        <w:jc w:val="left"/>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i w:val="0"/>
          <w:iCs w:val="0"/>
          <w:caps w:val="0"/>
          <w:color w:val="333333"/>
          <w:spacing w:val="0"/>
          <w:sz w:val="24"/>
          <w:szCs w:val="24"/>
          <w:shd w:val="clear" w:fill="FFFFFF"/>
          <w:vertAlign w:val="baseline"/>
        </w:rPr>
        <w:t>3.项目联系方式</w:t>
      </w:r>
    </w:p>
    <w:p w14:paraId="69A82A82">
      <w:pPr>
        <w:pStyle w:val="3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bidi w:val="0"/>
        <w:snapToGrid/>
        <w:spacing w:before="0" w:beforeAutospacing="0" w:after="0" w:afterAutospacing="0" w:line="400" w:lineRule="exact"/>
        <w:ind w:left="0" w:right="0" w:firstLine="48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i w:val="0"/>
          <w:iCs w:val="0"/>
          <w:caps w:val="0"/>
          <w:color w:val="333333"/>
          <w:spacing w:val="0"/>
          <w:sz w:val="24"/>
          <w:szCs w:val="24"/>
          <w:shd w:val="clear" w:fill="FFFFFF"/>
          <w:vertAlign w:val="baseline"/>
        </w:rPr>
        <w:t>项目联系人：王莹</w:t>
      </w:r>
    </w:p>
    <w:p w14:paraId="1C4714A6">
      <w:pPr>
        <w:pStyle w:val="3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bidi w:val="0"/>
        <w:snapToGrid/>
        <w:spacing w:before="0" w:beforeAutospacing="0" w:after="0" w:afterAutospacing="0" w:line="400" w:lineRule="exact"/>
        <w:ind w:left="0" w:right="0" w:firstLine="48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i w:val="0"/>
          <w:iCs w:val="0"/>
          <w:caps w:val="0"/>
          <w:color w:val="333333"/>
          <w:spacing w:val="0"/>
          <w:sz w:val="24"/>
          <w:szCs w:val="24"/>
          <w:shd w:val="clear" w:fill="FFFFFF"/>
          <w:vertAlign w:val="baseline"/>
        </w:rPr>
        <w:t>电话：0915-3230990</w:t>
      </w:r>
    </w:p>
    <w:p w14:paraId="6CA7145B">
      <w:pPr>
        <w:pStyle w:val="3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bidi w:val="0"/>
        <w:snapToGrid/>
        <w:spacing w:before="0" w:beforeAutospacing="0" w:after="0" w:afterAutospacing="0" w:line="400" w:lineRule="exact"/>
        <w:ind w:left="0" w:right="0" w:firstLine="480"/>
        <w:jc w:val="right"/>
        <w:textAlignment w:val="baseline"/>
        <w:rPr>
          <w:rFonts w:hint="eastAsia" w:asciiTheme="minorEastAsia" w:hAnsiTheme="minorEastAsia" w:eastAsiaTheme="minorEastAsia" w:cstheme="minorEastAsia"/>
          <w:i w:val="0"/>
          <w:iCs w:val="0"/>
          <w:caps w:val="0"/>
          <w:color w:val="333333"/>
          <w:spacing w:val="0"/>
          <w:sz w:val="24"/>
          <w:szCs w:val="24"/>
        </w:rPr>
      </w:pPr>
      <w:r>
        <w:rPr>
          <w:rFonts w:hint="eastAsia" w:asciiTheme="minorEastAsia" w:hAnsiTheme="minorEastAsia" w:eastAsiaTheme="minorEastAsia" w:cstheme="minorEastAsia"/>
          <w:i w:val="0"/>
          <w:iCs w:val="0"/>
          <w:caps w:val="0"/>
          <w:color w:val="333333"/>
          <w:spacing w:val="0"/>
          <w:sz w:val="24"/>
          <w:szCs w:val="24"/>
          <w:shd w:val="clear" w:fill="FFFFFF"/>
          <w:vertAlign w:val="baseline"/>
        </w:rPr>
        <w:t>瑞恒项目管理有限公司</w:t>
      </w:r>
    </w:p>
    <w:p w14:paraId="7D8CE896">
      <w:pPr>
        <w:pStyle w:val="3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bidi w:val="0"/>
        <w:snapToGrid/>
        <w:spacing w:before="0" w:beforeAutospacing="0" w:after="0" w:afterAutospacing="0" w:line="400" w:lineRule="exact"/>
        <w:ind w:left="0" w:right="0" w:firstLine="480"/>
        <w:jc w:val="right"/>
        <w:textAlignment w:val="baseline"/>
        <w:rPr>
          <w:rFonts w:hint="eastAsia" w:asciiTheme="minorEastAsia" w:hAnsiTheme="minorEastAsia" w:eastAsiaTheme="minorEastAsia" w:cstheme="minorEastAsia"/>
          <w:i w:val="0"/>
          <w:iCs w:val="0"/>
          <w:caps w:val="0"/>
          <w:color w:val="333333"/>
          <w:spacing w:val="0"/>
          <w:sz w:val="24"/>
          <w:szCs w:val="24"/>
        </w:rPr>
      </w:pPr>
      <w:r>
        <w:rPr>
          <w:rFonts w:hint="eastAsia" w:asciiTheme="minorEastAsia" w:hAnsiTheme="minorEastAsia" w:eastAsiaTheme="minorEastAsia" w:cstheme="minorEastAsia"/>
          <w:i w:val="0"/>
          <w:iCs w:val="0"/>
          <w:caps w:val="0"/>
          <w:color w:val="333333"/>
          <w:spacing w:val="0"/>
          <w:sz w:val="24"/>
          <w:szCs w:val="24"/>
          <w:shd w:val="clear" w:fill="FFFFFF"/>
          <w:vertAlign w:val="baseline"/>
        </w:rPr>
        <w:t>2026年07月30日</w:t>
      </w:r>
    </w:p>
    <w:p w14:paraId="504BC7F3">
      <w:pPr>
        <w:pStyle w:val="3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bidi w:val="0"/>
        <w:snapToGrid/>
        <w:spacing w:before="0" w:beforeAutospacing="0" w:after="0" w:afterAutospacing="0" w:line="400" w:lineRule="exact"/>
        <w:ind w:left="0" w:right="0" w:firstLine="480"/>
        <w:jc w:val="center"/>
        <w:textAlignment w:val="baseline"/>
        <w:rPr>
          <w:rFonts w:hint="eastAsia" w:ascii="宋体" w:hAnsi="宋体" w:eastAsia="宋体" w:cs="宋体"/>
          <w:i w:val="0"/>
          <w:iCs w:val="0"/>
          <w:caps w:val="0"/>
          <w:color w:val="333333"/>
          <w:spacing w:val="0"/>
          <w:sz w:val="24"/>
          <w:szCs w:val="24"/>
        </w:rPr>
      </w:pPr>
    </w:p>
    <w:p w14:paraId="319AAC0E">
      <w:pPr>
        <w:keepNext w:val="0"/>
        <w:keepLines w:val="0"/>
        <w:pageBreakBefore w:val="0"/>
        <w:widowControl w:val="0"/>
        <w:kinsoku/>
        <w:wordWrap/>
        <w:overflowPunct/>
        <w:topLinePunct w:val="0"/>
        <w:autoSpaceDE/>
        <w:autoSpaceDN/>
        <w:bidi w:val="0"/>
        <w:adjustRightInd/>
        <w:snapToGrid/>
        <w:spacing w:line="400" w:lineRule="exact"/>
        <w:ind w:right="0" w:rightChars="0"/>
        <w:jc w:val="both"/>
        <w:textAlignment w:val="auto"/>
        <w:outlineLvl w:val="9"/>
        <w:rPr>
          <w:rFonts w:hint="eastAsia" w:ascii="宋体" w:hAnsi="宋体" w:eastAsia="宋体" w:cs="宋体"/>
          <w:color w:val="auto"/>
          <w:sz w:val="24"/>
          <w:szCs w:val="24"/>
          <w:highlight w:val="none"/>
        </w:rPr>
      </w:pPr>
    </w:p>
    <w:p w14:paraId="7F35650D">
      <w:pPr>
        <w:keepNext w:val="0"/>
        <w:keepLines w:val="0"/>
        <w:pageBreakBefore w:val="0"/>
        <w:widowControl w:val="0"/>
        <w:kinsoku/>
        <w:wordWrap/>
        <w:overflowPunct/>
        <w:topLinePunct w:val="0"/>
        <w:autoSpaceDE/>
        <w:autoSpaceDN/>
        <w:bidi w:val="0"/>
        <w:adjustRightInd/>
        <w:snapToGrid/>
        <w:spacing w:line="400" w:lineRule="exact"/>
        <w:ind w:right="0" w:rightChars="0" w:firstLine="1680" w:firstLineChars="700"/>
        <w:jc w:val="both"/>
        <w:textAlignment w:val="auto"/>
        <w:outlineLvl w:val="9"/>
        <w:rPr>
          <w:rFonts w:hint="eastAsia" w:ascii="宋体" w:hAnsi="宋体" w:eastAsia="宋体" w:cs="宋体"/>
          <w:color w:val="auto"/>
          <w:sz w:val="24"/>
          <w:szCs w:val="24"/>
          <w:highlight w:val="none"/>
        </w:rPr>
      </w:pPr>
    </w:p>
    <w:p w14:paraId="626DC33C">
      <w:pPr>
        <w:keepNext w:val="0"/>
        <w:keepLines w:val="0"/>
        <w:pageBreakBefore w:val="0"/>
        <w:widowControl w:val="0"/>
        <w:kinsoku/>
        <w:wordWrap/>
        <w:overflowPunct/>
        <w:topLinePunct w:val="0"/>
        <w:autoSpaceDE/>
        <w:autoSpaceDN/>
        <w:bidi w:val="0"/>
        <w:adjustRightInd/>
        <w:snapToGrid/>
        <w:spacing w:line="500" w:lineRule="exact"/>
        <w:ind w:right="0" w:rightChars="0"/>
        <w:textAlignment w:val="auto"/>
        <w:outlineLvl w:val="9"/>
        <w:rPr>
          <w:rFonts w:hint="default" w:ascii="Times New Roman" w:hAnsi="Times New Roman" w:cs="Times New Roman"/>
          <w:spacing w:val="0"/>
          <w:sz w:val="21"/>
          <w:szCs w:val="21"/>
          <w:highlight w:val="none"/>
        </w:rPr>
      </w:pPr>
    </w:p>
    <w:p w14:paraId="473F36A1">
      <w:pPr>
        <w:pStyle w:val="2"/>
        <w:numPr>
          <w:ilvl w:val="0"/>
          <w:numId w:val="0"/>
        </w:numPr>
        <w:tabs>
          <w:tab w:val="clear" w:pos="324"/>
        </w:tabs>
        <w:ind w:leftChars="0"/>
        <w:jc w:val="center"/>
        <w:rPr>
          <w:rFonts w:hint="eastAsia" w:ascii="宋体" w:hAnsi="宋体" w:eastAsia="宋体" w:cs="宋体"/>
          <w:b/>
          <w:bCs/>
          <w:sz w:val="36"/>
          <w:szCs w:val="36"/>
          <w:highlight w:val="none"/>
          <w:lang w:eastAsia="zh-CN"/>
        </w:rPr>
      </w:pPr>
    </w:p>
    <w:p w14:paraId="4117F25B">
      <w:pPr>
        <w:pStyle w:val="2"/>
        <w:numPr>
          <w:ilvl w:val="0"/>
          <w:numId w:val="0"/>
        </w:numPr>
        <w:tabs>
          <w:tab w:val="clear" w:pos="324"/>
        </w:tabs>
        <w:ind w:leftChars="0"/>
        <w:jc w:val="center"/>
        <w:rPr>
          <w:rFonts w:hint="eastAsia" w:ascii="宋体" w:hAnsi="宋体" w:eastAsia="宋体" w:cs="宋体"/>
          <w:b/>
          <w:bCs/>
          <w:sz w:val="36"/>
          <w:szCs w:val="36"/>
          <w:highlight w:val="none"/>
          <w:lang w:eastAsia="zh-CN"/>
        </w:rPr>
      </w:pPr>
    </w:p>
    <w:p w14:paraId="1F7D3CEB">
      <w:pPr>
        <w:pStyle w:val="2"/>
        <w:numPr>
          <w:ilvl w:val="0"/>
          <w:numId w:val="0"/>
        </w:numPr>
        <w:tabs>
          <w:tab w:val="clear" w:pos="324"/>
        </w:tabs>
        <w:ind w:leftChars="0"/>
        <w:jc w:val="center"/>
        <w:rPr>
          <w:rFonts w:hint="eastAsia" w:ascii="宋体" w:hAnsi="宋体" w:eastAsia="宋体" w:cs="宋体"/>
          <w:b/>
          <w:bCs/>
          <w:sz w:val="36"/>
          <w:szCs w:val="36"/>
          <w:highlight w:val="none"/>
          <w:lang w:eastAsia="zh-CN"/>
        </w:rPr>
      </w:pPr>
    </w:p>
    <w:p w14:paraId="53EAE066">
      <w:pPr>
        <w:pStyle w:val="2"/>
        <w:numPr>
          <w:ilvl w:val="0"/>
          <w:numId w:val="0"/>
        </w:numPr>
        <w:tabs>
          <w:tab w:val="clear" w:pos="324"/>
        </w:tabs>
        <w:ind w:leftChars="0"/>
        <w:jc w:val="center"/>
        <w:rPr>
          <w:rFonts w:hint="eastAsia" w:ascii="宋体" w:hAnsi="宋体" w:eastAsia="宋体" w:cs="宋体"/>
          <w:b/>
          <w:bCs/>
          <w:sz w:val="36"/>
          <w:szCs w:val="36"/>
          <w:highlight w:val="none"/>
          <w:lang w:eastAsia="zh-CN"/>
        </w:rPr>
      </w:pPr>
    </w:p>
    <w:p w14:paraId="1E1F93A8">
      <w:pPr>
        <w:pStyle w:val="2"/>
        <w:numPr>
          <w:ilvl w:val="0"/>
          <w:numId w:val="0"/>
        </w:numPr>
        <w:tabs>
          <w:tab w:val="clear" w:pos="324"/>
        </w:tabs>
        <w:ind w:leftChars="0"/>
        <w:jc w:val="center"/>
        <w:rPr>
          <w:rFonts w:hint="eastAsia" w:ascii="宋体" w:hAnsi="宋体" w:eastAsia="宋体" w:cs="宋体"/>
          <w:b/>
          <w:bCs/>
          <w:sz w:val="36"/>
          <w:szCs w:val="36"/>
          <w:highlight w:val="none"/>
          <w:lang w:eastAsia="zh-CN"/>
        </w:rPr>
      </w:pPr>
    </w:p>
    <w:p w14:paraId="2B8713E0">
      <w:pPr>
        <w:rPr>
          <w:rFonts w:hint="eastAsia" w:ascii="宋体" w:hAnsi="宋体" w:eastAsia="宋体" w:cs="宋体"/>
          <w:b/>
          <w:bCs/>
          <w:sz w:val="36"/>
          <w:szCs w:val="36"/>
          <w:highlight w:val="none"/>
          <w:lang w:eastAsia="zh-CN"/>
        </w:rPr>
      </w:pPr>
    </w:p>
    <w:p w14:paraId="540CDDD7">
      <w:pPr>
        <w:pStyle w:val="38"/>
        <w:rPr>
          <w:rFonts w:hint="eastAsia" w:ascii="宋体" w:hAnsi="宋体" w:eastAsia="宋体" w:cs="宋体"/>
          <w:b/>
          <w:bCs/>
          <w:sz w:val="36"/>
          <w:szCs w:val="36"/>
          <w:highlight w:val="none"/>
          <w:lang w:eastAsia="zh-CN"/>
        </w:rPr>
      </w:pPr>
    </w:p>
    <w:p w14:paraId="3F1C560B">
      <w:pPr>
        <w:pStyle w:val="2"/>
        <w:numPr>
          <w:ilvl w:val="0"/>
          <w:numId w:val="0"/>
        </w:numPr>
        <w:tabs>
          <w:tab w:val="clear" w:pos="324"/>
        </w:tabs>
        <w:ind w:leftChars="0"/>
        <w:jc w:val="center"/>
        <w:rPr>
          <w:rFonts w:hint="eastAsia" w:ascii="宋体" w:hAnsi="宋体" w:eastAsia="宋体" w:cs="宋体"/>
          <w:b/>
          <w:bCs/>
          <w:sz w:val="36"/>
          <w:szCs w:val="36"/>
          <w:highlight w:val="none"/>
          <w:lang w:eastAsia="zh-CN"/>
        </w:rPr>
      </w:pPr>
      <w:bookmarkStart w:id="11" w:name="_Toc24230"/>
    </w:p>
    <w:p w14:paraId="4AB898EB">
      <w:pPr>
        <w:pStyle w:val="2"/>
        <w:numPr>
          <w:ilvl w:val="0"/>
          <w:numId w:val="0"/>
        </w:numPr>
        <w:tabs>
          <w:tab w:val="clear" w:pos="324"/>
        </w:tabs>
        <w:ind w:leftChars="0"/>
        <w:jc w:val="center"/>
        <w:rPr>
          <w:highlight w:val="none"/>
        </w:rPr>
      </w:pPr>
      <w:r>
        <w:rPr>
          <w:rFonts w:hint="eastAsia" w:ascii="宋体" w:hAnsi="宋体" w:eastAsia="宋体" w:cs="宋体"/>
          <w:b/>
          <w:bCs/>
          <w:sz w:val="36"/>
          <w:szCs w:val="36"/>
          <w:highlight w:val="none"/>
          <w:lang w:eastAsia="zh-CN"/>
        </w:rPr>
        <w:t>第二章</w:t>
      </w:r>
      <w:r>
        <w:rPr>
          <w:rFonts w:hint="eastAsia" w:ascii="宋体" w:hAnsi="宋体" w:eastAsia="宋体" w:cs="宋体"/>
          <w:b/>
          <w:bCs/>
          <w:sz w:val="36"/>
          <w:szCs w:val="36"/>
          <w:highlight w:val="none"/>
          <w:lang w:val="en-US" w:eastAsia="zh-CN"/>
        </w:rPr>
        <w:t xml:space="preserve">  </w:t>
      </w:r>
      <w:r>
        <w:rPr>
          <w:rFonts w:hint="eastAsia" w:ascii="宋体" w:hAnsi="宋体" w:eastAsia="宋体" w:cs="宋体"/>
          <w:b/>
          <w:bCs/>
          <w:sz w:val="36"/>
          <w:szCs w:val="36"/>
          <w:highlight w:val="none"/>
        </w:rPr>
        <w:t>投标人须知</w:t>
      </w:r>
      <w:bookmarkEnd w:id="11"/>
    </w:p>
    <w:bookmarkEnd w:id="7"/>
    <w:bookmarkEnd w:id="8"/>
    <w:bookmarkEnd w:id="9"/>
    <w:p w14:paraId="78EBCCC3">
      <w:pPr>
        <w:rPr>
          <w:rFonts w:hint="eastAsia" w:ascii="宋体" w:hAnsi="宋体" w:eastAsia="宋体" w:cs="宋体"/>
          <w:b/>
          <w:bCs/>
          <w:sz w:val="28"/>
          <w:szCs w:val="28"/>
          <w:highlight w:val="none"/>
        </w:rPr>
      </w:pPr>
      <w:bookmarkStart w:id="12" w:name="_Toc222740109"/>
      <w:r>
        <w:rPr>
          <w:rFonts w:hint="eastAsia" w:ascii="宋体" w:hAnsi="宋体" w:eastAsia="宋体" w:cs="宋体"/>
          <w:b/>
          <w:bCs/>
          <w:sz w:val="28"/>
          <w:szCs w:val="28"/>
          <w:highlight w:val="none"/>
        </w:rPr>
        <w:br w:type="page"/>
      </w:r>
    </w:p>
    <w:p w14:paraId="5FEF979C">
      <w:pPr>
        <w:pStyle w:val="4"/>
        <w:numPr>
          <w:ilvl w:val="0"/>
          <w:numId w:val="0"/>
        </w:numPr>
        <w:jc w:val="center"/>
        <w:rPr>
          <w:rFonts w:hint="eastAsia"/>
          <w:szCs w:val="21"/>
          <w:highlight w:val="none"/>
        </w:rPr>
      </w:pPr>
      <w:r>
        <w:rPr>
          <w:rFonts w:hint="eastAsia" w:ascii="宋体" w:hAnsi="宋体" w:eastAsia="宋体" w:cs="宋体"/>
          <w:b/>
          <w:bCs/>
          <w:sz w:val="28"/>
          <w:szCs w:val="28"/>
          <w:highlight w:val="none"/>
        </w:rPr>
        <w:t>投标人须知前附表</w:t>
      </w:r>
      <w:bookmarkEnd w:id="12"/>
    </w:p>
    <w:tbl>
      <w:tblPr>
        <w:tblStyle w:val="40"/>
        <w:tblW w:w="4992" w:type="pct"/>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108" w:type="dxa"/>
          <w:bottom w:w="0" w:type="dxa"/>
          <w:right w:w="108" w:type="dxa"/>
        </w:tblCellMar>
      </w:tblPr>
      <w:tblGrid>
        <w:gridCol w:w="677"/>
        <w:gridCol w:w="2870"/>
        <w:gridCol w:w="5726"/>
      </w:tblGrid>
      <w:tr w14:paraId="5224108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c>
          <w:tcPr>
            <w:tcW w:w="365" w:type="pct"/>
          </w:tcPr>
          <w:p w14:paraId="206A0B79">
            <w:pPr>
              <w:keepNext w:val="0"/>
              <w:keepLines w:val="0"/>
              <w:pageBreakBefore w:val="0"/>
              <w:widowControl w:val="0"/>
              <w:kinsoku/>
              <w:wordWrap/>
              <w:overflowPunct/>
              <w:topLinePunct w:val="0"/>
              <w:autoSpaceDE/>
              <w:autoSpaceDN/>
              <w:bidi w:val="0"/>
              <w:adjustRightInd/>
              <w:spacing w:line="400" w:lineRule="exact"/>
              <w:ind w:right="0" w:rightChars="0"/>
              <w:jc w:val="center"/>
              <w:textAlignment w:val="auto"/>
              <w:outlineLvl w:val="9"/>
              <w:rPr>
                <w:rFonts w:hint="eastAsia" w:ascii="宋体" w:hAnsi="宋体" w:eastAsia="宋体" w:cs="宋体"/>
                <w:b/>
                <w:sz w:val="21"/>
                <w:szCs w:val="21"/>
                <w:highlight w:val="none"/>
              </w:rPr>
            </w:pPr>
            <w:r>
              <w:rPr>
                <w:rFonts w:hint="eastAsia" w:ascii="宋体" w:hAnsi="宋体" w:eastAsia="宋体" w:cs="宋体"/>
                <w:b/>
                <w:color w:val="auto"/>
                <w:sz w:val="21"/>
                <w:szCs w:val="21"/>
                <w:highlight w:val="none"/>
              </w:rPr>
              <w:t>序号</w:t>
            </w:r>
          </w:p>
        </w:tc>
        <w:tc>
          <w:tcPr>
            <w:tcW w:w="1547" w:type="pct"/>
          </w:tcPr>
          <w:p w14:paraId="3CDFA07F">
            <w:pPr>
              <w:keepNext w:val="0"/>
              <w:keepLines w:val="0"/>
              <w:pageBreakBefore w:val="0"/>
              <w:widowControl w:val="0"/>
              <w:kinsoku/>
              <w:wordWrap/>
              <w:overflowPunct/>
              <w:topLinePunct w:val="0"/>
              <w:autoSpaceDE/>
              <w:autoSpaceDN/>
              <w:bidi w:val="0"/>
              <w:adjustRightInd/>
              <w:spacing w:line="400" w:lineRule="exact"/>
              <w:ind w:right="0" w:rightChars="0"/>
              <w:jc w:val="center"/>
              <w:textAlignment w:val="auto"/>
              <w:outlineLvl w:val="9"/>
              <w:rPr>
                <w:rFonts w:hint="eastAsia" w:ascii="宋体" w:hAnsi="宋体" w:eastAsia="宋体" w:cs="宋体"/>
                <w:b/>
                <w:sz w:val="21"/>
                <w:szCs w:val="21"/>
                <w:highlight w:val="none"/>
              </w:rPr>
            </w:pPr>
            <w:r>
              <w:rPr>
                <w:rFonts w:hint="eastAsia" w:ascii="宋体" w:hAnsi="宋体" w:eastAsia="宋体" w:cs="宋体"/>
                <w:b/>
                <w:color w:val="auto"/>
                <w:sz w:val="21"/>
                <w:szCs w:val="21"/>
                <w:highlight w:val="none"/>
              </w:rPr>
              <w:t>条款名称</w:t>
            </w:r>
          </w:p>
        </w:tc>
        <w:tc>
          <w:tcPr>
            <w:tcW w:w="3086" w:type="pct"/>
            <w:vAlign w:val="center"/>
          </w:tcPr>
          <w:p w14:paraId="2FD16965">
            <w:pPr>
              <w:spacing w:line="400" w:lineRule="exact"/>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t>具体信息</w:t>
            </w:r>
          </w:p>
        </w:tc>
      </w:tr>
      <w:tr w14:paraId="24F575E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297" w:hRule="atLeast"/>
        </w:trPr>
        <w:tc>
          <w:tcPr>
            <w:tcW w:w="365" w:type="pct"/>
            <w:vAlign w:val="center"/>
          </w:tcPr>
          <w:p w14:paraId="448DB913">
            <w:pPr>
              <w:keepNext w:val="0"/>
              <w:keepLines w:val="0"/>
              <w:pageBreakBefore w:val="0"/>
              <w:widowControl w:val="0"/>
              <w:kinsoku/>
              <w:wordWrap/>
              <w:overflowPunct/>
              <w:topLinePunct w:val="0"/>
              <w:autoSpaceDE/>
              <w:autoSpaceDN/>
              <w:bidi w:val="0"/>
              <w:adjustRightInd/>
              <w:spacing w:line="400" w:lineRule="exact"/>
              <w:ind w:right="0" w:rightChars="0"/>
              <w:jc w:val="center"/>
              <w:textAlignment w:val="auto"/>
              <w:outlineLvl w:val="9"/>
              <w:rPr>
                <w:rFonts w:hint="eastAsia" w:ascii="宋体" w:hAnsi="宋体" w:eastAsia="宋体" w:cs="宋体"/>
                <w:sz w:val="21"/>
                <w:szCs w:val="21"/>
                <w:highlight w:val="none"/>
              </w:rPr>
            </w:pPr>
            <w:r>
              <w:rPr>
                <w:rFonts w:hint="eastAsia" w:ascii="宋体" w:hAnsi="宋体" w:eastAsia="宋体" w:cs="宋体"/>
                <w:color w:val="auto"/>
                <w:sz w:val="21"/>
                <w:szCs w:val="21"/>
                <w:highlight w:val="none"/>
              </w:rPr>
              <w:t>1</w:t>
            </w:r>
          </w:p>
        </w:tc>
        <w:tc>
          <w:tcPr>
            <w:tcW w:w="1547" w:type="pct"/>
            <w:vAlign w:val="center"/>
          </w:tcPr>
          <w:p w14:paraId="72882EF1">
            <w:pPr>
              <w:keepNext w:val="0"/>
              <w:keepLines w:val="0"/>
              <w:pageBreakBefore w:val="0"/>
              <w:widowControl w:val="0"/>
              <w:kinsoku/>
              <w:wordWrap/>
              <w:overflowPunct/>
              <w:topLinePunct w:val="0"/>
              <w:autoSpaceDE/>
              <w:autoSpaceDN/>
              <w:bidi w:val="0"/>
              <w:adjustRightInd/>
              <w:spacing w:line="400" w:lineRule="exact"/>
              <w:ind w:right="0" w:rightChars="0"/>
              <w:jc w:val="center"/>
              <w:textAlignment w:val="auto"/>
              <w:outlineLvl w:val="9"/>
              <w:rPr>
                <w:rFonts w:hint="eastAsia" w:ascii="宋体" w:hAnsi="宋体" w:eastAsia="宋体" w:cs="宋体"/>
                <w:b/>
                <w:sz w:val="21"/>
                <w:szCs w:val="21"/>
                <w:highlight w:val="none"/>
              </w:rPr>
            </w:pPr>
            <w:r>
              <w:rPr>
                <w:rFonts w:hint="eastAsia" w:ascii="宋体" w:hAnsi="宋体" w:eastAsia="宋体" w:cs="宋体"/>
                <w:color w:val="auto"/>
                <w:sz w:val="21"/>
                <w:szCs w:val="21"/>
                <w:highlight w:val="none"/>
              </w:rPr>
              <w:t>采购人</w:t>
            </w:r>
          </w:p>
        </w:tc>
        <w:tc>
          <w:tcPr>
            <w:tcW w:w="3086" w:type="pct"/>
            <w:vAlign w:val="center"/>
          </w:tcPr>
          <w:p w14:paraId="22273766">
            <w:pPr>
              <w:keepNext w:val="0"/>
              <w:keepLines w:val="0"/>
              <w:pageBreakBefore w:val="0"/>
              <w:widowControl w:val="0"/>
              <w:kinsoku/>
              <w:wordWrap/>
              <w:overflowPunct/>
              <w:topLinePunct w:val="0"/>
              <w:autoSpaceDE/>
              <w:autoSpaceDN/>
              <w:bidi w:val="0"/>
              <w:adjustRightInd/>
              <w:spacing w:line="400" w:lineRule="exact"/>
              <w:ind w:right="0" w:rightChars="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名  称：</w:t>
            </w:r>
            <w:r>
              <w:rPr>
                <w:rFonts w:hint="eastAsia" w:ascii="宋体" w:hAnsi="宋体" w:cs="宋体"/>
                <w:color w:val="auto"/>
                <w:sz w:val="21"/>
                <w:szCs w:val="21"/>
                <w:highlight w:val="none"/>
                <w:lang w:val="en-US" w:eastAsia="zh-CN"/>
              </w:rPr>
              <w:t>汉滨区五里高级中学</w:t>
            </w:r>
            <w:r>
              <w:rPr>
                <w:rFonts w:hint="eastAsia" w:ascii="宋体" w:hAnsi="宋体" w:eastAsia="宋体" w:cs="宋体"/>
                <w:color w:val="auto"/>
                <w:sz w:val="21"/>
                <w:szCs w:val="21"/>
                <w:highlight w:val="none"/>
                <w:lang w:val="en-US" w:eastAsia="zh-CN"/>
              </w:rPr>
              <w:t xml:space="preserve"> </w:t>
            </w:r>
          </w:p>
          <w:p w14:paraId="1DC40C7D">
            <w:pPr>
              <w:keepNext w:val="0"/>
              <w:keepLines w:val="0"/>
              <w:pageBreakBefore w:val="0"/>
              <w:widowControl w:val="0"/>
              <w:kinsoku/>
              <w:wordWrap/>
              <w:overflowPunct/>
              <w:topLinePunct w:val="0"/>
              <w:autoSpaceDE/>
              <w:autoSpaceDN/>
              <w:bidi w:val="0"/>
              <w:adjustRightInd/>
              <w:spacing w:line="400" w:lineRule="exact"/>
              <w:ind w:right="0" w:rightChars="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地  址：</w:t>
            </w:r>
            <w:r>
              <w:rPr>
                <w:rFonts w:hint="eastAsia" w:ascii="宋体" w:hAnsi="宋体" w:cs="宋体"/>
                <w:color w:val="auto"/>
                <w:sz w:val="21"/>
                <w:szCs w:val="21"/>
                <w:highlight w:val="none"/>
                <w:lang w:val="en-US" w:eastAsia="zh-CN"/>
              </w:rPr>
              <w:t>汉滨区五里镇团结村一组</w:t>
            </w:r>
            <w:r>
              <w:rPr>
                <w:rFonts w:hint="eastAsia" w:ascii="宋体" w:hAnsi="宋体" w:eastAsia="宋体" w:cs="宋体"/>
                <w:color w:val="auto"/>
                <w:sz w:val="21"/>
                <w:szCs w:val="21"/>
                <w:highlight w:val="none"/>
              </w:rPr>
              <w:t xml:space="preserve"> </w:t>
            </w:r>
          </w:p>
          <w:p w14:paraId="12B0E9A0">
            <w:pPr>
              <w:keepNext w:val="0"/>
              <w:keepLines w:val="0"/>
              <w:pageBreakBefore w:val="0"/>
              <w:widowControl w:val="0"/>
              <w:kinsoku/>
              <w:wordWrap/>
              <w:overflowPunct/>
              <w:topLinePunct w:val="0"/>
              <w:autoSpaceDE/>
              <w:autoSpaceDN/>
              <w:bidi w:val="0"/>
              <w:adjustRightInd/>
              <w:spacing w:line="400" w:lineRule="exact"/>
              <w:ind w:right="0" w:rightChars="0"/>
              <w:textAlignment w:val="auto"/>
              <w:outlineLvl w:val="9"/>
              <w:rPr>
                <w:rFonts w:hint="eastAsia" w:ascii="宋体" w:hAnsi="宋体" w:eastAsia="宋体" w:cs="宋体"/>
                <w:sz w:val="21"/>
                <w:szCs w:val="21"/>
                <w:highlight w:val="none"/>
                <w:lang w:val="en-US" w:eastAsia="zh-CN"/>
              </w:rPr>
            </w:pPr>
            <w:r>
              <w:rPr>
                <w:rFonts w:hint="eastAsia" w:ascii="宋体" w:hAnsi="宋体" w:eastAsia="宋体" w:cs="宋体"/>
                <w:color w:val="auto"/>
                <w:sz w:val="21"/>
                <w:szCs w:val="21"/>
                <w:highlight w:val="none"/>
                <w:lang w:eastAsia="zh-CN"/>
              </w:rPr>
              <w:t>电</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话</w:t>
            </w:r>
            <w:r>
              <w:rPr>
                <w:rFonts w:hint="eastAsia" w:ascii="宋体" w:hAnsi="宋体" w:eastAsia="宋体" w:cs="宋体"/>
                <w:color w:val="auto"/>
                <w:sz w:val="21"/>
                <w:szCs w:val="21"/>
                <w:highlight w:val="none"/>
              </w:rPr>
              <w:t>：</w:t>
            </w:r>
            <w:r>
              <w:rPr>
                <w:rFonts w:hint="eastAsia" w:ascii="宋体" w:hAnsi="宋体" w:cs="宋体"/>
                <w:color w:val="auto"/>
                <w:szCs w:val="21"/>
                <w:highlight w:val="none"/>
                <w:lang w:val="en-US" w:eastAsia="zh-CN"/>
              </w:rPr>
              <w:t xml:space="preserve">0915-3917970  </w:t>
            </w:r>
          </w:p>
        </w:tc>
      </w:tr>
      <w:tr w14:paraId="75639F4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329" w:hRule="atLeast"/>
        </w:trPr>
        <w:tc>
          <w:tcPr>
            <w:tcW w:w="365" w:type="pct"/>
            <w:vAlign w:val="center"/>
          </w:tcPr>
          <w:p w14:paraId="00AEF0D2">
            <w:pPr>
              <w:keepNext w:val="0"/>
              <w:keepLines w:val="0"/>
              <w:pageBreakBefore w:val="0"/>
              <w:widowControl w:val="0"/>
              <w:kinsoku/>
              <w:wordWrap/>
              <w:overflowPunct/>
              <w:topLinePunct w:val="0"/>
              <w:autoSpaceDE/>
              <w:autoSpaceDN/>
              <w:bidi w:val="0"/>
              <w:adjustRightInd/>
              <w:spacing w:line="400" w:lineRule="exact"/>
              <w:ind w:right="0" w:rightChars="0"/>
              <w:jc w:val="center"/>
              <w:textAlignment w:val="auto"/>
              <w:outlineLvl w:val="9"/>
              <w:rPr>
                <w:rFonts w:hint="eastAsia" w:ascii="宋体" w:hAnsi="宋体" w:eastAsia="宋体" w:cs="宋体"/>
                <w:sz w:val="21"/>
                <w:szCs w:val="21"/>
                <w:highlight w:val="none"/>
              </w:rPr>
            </w:pPr>
            <w:r>
              <w:rPr>
                <w:rFonts w:hint="eastAsia" w:ascii="宋体" w:hAnsi="宋体" w:eastAsia="宋体" w:cs="宋体"/>
                <w:color w:val="auto"/>
                <w:sz w:val="21"/>
                <w:szCs w:val="21"/>
                <w:highlight w:val="none"/>
              </w:rPr>
              <w:t>2</w:t>
            </w:r>
          </w:p>
        </w:tc>
        <w:tc>
          <w:tcPr>
            <w:tcW w:w="1547" w:type="pct"/>
            <w:vAlign w:val="center"/>
          </w:tcPr>
          <w:p w14:paraId="6F95B754">
            <w:pPr>
              <w:keepNext w:val="0"/>
              <w:keepLines w:val="0"/>
              <w:pageBreakBefore w:val="0"/>
              <w:widowControl w:val="0"/>
              <w:kinsoku/>
              <w:wordWrap/>
              <w:overflowPunct/>
              <w:topLinePunct w:val="0"/>
              <w:autoSpaceDE/>
              <w:autoSpaceDN/>
              <w:bidi w:val="0"/>
              <w:adjustRightInd/>
              <w:spacing w:line="400" w:lineRule="exact"/>
              <w:ind w:right="0" w:rightChars="0"/>
              <w:jc w:val="center"/>
              <w:textAlignment w:val="auto"/>
              <w:outlineLvl w:val="9"/>
              <w:rPr>
                <w:rFonts w:hint="eastAsia" w:ascii="宋体" w:hAnsi="宋体" w:eastAsia="宋体" w:cs="宋体"/>
                <w:sz w:val="21"/>
                <w:szCs w:val="21"/>
                <w:highlight w:val="none"/>
              </w:rPr>
            </w:pPr>
            <w:r>
              <w:rPr>
                <w:rFonts w:hint="eastAsia" w:ascii="宋体" w:hAnsi="宋体" w:eastAsia="宋体" w:cs="宋体"/>
                <w:color w:val="auto"/>
                <w:sz w:val="21"/>
                <w:szCs w:val="21"/>
                <w:highlight w:val="none"/>
              </w:rPr>
              <w:t>采购代理机构</w:t>
            </w:r>
          </w:p>
        </w:tc>
        <w:tc>
          <w:tcPr>
            <w:tcW w:w="3086" w:type="pct"/>
            <w:vAlign w:val="center"/>
          </w:tcPr>
          <w:p w14:paraId="49B96291">
            <w:pPr>
              <w:keepNext w:val="0"/>
              <w:keepLines w:val="0"/>
              <w:pageBreakBefore w:val="0"/>
              <w:widowControl w:val="0"/>
              <w:kinsoku/>
              <w:wordWrap/>
              <w:overflowPunct/>
              <w:topLinePunct w:val="0"/>
              <w:autoSpaceDE/>
              <w:autoSpaceDN/>
              <w:bidi w:val="0"/>
              <w:adjustRightInd/>
              <w:spacing w:line="400" w:lineRule="exact"/>
              <w:ind w:right="0" w:rightChars="0"/>
              <w:textAlignment w:val="auto"/>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名  称：</w:t>
            </w:r>
            <w:r>
              <w:rPr>
                <w:rFonts w:hint="eastAsia" w:ascii="宋体" w:hAnsi="宋体" w:cs="宋体"/>
                <w:color w:val="auto"/>
                <w:sz w:val="21"/>
                <w:szCs w:val="21"/>
                <w:highlight w:val="none"/>
                <w:lang w:eastAsia="zh-CN"/>
              </w:rPr>
              <w:t>瑞恒项目管理有限公司</w:t>
            </w:r>
          </w:p>
          <w:p w14:paraId="47B700D0">
            <w:pPr>
              <w:keepNext w:val="0"/>
              <w:keepLines w:val="0"/>
              <w:pageBreakBefore w:val="0"/>
              <w:widowControl w:val="0"/>
              <w:kinsoku/>
              <w:wordWrap/>
              <w:overflowPunct/>
              <w:topLinePunct w:val="0"/>
              <w:autoSpaceDE/>
              <w:autoSpaceDN/>
              <w:bidi w:val="0"/>
              <w:adjustRightInd/>
              <w:spacing w:line="400" w:lineRule="exact"/>
              <w:ind w:right="0" w:rightChars="0"/>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地  址：</w:t>
            </w:r>
            <w:r>
              <w:rPr>
                <w:rFonts w:hint="eastAsia" w:ascii="宋体" w:hAnsi="宋体" w:cs="宋体"/>
                <w:color w:val="auto"/>
                <w:sz w:val="21"/>
                <w:szCs w:val="21"/>
                <w:highlight w:val="none"/>
                <w:lang w:eastAsia="zh-CN"/>
              </w:rPr>
              <w:t>安康市汉滨区水景湾15幢1单元门面房</w:t>
            </w:r>
          </w:p>
          <w:p w14:paraId="77ACBBB0">
            <w:pPr>
              <w:keepNext w:val="0"/>
              <w:keepLines w:val="0"/>
              <w:pageBreakBefore w:val="0"/>
              <w:widowControl w:val="0"/>
              <w:kinsoku/>
              <w:wordWrap/>
              <w:overflowPunct/>
              <w:topLinePunct w:val="0"/>
              <w:autoSpaceDE/>
              <w:autoSpaceDN/>
              <w:bidi w:val="0"/>
              <w:adjustRightInd/>
              <w:spacing w:line="400" w:lineRule="exact"/>
              <w:ind w:right="0" w:rightChars="0"/>
              <w:textAlignment w:val="auto"/>
              <w:outlineLvl w:val="9"/>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rPr>
              <w:t>联系人</w:t>
            </w:r>
            <w:r>
              <w:rPr>
                <w:rFonts w:hint="eastAsia" w:ascii="宋体" w:hAnsi="宋体" w:eastAsia="宋体" w:cs="宋体"/>
                <w:color w:val="000000"/>
                <w:sz w:val="21"/>
                <w:szCs w:val="21"/>
                <w:highlight w:val="none"/>
              </w:rPr>
              <w:t>：</w:t>
            </w:r>
            <w:r>
              <w:rPr>
                <w:rFonts w:hint="eastAsia" w:ascii="宋体" w:hAnsi="宋体" w:cs="宋体"/>
                <w:color w:val="000000"/>
                <w:sz w:val="21"/>
                <w:szCs w:val="21"/>
                <w:highlight w:val="none"/>
                <w:lang w:val="en-US" w:eastAsia="zh-CN"/>
              </w:rPr>
              <w:t>王莹</w:t>
            </w:r>
          </w:p>
          <w:p w14:paraId="358807DF">
            <w:pPr>
              <w:keepNext w:val="0"/>
              <w:keepLines w:val="0"/>
              <w:pageBreakBefore w:val="0"/>
              <w:widowControl w:val="0"/>
              <w:kinsoku/>
              <w:wordWrap/>
              <w:overflowPunct/>
              <w:topLinePunct w:val="0"/>
              <w:autoSpaceDE/>
              <w:autoSpaceDN/>
              <w:bidi w:val="0"/>
              <w:adjustRightInd/>
              <w:spacing w:line="400" w:lineRule="exact"/>
              <w:ind w:right="0" w:rightChars="0"/>
              <w:textAlignment w:val="auto"/>
              <w:outlineLvl w:val="9"/>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rPr>
              <w:t>电话/传真：</w:t>
            </w:r>
            <w:r>
              <w:rPr>
                <w:rFonts w:hint="eastAsia" w:ascii="宋体" w:hAnsi="宋体" w:cs="宋体"/>
                <w:color w:val="auto"/>
                <w:sz w:val="21"/>
                <w:szCs w:val="21"/>
                <w:highlight w:val="none"/>
                <w:lang w:eastAsia="zh-CN"/>
              </w:rPr>
              <w:t>13309156131</w:t>
            </w:r>
          </w:p>
          <w:p w14:paraId="7DD4F136">
            <w:pPr>
              <w:keepNext w:val="0"/>
              <w:keepLines w:val="0"/>
              <w:pageBreakBefore w:val="0"/>
              <w:widowControl w:val="0"/>
              <w:kinsoku/>
              <w:wordWrap/>
              <w:overflowPunct/>
              <w:topLinePunct w:val="0"/>
              <w:autoSpaceDE/>
              <w:autoSpaceDN/>
              <w:bidi w:val="0"/>
              <w:adjustRightInd/>
              <w:spacing w:line="400" w:lineRule="exact"/>
              <w:ind w:right="0" w:rightChars="0"/>
              <w:textAlignment w:val="auto"/>
              <w:outlineLvl w:val="9"/>
              <w:rPr>
                <w:rFonts w:hint="eastAsia" w:ascii="宋体" w:hAnsi="宋体" w:eastAsia="宋体" w:cs="宋体"/>
                <w:sz w:val="21"/>
                <w:szCs w:val="21"/>
                <w:highlight w:val="none"/>
                <w:lang w:eastAsia="zh-CN"/>
              </w:rPr>
            </w:pPr>
            <w:r>
              <w:rPr>
                <w:rFonts w:hint="eastAsia" w:ascii="宋体" w:hAnsi="宋体" w:eastAsia="宋体" w:cs="宋体"/>
                <w:color w:val="auto"/>
                <w:sz w:val="21"/>
                <w:szCs w:val="21"/>
                <w:highlight w:val="none"/>
              </w:rPr>
              <w:t>电子邮箱：</w:t>
            </w:r>
            <w:r>
              <w:rPr>
                <w:rFonts w:hint="eastAsia" w:ascii="宋体" w:hAnsi="宋体" w:cs="宋体"/>
                <w:color w:val="auto"/>
                <w:sz w:val="21"/>
                <w:szCs w:val="21"/>
                <w:highlight w:val="none"/>
                <w:lang w:eastAsia="zh-CN"/>
              </w:rPr>
              <w:t>1042118297@qq.com</w:t>
            </w:r>
          </w:p>
        </w:tc>
      </w:tr>
      <w:tr w14:paraId="676764B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82" w:hRule="atLeast"/>
        </w:trPr>
        <w:tc>
          <w:tcPr>
            <w:tcW w:w="365" w:type="pct"/>
            <w:vAlign w:val="center"/>
          </w:tcPr>
          <w:p w14:paraId="474E6376">
            <w:pPr>
              <w:keepNext w:val="0"/>
              <w:keepLines w:val="0"/>
              <w:pageBreakBefore w:val="0"/>
              <w:widowControl w:val="0"/>
              <w:kinsoku/>
              <w:wordWrap/>
              <w:overflowPunct/>
              <w:topLinePunct w:val="0"/>
              <w:autoSpaceDE/>
              <w:autoSpaceDN/>
              <w:bidi w:val="0"/>
              <w:adjustRightInd/>
              <w:spacing w:line="400" w:lineRule="exact"/>
              <w:ind w:right="0" w:rightChars="0"/>
              <w:jc w:val="center"/>
              <w:textAlignment w:val="auto"/>
              <w:outlineLvl w:val="9"/>
              <w:rPr>
                <w:rFonts w:hint="eastAsia" w:ascii="宋体" w:hAnsi="宋体" w:eastAsia="宋体" w:cs="宋体"/>
                <w:sz w:val="21"/>
                <w:szCs w:val="21"/>
                <w:highlight w:val="none"/>
              </w:rPr>
            </w:pPr>
            <w:r>
              <w:rPr>
                <w:rFonts w:hint="eastAsia" w:ascii="宋体" w:hAnsi="宋体" w:eastAsia="宋体" w:cs="宋体"/>
                <w:color w:val="auto"/>
                <w:sz w:val="21"/>
                <w:szCs w:val="21"/>
                <w:highlight w:val="none"/>
              </w:rPr>
              <w:t>3</w:t>
            </w:r>
          </w:p>
        </w:tc>
        <w:tc>
          <w:tcPr>
            <w:tcW w:w="1547" w:type="pct"/>
            <w:vAlign w:val="center"/>
          </w:tcPr>
          <w:p w14:paraId="458BB1D6">
            <w:pPr>
              <w:keepNext w:val="0"/>
              <w:keepLines w:val="0"/>
              <w:pageBreakBefore w:val="0"/>
              <w:widowControl w:val="0"/>
              <w:kinsoku/>
              <w:wordWrap/>
              <w:overflowPunct/>
              <w:topLinePunct w:val="0"/>
              <w:autoSpaceDE/>
              <w:autoSpaceDN/>
              <w:bidi w:val="0"/>
              <w:adjustRightInd/>
              <w:spacing w:line="400" w:lineRule="exact"/>
              <w:ind w:right="0" w:rightChars="0"/>
              <w:jc w:val="center"/>
              <w:textAlignment w:val="auto"/>
              <w:outlineLvl w:val="9"/>
              <w:rPr>
                <w:rFonts w:hint="eastAsia" w:ascii="宋体" w:hAnsi="宋体" w:eastAsia="宋体" w:cs="宋体"/>
                <w:sz w:val="21"/>
                <w:szCs w:val="21"/>
                <w:highlight w:val="none"/>
              </w:rPr>
            </w:pPr>
            <w:r>
              <w:rPr>
                <w:rFonts w:hint="eastAsia" w:ascii="宋体" w:hAnsi="宋体" w:eastAsia="宋体" w:cs="宋体"/>
                <w:color w:val="auto"/>
                <w:sz w:val="21"/>
                <w:szCs w:val="21"/>
                <w:highlight w:val="none"/>
              </w:rPr>
              <w:t>采购项目名称</w:t>
            </w:r>
          </w:p>
        </w:tc>
        <w:tc>
          <w:tcPr>
            <w:tcW w:w="3086" w:type="pct"/>
            <w:vAlign w:val="center"/>
          </w:tcPr>
          <w:p w14:paraId="5CF4804D">
            <w:pPr>
              <w:keepNext w:val="0"/>
              <w:keepLines w:val="0"/>
              <w:pageBreakBefore w:val="0"/>
              <w:widowControl w:val="0"/>
              <w:kinsoku/>
              <w:wordWrap/>
              <w:overflowPunct/>
              <w:topLinePunct w:val="0"/>
              <w:autoSpaceDE/>
              <w:autoSpaceDN/>
              <w:bidi w:val="0"/>
              <w:adjustRightInd/>
              <w:spacing w:line="400" w:lineRule="exact"/>
              <w:ind w:right="0" w:rightChars="0"/>
              <w:textAlignment w:val="auto"/>
              <w:outlineLvl w:val="9"/>
              <w:rPr>
                <w:rFonts w:hint="eastAsia" w:ascii="宋体" w:hAnsi="宋体" w:eastAsia="宋体" w:cs="宋体"/>
                <w:sz w:val="21"/>
                <w:szCs w:val="21"/>
                <w:highlight w:val="none"/>
                <w:lang w:eastAsia="zh-CN"/>
              </w:rPr>
            </w:pPr>
            <w:r>
              <w:rPr>
                <w:rFonts w:hint="eastAsia" w:ascii="宋体" w:hAnsi="宋体" w:cs="宋体"/>
                <w:sz w:val="21"/>
                <w:szCs w:val="21"/>
                <w:highlight w:val="none"/>
                <w:lang w:val="en-US" w:eastAsia="zh-CN"/>
              </w:rPr>
              <w:t>汉滨区五里高级中学厨房设施设备采购项目</w:t>
            </w:r>
          </w:p>
        </w:tc>
      </w:tr>
      <w:tr w14:paraId="7261360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c>
          <w:tcPr>
            <w:tcW w:w="365" w:type="pct"/>
            <w:vAlign w:val="center"/>
          </w:tcPr>
          <w:p w14:paraId="72628376">
            <w:pPr>
              <w:keepNext w:val="0"/>
              <w:keepLines w:val="0"/>
              <w:pageBreakBefore w:val="0"/>
              <w:widowControl w:val="0"/>
              <w:kinsoku/>
              <w:wordWrap/>
              <w:overflowPunct/>
              <w:topLinePunct w:val="0"/>
              <w:autoSpaceDE/>
              <w:autoSpaceDN/>
              <w:bidi w:val="0"/>
              <w:adjustRightInd/>
              <w:spacing w:line="400" w:lineRule="exact"/>
              <w:ind w:right="0" w:rightChars="0"/>
              <w:jc w:val="center"/>
              <w:textAlignment w:val="auto"/>
              <w:outlineLvl w:val="9"/>
              <w:rPr>
                <w:rFonts w:hint="eastAsia" w:ascii="宋体" w:hAnsi="宋体" w:eastAsia="宋体" w:cs="宋体"/>
                <w:sz w:val="21"/>
                <w:szCs w:val="21"/>
                <w:highlight w:val="none"/>
              </w:rPr>
            </w:pPr>
            <w:r>
              <w:rPr>
                <w:rFonts w:hint="eastAsia" w:ascii="宋体" w:hAnsi="宋体" w:eastAsia="宋体" w:cs="宋体"/>
                <w:color w:val="auto"/>
                <w:sz w:val="21"/>
                <w:szCs w:val="21"/>
                <w:highlight w:val="none"/>
              </w:rPr>
              <w:t>4</w:t>
            </w:r>
          </w:p>
        </w:tc>
        <w:tc>
          <w:tcPr>
            <w:tcW w:w="1547" w:type="pct"/>
            <w:vAlign w:val="center"/>
          </w:tcPr>
          <w:p w14:paraId="3E7DC088">
            <w:pPr>
              <w:keepNext w:val="0"/>
              <w:keepLines w:val="0"/>
              <w:pageBreakBefore w:val="0"/>
              <w:widowControl w:val="0"/>
              <w:kinsoku/>
              <w:wordWrap/>
              <w:overflowPunct/>
              <w:topLinePunct w:val="0"/>
              <w:autoSpaceDE/>
              <w:autoSpaceDN/>
              <w:bidi w:val="0"/>
              <w:adjustRightInd/>
              <w:spacing w:line="400" w:lineRule="exact"/>
              <w:ind w:right="0" w:rightChars="0"/>
              <w:jc w:val="center"/>
              <w:textAlignment w:val="auto"/>
              <w:outlineLvl w:val="9"/>
              <w:rPr>
                <w:rFonts w:hint="eastAsia" w:ascii="宋体" w:hAnsi="宋体" w:eastAsia="宋体" w:cs="宋体"/>
                <w:sz w:val="21"/>
                <w:szCs w:val="21"/>
                <w:highlight w:val="none"/>
              </w:rPr>
            </w:pPr>
            <w:r>
              <w:rPr>
                <w:rFonts w:hint="eastAsia" w:ascii="宋体" w:hAnsi="宋体" w:eastAsia="宋体" w:cs="宋体"/>
                <w:color w:val="auto"/>
                <w:sz w:val="21"/>
                <w:szCs w:val="21"/>
                <w:highlight w:val="none"/>
              </w:rPr>
              <w:t>采购项目编号</w:t>
            </w:r>
          </w:p>
        </w:tc>
        <w:tc>
          <w:tcPr>
            <w:tcW w:w="3086" w:type="pct"/>
            <w:vAlign w:val="center"/>
          </w:tcPr>
          <w:p w14:paraId="703DF01A">
            <w:pPr>
              <w:keepNext w:val="0"/>
              <w:keepLines w:val="0"/>
              <w:pageBreakBefore w:val="0"/>
              <w:widowControl w:val="0"/>
              <w:kinsoku/>
              <w:wordWrap/>
              <w:overflowPunct/>
              <w:topLinePunct w:val="0"/>
              <w:autoSpaceDE/>
              <w:autoSpaceDN/>
              <w:bidi w:val="0"/>
              <w:adjustRightInd/>
              <w:spacing w:line="400" w:lineRule="exact"/>
              <w:ind w:right="0" w:rightChars="0"/>
              <w:textAlignment w:val="auto"/>
              <w:outlineLvl w:val="9"/>
              <w:rPr>
                <w:rFonts w:hint="eastAsia" w:ascii="宋体" w:hAnsi="宋体" w:eastAsia="宋体" w:cs="宋体"/>
                <w:sz w:val="21"/>
                <w:szCs w:val="21"/>
                <w:highlight w:val="none"/>
                <w:lang w:eastAsia="zh-CN"/>
              </w:rPr>
            </w:pPr>
            <w:r>
              <w:rPr>
                <w:rFonts w:hint="eastAsia" w:ascii="宋体" w:hAnsi="宋体" w:cs="宋体"/>
                <w:color w:val="000000"/>
                <w:sz w:val="21"/>
                <w:szCs w:val="21"/>
                <w:highlight w:val="none"/>
                <w:lang w:eastAsia="zh-CN"/>
              </w:rPr>
              <w:t>RHAKCG-20260730</w:t>
            </w:r>
          </w:p>
        </w:tc>
      </w:tr>
      <w:tr w14:paraId="122089F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05" w:hRule="atLeast"/>
        </w:trPr>
        <w:tc>
          <w:tcPr>
            <w:tcW w:w="365" w:type="pct"/>
            <w:vAlign w:val="center"/>
          </w:tcPr>
          <w:p w14:paraId="3BA42693">
            <w:pPr>
              <w:keepNext w:val="0"/>
              <w:keepLines w:val="0"/>
              <w:pageBreakBefore w:val="0"/>
              <w:widowControl w:val="0"/>
              <w:kinsoku/>
              <w:wordWrap/>
              <w:overflowPunct/>
              <w:topLinePunct w:val="0"/>
              <w:autoSpaceDE/>
              <w:autoSpaceDN/>
              <w:bidi w:val="0"/>
              <w:adjustRightInd/>
              <w:spacing w:line="400" w:lineRule="exact"/>
              <w:ind w:right="0" w:rightChars="0"/>
              <w:jc w:val="center"/>
              <w:textAlignment w:val="auto"/>
              <w:outlineLvl w:val="9"/>
              <w:rPr>
                <w:rFonts w:hint="eastAsia" w:ascii="宋体" w:hAnsi="宋体" w:eastAsia="宋体" w:cs="宋体"/>
                <w:sz w:val="21"/>
                <w:szCs w:val="21"/>
                <w:highlight w:val="none"/>
              </w:rPr>
            </w:pPr>
            <w:r>
              <w:rPr>
                <w:rFonts w:hint="eastAsia" w:ascii="宋体" w:hAnsi="宋体" w:eastAsia="宋体" w:cs="宋体"/>
                <w:color w:val="auto"/>
                <w:sz w:val="21"/>
                <w:szCs w:val="21"/>
                <w:highlight w:val="none"/>
              </w:rPr>
              <w:t>5</w:t>
            </w:r>
          </w:p>
        </w:tc>
        <w:tc>
          <w:tcPr>
            <w:tcW w:w="1547" w:type="pct"/>
            <w:vAlign w:val="center"/>
          </w:tcPr>
          <w:p w14:paraId="76FEB141">
            <w:pPr>
              <w:keepNext w:val="0"/>
              <w:keepLines w:val="0"/>
              <w:pageBreakBefore w:val="0"/>
              <w:widowControl w:val="0"/>
              <w:kinsoku/>
              <w:wordWrap/>
              <w:overflowPunct/>
              <w:topLinePunct w:val="0"/>
              <w:autoSpaceDE/>
              <w:autoSpaceDN/>
              <w:bidi w:val="0"/>
              <w:adjustRightInd/>
              <w:spacing w:line="400" w:lineRule="exact"/>
              <w:ind w:right="0" w:rightChars="0"/>
              <w:jc w:val="center"/>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采购预算</w:t>
            </w:r>
          </w:p>
        </w:tc>
        <w:tc>
          <w:tcPr>
            <w:tcW w:w="3086" w:type="pct"/>
            <w:vAlign w:val="center"/>
          </w:tcPr>
          <w:p w14:paraId="2405800E">
            <w:pPr>
              <w:keepNext w:val="0"/>
              <w:keepLines w:val="0"/>
              <w:pageBreakBefore w:val="0"/>
              <w:widowControl w:val="0"/>
              <w:kinsoku/>
              <w:wordWrap/>
              <w:overflowPunct/>
              <w:topLinePunct w:val="0"/>
              <w:autoSpaceDE/>
              <w:autoSpaceDN/>
              <w:bidi w:val="0"/>
              <w:adjustRightInd/>
              <w:spacing w:line="400" w:lineRule="exact"/>
              <w:ind w:right="0" w:rightChars="0"/>
              <w:textAlignment w:val="auto"/>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采购预算：</w:t>
            </w:r>
            <w:r>
              <w:rPr>
                <w:rFonts w:hint="eastAsia" w:ascii="宋体" w:hAnsi="宋体" w:cs="宋体"/>
                <w:color w:val="auto"/>
                <w:sz w:val="21"/>
                <w:szCs w:val="21"/>
                <w:highlight w:val="none"/>
                <w:lang w:eastAsia="zh-CN"/>
              </w:rPr>
              <w:t>2300419.00</w:t>
            </w:r>
            <w:r>
              <w:rPr>
                <w:rFonts w:hint="eastAsia" w:ascii="宋体" w:hAnsi="宋体" w:eastAsia="宋体" w:cs="宋体"/>
                <w:color w:val="auto"/>
                <w:sz w:val="21"/>
                <w:szCs w:val="21"/>
                <w:highlight w:val="none"/>
                <w:lang w:val="en-US" w:eastAsia="zh-CN"/>
              </w:rPr>
              <w:t>元</w:t>
            </w:r>
          </w:p>
        </w:tc>
      </w:tr>
      <w:tr w14:paraId="33DFA70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90" w:hRule="atLeast"/>
        </w:trPr>
        <w:tc>
          <w:tcPr>
            <w:tcW w:w="365" w:type="pct"/>
            <w:vAlign w:val="center"/>
          </w:tcPr>
          <w:p w14:paraId="53EF00AF">
            <w:pPr>
              <w:keepNext w:val="0"/>
              <w:keepLines w:val="0"/>
              <w:pageBreakBefore w:val="0"/>
              <w:widowControl w:val="0"/>
              <w:kinsoku/>
              <w:wordWrap/>
              <w:overflowPunct/>
              <w:topLinePunct w:val="0"/>
              <w:autoSpaceDE/>
              <w:autoSpaceDN/>
              <w:bidi w:val="0"/>
              <w:adjustRightInd/>
              <w:spacing w:line="400" w:lineRule="exact"/>
              <w:ind w:right="0" w:rightChars="0"/>
              <w:jc w:val="center"/>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w:t>
            </w:r>
          </w:p>
        </w:tc>
        <w:tc>
          <w:tcPr>
            <w:tcW w:w="1547" w:type="pct"/>
            <w:vAlign w:val="center"/>
          </w:tcPr>
          <w:p w14:paraId="058203B5">
            <w:pPr>
              <w:keepNext w:val="0"/>
              <w:keepLines w:val="0"/>
              <w:pageBreakBefore w:val="0"/>
              <w:widowControl w:val="0"/>
              <w:kinsoku/>
              <w:wordWrap/>
              <w:overflowPunct/>
              <w:topLinePunct w:val="0"/>
              <w:autoSpaceDE/>
              <w:autoSpaceDN/>
              <w:bidi w:val="0"/>
              <w:adjustRightInd/>
              <w:spacing w:line="400" w:lineRule="exact"/>
              <w:ind w:right="0" w:rightChars="0"/>
              <w:jc w:val="center"/>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最高限价</w:t>
            </w:r>
          </w:p>
        </w:tc>
        <w:tc>
          <w:tcPr>
            <w:tcW w:w="3086" w:type="pct"/>
            <w:vAlign w:val="center"/>
          </w:tcPr>
          <w:p w14:paraId="27FAD961">
            <w:pPr>
              <w:pStyle w:val="11"/>
              <w:ind w:left="0" w:leftChars="0" w:firstLine="0" w:firstLineChars="0"/>
              <w:rPr>
                <w:rFonts w:hint="default"/>
                <w:lang w:val="en-US" w:eastAsia="zh-CN"/>
              </w:rPr>
            </w:pPr>
            <w:r>
              <w:rPr>
                <w:rFonts w:hint="eastAsia" w:ascii="宋体" w:hAnsi="宋体" w:cs="宋体"/>
                <w:color w:val="auto"/>
                <w:sz w:val="21"/>
                <w:szCs w:val="21"/>
                <w:highlight w:val="none"/>
                <w:lang w:val="en-US" w:eastAsia="zh-CN"/>
              </w:rPr>
              <w:t>2300419.00元</w:t>
            </w:r>
          </w:p>
        </w:tc>
      </w:tr>
      <w:tr w14:paraId="7D719BC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380" w:hRule="atLeast"/>
        </w:trPr>
        <w:tc>
          <w:tcPr>
            <w:tcW w:w="365" w:type="pct"/>
            <w:vAlign w:val="center"/>
          </w:tcPr>
          <w:p w14:paraId="21005F78">
            <w:pPr>
              <w:keepNext w:val="0"/>
              <w:keepLines w:val="0"/>
              <w:pageBreakBefore w:val="0"/>
              <w:widowControl w:val="0"/>
              <w:kinsoku/>
              <w:wordWrap/>
              <w:overflowPunct/>
              <w:topLinePunct w:val="0"/>
              <w:autoSpaceDE/>
              <w:autoSpaceDN/>
              <w:bidi w:val="0"/>
              <w:adjustRightInd/>
              <w:spacing w:line="400" w:lineRule="exact"/>
              <w:ind w:right="0" w:rightChars="0"/>
              <w:jc w:val="center"/>
              <w:textAlignment w:val="auto"/>
              <w:outlineLvl w:val="9"/>
              <w:rPr>
                <w:rFonts w:hint="eastAsia" w:ascii="宋体" w:hAnsi="宋体" w:eastAsia="宋体" w:cs="宋体"/>
                <w:sz w:val="21"/>
                <w:szCs w:val="21"/>
                <w:highlight w:val="none"/>
                <w:lang w:eastAsia="zh-CN"/>
              </w:rPr>
            </w:pPr>
            <w:r>
              <w:rPr>
                <w:rFonts w:hint="eastAsia" w:ascii="宋体" w:hAnsi="宋体" w:eastAsia="宋体" w:cs="宋体"/>
                <w:color w:val="auto"/>
                <w:sz w:val="21"/>
                <w:szCs w:val="21"/>
                <w:highlight w:val="none"/>
                <w:lang w:val="en-US" w:eastAsia="zh-CN"/>
              </w:rPr>
              <w:t>7</w:t>
            </w:r>
          </w:p>
        </w:tc>
        <w:tc>
          <w:tcPr>
            <w:tcW w:w="1547" w:type="pct"/>
            <w:vAlign w:val="center"/>
          </w:tcPr>
          <w:p w14:paraId="10C893AB">
            <w:pPr>
              <w:keepNext w:val="0"/>
              <w:keepLines w:val="0"/>
              <w:pageBreakBefore w:val="0"/>
              <w:widowControl w:val="0"/>
              <w:kinsoku/>
              <w:wordWrap/>
              <w:overflowPunct/>
              <w:topLinePunct w:val="0"/>
              <w:autoSpaceDE/>
              <w:autoSpaceDN/>
              <w:bidi w:val="0"/>
              <w:adjustRightInd/>
              <w:spacing w:line="400" w:lineRule="exact"/>
              <w:ind w:right="0" w:rightChars="0"/>
              <w:jc w:val="center"/>
              <w:textAlignment w:val="auto"/>
              <w:outlineLvl w:val="9"/>
              <w:rPr>
                <w:rFonts w:hint="eastAsia" w:ascii="宋体" w:hAnsi="宋体" w:eastAsia="宋体" w:cs="宋体"/>
                <w:sz w:val="21"/>
                <w:szCs w:val="21"/>
                <w:highlight w:val="none"/>
              </w:rPr>
            </w:pPr>
            <w:r>
              <w:rPr>
                <w:rFonts w:hint="eastAsia" w:ascii="宋体" w:hAnsi="宋体" w:eastAsia="宋体" w:cs="宋体"/>
                <w:color w:val="auto"/>
                <w:sz w:val="21"/>
                <w:szCs w:val="21"/>
                <w:highlight w:val="none"/>
                <w:lang w:eastAsia="zh-CN"/>
              </w:rPr>
              <w:t>采购</w:t>
            </w:r>
            <w:r>
              <w:rPr>
                <w:rFonts w:hint="eastAsia" w:ascii="宋体" w:hAnsi="宋体" w:eastAsia="宋体" w:cs="宋体"/>
                <w:color w:val="auto"/>
                <w:sz w:val="21"/>
                <w:szCs w:val="21"/>
                <w:highlight w:val="none"/>
              </w:rPr>
              <w:t>项目用途</w:t>
            </w:r>
          </w:p>
        </w:tc>
        <w:tc>
          <w:tcPr>
            <w:tcW w:w="3086" w:type="pct"/>
            <w:vAlign w:val="center"/>
          </w:tcPr>
          <w:p w14:paraId="6FD99EC6">
            <w:pPr>
              <w:keepNext w:val="0"/>
              <w:keepLines w:val="0"/>
              <w:pageBreakBefore w:val="0"/>
              <w:widowControl w:val="0"/>
              <w:kinsoku/>
              <w:wordWrap/>
              <w:overflowPunct/>
              <w:topLinePunct w:val="0"/>
              <w:autoSpaceDE/>
              <w:autoSpaceDN/>
              <w:bidi w:val="0"/>
              <w:adjustRightInd/>
              <w:spacing w:line="400" w:lineRule="exact"/>
              <w:ind w:right="0" w:rightChars="0"/>
              <w:textAlignment w:val="auto"/>
              <w:outlineLvl w:val="9"/>
              <w:rPr>
                <w:rFonts w:hint="default" w:ascii="宋体" w:hAnsi="宋体" w:eastAsia="宋体" w:cs="宋体"/>
                <w:sz w:val="21"/>
                <w:szCs w:val="21"/>
                <w:highlight w:val="none"/>
                <w:lang w:val="en-US" w:eastAsia="zh-CN"/>
              </w:rPr>
            </w:pPr>
            <w:r>
              <w:rPr>
                <w:rFonts w:hint="eastAsia"/>
                <w:lang w:val="en-US" w:eastAsia="zh-CN"/>
              </w:rPr>
              <w:t>汉滨区五里高级中学厨房设施设备采购项目</w:t>
            </w:r>
          </w:p>
        </w:tc>
      </w:tr>
      <w:tr w14:paraId="7555CE1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45" w:hRule="atLeast"/>
        </w:trPr>
        <w:tc>
          <w:tcPr>
            <w:tcW w:w="365" w:type="pct"/>
            <w:vAlign w:val="center"/>
          </w:tcPr>
          <w:p w14:paraId="394025F9">
            <w:pPr>
              <w:keepNext w:val="0"/>
              <w:keepLines w:val="0"/>
              <w:pageBreakBefore w:val="0"/>
              <w:widowControl w:val="0"/>
              <w:kinsoku/>
              <w:wordWrap/>
              <w:overflowPunct/>
              <w:topLinePunct w:val="0"/>
              <w:autoSpaceDE/>
              <w:autoSpaceDN/>
              <w:bidi w:val="0"/>
              <w:adjustRightInd/>
              <w:spacing w:line="400" w:lineRule="exact"/>
              <w:ind w:right="0" w:rightChars="0"/>
              <w:jc w:val="center"/>
              <w:textAlignment w:val="auto"/>
              <w:outlineLvl w:val="9"/>
              <w:rPr>
                <w:rFonts w:hint="eastAsia" w:ascii="宋体" w:hAnsi="宋体" w:eastAsia="宋体" w:cs="宋体"/>
                <w:sz w:val="21"/>
                <w:szCs w:val="21"/>
                <w:highlight w:val="none"/>
                <w:lang w:eastAsia="zh-CN"/>
              </w:rPr>
            </w:pPr>
            <w:r>
              <w:rPr>
                <w:rFonts w:hint="eastAsia" w:ascii="宋体" w:hAnsi="宋体" w:eastAsia="宋体" w:cs="宋体"/>
                <w:color w:val="auto"/>
                <w:sz w:val="21"/>
                <w:szCs w:val="21"/>
                <w:highlight w:val="none"/>
                <w:lang w:val="en-US" w:eastAsia="zh-CN"/>
              </w:rPr>
              <w:t>8</w:t>
            </w:r>
          </w:p>
        </w:tc>
        <w:tc>
          <w:tcPr>
            <w:tcW w:w="1547" w:type="pct"/>
            <w:vAlign w:val="center"/>
          </w:tcPr>
          <w:p w14:paraId="62619865">
            <w:pPr>
              <w:keepNext w:val="0"/>
              <w:keepLines w:val="0"/>
              <w:pageBreakBefore w:val="0"/>
              <w:widowControl w:val="0"/>
              <w:kinsoku/>
              <w:wordWrap/>
              <w:overflowPunct/>
              <w:topLinePunct w:val="0"/>
              <w:autoSpaceDE/>
              <w:autoSpaceDN/>
              <w:bidi w:val="0"/>
              <w:adjustRightInd/>
              <w:spacing w:line="400" w:lineRule="exact"/>
              <w:ind w:right="0" w:rightChars="0"/>
              <w:jc w:val="center"/>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采购方式</w:t>
            </w:r>
          </w:p>
        </w:tc>
        <w:tc>
          <w:tcPr>
            <w:tcW w:w="3086" w:type="pct"/>
            <w:vAlign w:val="center"/>
          </w:tcPr>
          <w:p w14:paraId="3190C6F4">
            <w:pPr>
              <w:keepNext w:val="0"/>
              <w:keepLines w:val="0"/>
              <w:pageBreakBefore w:val="0"/>
              <w:widowControl w:val="0"/>
              <w:kinsoku/>
              <w:wordWrap/>
              <w:overflowPunct/>
              <w:topLinePunct w:val="0"/>
              <w:autoSpaceDE/>
              <w:autoSpaceDN/>
              <w:bidi w:val="0"/>
              <w:adjustRightInd/>
              <w:spacing w:line="400" w:lineRule="exact"/>
              <w:ind w:right="0" w:rightChars="0"/>
              <w:textAlignment w:val="auto"/>
              <w:outlineLvl w:val="9"/>
              <w:rPr>
                <w:rFonts w:hint="eastAsia" w:ascii="宋体" w:hAnsi="宋体" w:eastAsia="宋体" w:cs="宋体"/>
                <w:sz w:val="21"/>
                <w:szCs w:val="21"/>
                <w:highlight w:val="none"/>
              </w:rPr>
            </w:pPr>
            <w:r>
              <w:rPr>
                <w:rFonts w:hint="eastAsia" w:ascii="宋体" w:hAnsi="宋体" w:eastAsia="宋体" w:cs="宋体"/>
                <w:color w:val="auto"/>
                <w:sz w:val="21"/>
                <w:szCs w:val="21"/>
                <w:highlight w:val="none"/>
                <w:lang w:eastAsia="zh-CN"/>
              </w:rPr>
              <w:t>公开招标</w:t>
            </w:r>
          </w:p>
        </w:tc>
      </w:tr>
      <w:tr w14:paraId="25250C6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735" w:hRule="atLeast"/>
        </w:trPr>
        <w:tc>
          <w:tcPr>
            <w:tcW w:w="365" w:type="pct"/>
            <w:vAlign w:val="center"/>
          </w:tcPr>
          <w:p w14:paraId="2D07A982">
            <w:pPr>
              <w:keepNext w:val="0"/>
              <w:keepLines w:val="0"/>
              <w:pageBreakBefore w:val="0"/>
              <w:widowControl w:val="0"/>
              <w:kinsoku/>
              <w:wordWrap/>
              <w:overflowPunct/>
              <w:topLinePunct w:val="0"/>
              <w:autoSpaceDE/>
              <w:autoSpaceDN/>
              <w:bidi w:val="0"/>
              <w:adjustRightInd/>
              <w:spacing w:line="400" w:lineRule="exact"/>
              <w:ind w:right="0" w:rightChars="0"/>
              <w:jc w:val="center"/>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9</w:t>
            </w:r>
          </w:p>
        </w:tc>
        <w:tc>
          <w:tcPr>
            <w:tcW w:w="1547" w:type="pct"/>
            <w:vAlign w:val="center"/>
          </w:tcPr>
          <w:p w14:paraId="1766CE9C">
            <w:pPr>
              <w:keepNext w:val="0"/>
              <w:keepLines w:val="0"/>
              <w:pageBreakBefore w:val="0"/>
              <w:widowControl w:val="0"/>
              <w:kinsoku/>
              <w:wordWrap/>
              <w:overflowPunct/>
              <w:topLinePunct w:val="0"/>
              <w:autoSpaceDE/>
              <w:autoSpaceDN/>
              <w:bidi w:val="0"/>
              <w:adjustRightInd/>
              <w:spacing w:line="400" w:lineRule="exact"/>
              <w:ind w:right="0" w:rightChars="0"/>
              <w:jc w:val="center"/>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是否专门面向中小企业或小微型企业</w:t>
            </w:r>
          </w:p>
        </w:tc>
        <w:tc>
          <w:tcPr>
            <w:tcW w:w="3086" w:type="pct"/>
            <w:vAlign w:val="center"/>
          </w:tcPr>
          <w:p w14:paraId="5133A1F6">
            <w:pPr>
              <w:keepNext w:val="0"/>
              <w:keepLines w:val="0"/>
              <w:pageBreakBefore w:val="0"/>
              <w:widowControl w:val="0"/>
              <w:kinsoku/>
              <w:wordWrap/>
              <w:overflowPunct/>
              <w:topLinePunct w:val="0"/>
              <w:autoSpaceDE/>
              <w:autoSpaceDN/>
              <w:bidi w:val="0"/>
              <w:adjustRightInd/>
              <w:spacing w:line="400" w:lineRule="exact"/>
              <w:ind w:right="0" w:rightChars="0"/>
              <w:textAlignment w:val="auto"/>
              <w:outlineLvl w:val="9"/>
              <w:rPr>
                <w:rFonts w:hint="eastAsia" w:ascii="宋体" w:hAnsi="宋体" w:eastAsia="宋体" w:cs="宋体"/>
                <w:color w:val="auto"/>
                <w:kern w:val="2"/>
                <w:sz w:val="21"/>
                <w:szCs w:val="21"/>
                <w:highlight w:val="none"/>
                <w:lang w:val="en-US" w:eastAsia="zh-CN" w:bidi="ar-SA"/>
              </w:rPr>
            </w:pPr>
            <w:r>
              <w:rPr>
                <w:rFonts w:hint="eastAsia" w:ascii="宋体" w:hAnsi="宋体" w:cs="宋体"/>
                <w:color w:val="auto"/>
                <w:szCs w:val="21"/>
                <w:highlight w:val="none"/>
                <w:lang w:val="en-US" w:eastAsia="zh-CN"/>
              </w:rPr>
              <w:t>是</w:t>
            </w:r>
          </w:p>
        </w:tc>
      </w:tr>
      <w:tr w14:paraId="52C7E20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1113" w:hRule="atLeast"/>
        </w:trPr>
        <w:tc>
          <w:tcPr>
            <w:tcW w:w="365" w:type="pct"/>
            <w:vAlign w:val="center"/>
          </w:tcPr>
          <w:p w14:paraId="6D97F5BD">
            <w:pPr>
              <w:keepNext w:val="0"/>
              <w:keepLines w:val="0"/>
              <w:pageBreakBefore w:val="0"/>
              <w:widowControl w:val="0"/>
              <w:kinsoku/>
              <w:wordWrap/>
              <w:overflowPunct/>
              <w:topLinePunct w:val="0"/>
              <w:autoSpaceDE/>
              <w:autoSpaceDN/>
              <w:bidi w:val="0"/>
              <w:adjustRightInd/>
              <w:spacing w:line="400" w:lineRule="exact"/>
              <w:ind w:right="0" w:rightChars="0"/>
              <w:jc w:val="center"/>
              <w:textAlignment w:val="auto"/>
              <w:outlineLvl w:val="9"/>
              <w:rPr>
                <w:rFonts w:hint="eastAsia" w:ascii="宋体" w:hAnsi="宋体" w:eastAsia="宋体" w:cs="宋体"/>
                <w:sz w:val="21"/>
                <w:szCs w:val="21"/>
                <w:highlight w:val="none"/>
                <w:lang w:val="en-US" w:eastAsia="zh-CN"/>
              </w:rPr>
            </w:pPr>
            <w:r>
              <w:rPr>
                <w:rFonts w:hint="eastAsia" w:ascii="宋体" w:hAnsi="宋体" w:eastAsia="宋体" w:cs="宋体"/>
                <w:color w:val="auto"/>
                <w:sz w:val="21"/>
                <w:szCs w:val="21"/>
                <w:highlight w:val="none"/>
                <w:lang w:val="en-US" w:eastAsia="zh-CN"/>
              </w:rPr>
              <w:t>10</w:t>
            </w:r>
          </w:p>
        </w:tc>
        <w:tc>
          <w:tcPr>
            <w:tcW w:w="1547" w:type="pct"/>
            <w:vAlign w:val="center"/>
          </w:tcPr>
          <w:p w14:paraId="11572F8A">
            <w:pPr>
              <w:keepNext w:val="0"/>
              <w:keepLines w:val="0"/>
              <w:pageBreakBefore w:val="0"/>
              <w:widowControl w:val="0"/>
              <w:kinsoku/>
              <w:wordWrap/>
              <w:overflowPunct/>
              <w:topLinePunct w:val="0"/>
              <w:autoSpaceDE/>
              <w:autoSpaceDN/>
              <w:bidi w:val="0"/>
              <w:adjustRightInd/>
              <w:spacing w:line="400" w:lineRule="exact"/>
              <w:ind w:right="0" w:rightChars="0"/>
              <w:jc w:val="center"/>
              <w:textAlignment w:val="auto"/>
              <w:outlineLvl w:val="9"/>
              <w:rPr>
                <w:rFonts w:hint="eastAsia" w:ascii="宋体" w:hAnsi="宋体" w:eastAsia="宋体" w:cs="宋体"/>
                <w:sz w:val="21"/>
                <w:szCs w:val="21"/>
                <w:highlight w:val="none"/>
              </w:rPr>
            </w:pPr>
            <w:r>
              <w:rPr>
                <w:rFonts w:hint="eastAsia" w:ascii="宋体" w:hAnsi="宋体" w:eastAsia="宋体" w:cs="宋体"/>
                <w:color w:val="auto"/>
                <w:sz w:val="21"/>
                <w:szCs w:val="21"/>
                <w:highlight w:val="none"/>
                <w:lang w:val="en-US" w:eastAsia="zh-CN"/>
              </w:rPr>
              <w:t>服务</w:t>
            </w:r>
            <w:r>
              <w:rPr>
                <w:rFonts w:hint="eastAsia" w:ascii="宋体" w:hAnsi="宋体" w:eastAsia="宋体" w:cs="宋体"/>
                <w:color w:val="auto"/>
                <w:sz w:val="21"/>
                <w:szCs w:val="21"/>
                <w:highlight w:val="none"/>
              </w:rPr>
              <w:t>内容</w:t>
            </w:r>
          </w:p>
        </w:tc>
        <w:tc>
          <w:tcPr>
            <w:tcW w:w="3086" w:type="pct"/>
            <w:vAlign w:val="center"/>
          </w:tcPr>
          <w:p w14:paraId="2E5C604E">
            <w:pPr>
              <w:keepNext w:val="0"/>
              <w:keepLines w:val="0"/>
              <w:pageBreakBefore w:val="0"/>
              <w:widowControl w:val="0"/>
              <w:kinsoku/>
              <w:wordWrap/>
              <w:overflowPunct/>
              <w:topLinePunct w:val="0"/>
              <w:autoSpaceDE/>
              <w:autoSpaceDN/>
              <w:bidi w:val="0"/>
              <w:adjustRightInd/>
              <w:spacing w:line="400" w:lineRule="exact"/>
              <w:ind w:right="0" w:rightChars="0"/>
              <w:textAlignment w:val="auto"/>
              <w:outlineLvl w:val="9"/>
              <w:rPr>
                <w:rFonts w:hint="eastAsia" w:ascii="宋体" w:hAnsi="宋体" w:eastAsia="宋体" w:cs="宋体"/>
                <w:color w:val="auto"/>
                <w:sz w:val="21"/>
                <w:szCs w:val="21"/>
                <w:highlight w:val="none"/>
                <w:lang w:val="en-US" w:eastAsia="zh-CN"/>
              </w:rPr>
            </w:pPr>
            <w:r>
              <w:rPr>
                <w:rFonts w:hint="eastAsia" w:ascii="宋体" w:hAnsi="宋体" w:cs="宋体"/>
                <w:sz w:val="21"/>
                <w:szCs w:val="21"/>
                <w:highlight w:val="none"/>
                <w:lang w:val="en-US" w:eastAsia="zh-CN"/>
              </w:rPr>
              <w:t>汉滨区五里高级中学厨房设施设备采购项目</w:t>
            </w:r>
            <w:r>
              <w:rPr>
                <w:rFonts w:hint="eastAsia" w:ascii="宋体" w:hAnsi="宋体" w:eastAsia="宋体" w:cs="宋体"/>
                <w:color w:val="auto"/>
                <w:sz w:val="21"/>
                <w:szCs w:val="21"/>
                <w:highlight w:val="none"/>
                <w:lang w:val="en-US" w:eastAsia="zh-CN"/>
              </w:rPr>
              <w:t xml:space="preserve">，详见招标文件“第四章 </w:t>
            </w:r>
            <w:r>
              <w:rPr>
                <w:rFonts w:hint="eastAsia" w:ascii="宋体" w:hAnsi="宋体" w:cs="宋体"/>
                <w:color w:val="auto"/>
                <w:sz w:val="21"/>
                <w:szCs w:val="21"/>
                <w:highlight w:val="none"/>
                <w:lang w:val="en-US" w:eastAsia="zh-CN"/>
              </w:rPr>
              <w:t>采购</w:t>
            </w:r>
            <w:r>
              <w:rPr>
                <w:rFonts w:hint="eastAsia" w:ascii="宋体" w:hAnsi="宋体" w:eastAsia="宋体" w:cs="宋体"/>
                <w:color w:val="auto"/>
                <w:sz w:val="21"/>
                <w:szCs w:val="21"/>
                <w:highlight w:val="none"/>
                <w:lang w:val="en-US" w:eastAsia="zh-CN"/>
              </w:rPr>
              <w:t>内容及要求”。</w:t>
            </w:r>
          </w:p>
        </w:tc>
      </w:tr>
      <w:tr w14:paraId="564529C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c>
          <w:tcPr>
            <w:tcW w:w="365" w:type="pct"/>
            <w:vAlign w:val="center"/>
          </w:tcPr>
          <w:p w14:paraId="092F8C40">
            <w:pPr>
              <w:keepNext w:val="0"/>
              <w:keepLines w:val="0"/>
              <w:pageBreakBefore w:val="0"/>
              <w:widowControl w:val="0"/>
              <w:kinsoku/>
              <w:wordWrap/>
              <w:overflowPunct/>
              <w:topLinePunct w:val="0"/>
              <w:autoSpaceDE/>
              <w:autoSpaceDN/>
              <w:bidi w:val="0"/>
              <w:adjustRightInd/>
              <w:spacing w:line="400" w:lineRule="exact"/>
              <w:ind w:right="0" w:rightChars="0"/>
              <w:jc w:val="center"/>
              <w:textAlignment w:val="auto"/>
              <w:outlineLvl w:val="9"/>
              <w:rPr>
                <w:rFonts w:hint="eastAsia" w:ascii="宋体" w:hAnsi="宋体" w:eastAsia="宋体" w:cs="宋体"/>
                <w:sz w:val="21"/>
                <w:szCs w:val="21"/>
                <w:highlight w:val="none"/>
                <w:lang w:val="en-US" w:eastAsia="zh-CN"/>
              </w:rPr>
            </w:pPr>
            <w:r>
              <w:rPr>
                <w:rFonts w:hint="eastAsia" w:ascii="宋体" w:hAnsi="宋体" w:eastAsia="宋体" w:cs="宋体"/>
                <w:color w:val="auto"/>
                <w:sz w:val="21"/>
                <w:szCs w:val="21"/>
                <w:highlight w:val="none"/>
                <w:lang w:val="en-US" w:eastAsia="zh-CN"/>
              </w:rPr>
              <w:t>11</w:t>
            </w:r>
          </w:p>
        </w:tc>
        <w:tc>
          <w:tcPr>
            <w:tcW w:w="1547" w:type="pct"/>
            <w:vAlign w:val="center"/>
          </w:tcPr>
          <w:p w14:paraId="29422373">
            <w:pPr>
              <w:keepNext w:val="0"/>
              <w:keepLines w:val="0"/>
              <w:pageBreakBefore w:val="0"/>
              <w:widowControl w:val="0"/>
              <w:kinsoku/>
              <w:wordWrap/>
              <w:overflowPunct/>
              <w:topLinePunct w:val="0"/>
              <w:autoSpaceDE/>
              <w:autoSpaceDN/>
              <w:bidi w:val="0"/>
              <w:adjustRightInd/>
              <w:spacing w:line="400" w:lineRule="exact"/>
              <w:ind w:right="0" w:rightChars="0"/>
              <w:jc w:val="center"/>
              <w:textAlignment w:val="auto"/>
              <w:outlineLvl w:val="9"/>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合同履行期限</w:t>
            </w:r>
          </w:p>
        </w:tc>
        <w:tc>
          <w:tcPr>
            <w:tcW w:w="3086" w:type="pct"/>
            <w:vAlign w:val="center"/>
          </w:tcPr>
          <w:p w14:paraId="0EF5176F">
            <w:pPr>
              <w:keepNext w:val="0"/>
              <w:keepLines w:val="0"/>
              <w:pageBreakBefore w:val="0"/>
              <w:widowControl w:val="0"/>
              <w:kinsoku/>
              <w:wordWrap/>
              <w:overflowPunct/>
              <w:topLinePunct w:val="0"/>
              <w:autoSpaceDE/>
              <w:autoSpaceDN/>
              <w:bidi w:val="0"/>
              <w:adjustRightInd/>
              <w:spacing w:line="400" w:lineRule="exact"/>
              <w:ind w:right="0" w:rightChars="0"/>
              <w:textAlignment w:val="auto"/>
              <w:outlineLvl w:val="9"/>
              <w:rPr>
                <w:rFonts w:hint="default"/>
                <w:highlight w:val="none"/>
                <w:lang w:val="en-US"/>
              </w:rPr>
            </w:pPr>
            <w:r>
              <w:rPr>
                <w:rFonts w:hint="eastAsia" w:ascii="宋体" w:hAnsi="宋体" w:cs="宋体"/>
                <w:b/>
                <w:bCs/>
                <w:kern w:val="2"/>
                <w:sz w:val="21"/>
                <w:szCs w:val="21"/>
                <w:highlight w:val="none"/>
                <w:shd w:val="clear" w:color="auto" w:fill="FFFFFF"/>
                <w:lang w:val="en-US" w:eastAsia="zh-CN" w:bidi="ar-SA"/>
              </w:rPr>
              <w:t>自合同签订之日起7日内。</w:t>
            </w:r>
          </w:p>
        </w:tc>
      </w:tr>
      <w:tr w14:paraId="7E900A0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c>
          <w:tcPr>
            <w:tcW w:w="365" w:type="pct"/>
            <w:vAlign w:val="center"/>
          </w:tcPr>
          <w:p w14:paraId="1D784232">
            <w:pPr>
              <w:keepNext w:val="0"/>
              <w:keepLines w:val="0"/>
              <w:pageBreakBefore w:val="0"/>
              <w:widowControl w:val="0"/>
              <w:kinsoku/>
              <w:wordWrap/>
              <w:overflowPunct/>
              <w:topLinePunct w:val="0"/>
              <w:autoSpaceDE/>
              <w:autoSpaceDN/>
              <w:bidi w:val="0"/>
              <w:adjustRightInd/>
              <w:spacing w:line="400" w:lineRule="exact"/>
              <w:ind w:right="0" w:rightChars="0"/>
              <w:jc w:val="center"/>
              <w:textAlignment w:val="auto"/>
              <w:outlineLvl w:val="9"/>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12</w:t>
            </w:r>
          </w:p>
        </w:tc>
        <w:tc>
          <w:tcPr>
            <w:tcW w:w="2982" w:type="dxa"/>
            <w:vAlign w:val="center"/>
          </w:tcPr>
          <w:p w14:paraId="5BB14A34">
            <w:pPr>
              <w:keepNext w:val="0"/>
              <w:keepLines w:val="0"/>
              <w:pageBreakBefore w:val="0"/>
              <w:widowControl w:val="0"/>
              <w:kinsoku/>
              <w:wordWrap/>
              <w:overflowPunct/>
              <w:topLinePunct w:val="0"/>
              <w:autoSpaceDE/>
              <w:autoSpaceDN/>
              <w:bidi w:val="0"/>
              <w:adjustRightInd/>
              <w:spacing w:line="400" w:lineRule="exact"/>
              <w:ind w:right="0" w:rightChars="0"/>
              <w:jc w:val="center"/>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项目地点</w:t>
            </w:r>
          </w:p>
        </w:tc>
        <w:tc>
          <w:tcPr>
            <w:tcW w:w="5949" w:type="dxa"/>
            <w:vAlign w:val="center"/>
          </w:tcPr>
          <w:p w14:paraId="713B3485">
            <w:pPr>
              <w:keepNext w:val="0"/>
              <w:keepLines w:val="0"/>
              <w:pageBreakBefore w:val="0"/>
              <w:widowControl w:val="0"/>
              <w:kinsoku/>
              <w:wordWrap/>
              <w:overflowPunct/>
              <w:topLinePunct w:val="0"/>
              <w:autoSpaceDE/>
              <w:autoSpaceDN/>
              <w:bidi w:val="0"/>
              <w:adjustRightInd/>
              <w:spacing w:line="400" w:lineRule="exact"/>
              <w:ind w:right="0" w:rightChars="0"/>
              <w:textAlignment w:val="auto"/>
              <w:outlineLvl w:val="9"/>
              <w:rPr>
                <w:rFonts w:hint="eastAsia" w:ascii="宋体" w:hAnsi="宋体" w:eastAsia="宋体" w:cs="宋体"/>
                <w:color w:val="auto"/>
                <w:sz w:val="21"/>
                <w:szCs w:val="21"/>
                <w:highlight w:val="yellow"/>
                <w:lang w:val="en-US" w:eastAsia="zh-CN"/>
              </w:rPr>
            </w:pPr>
            <w:r>
              <w:rPr>
                <w:rFonts w:hint="eastAsia" w:ascii="宋体" w:hAnsi="宋体" w:eastAsia="宋体" w:cs="宋体"/>
                <w:color w:val="auto"/>
                <w:sz w:val="21"/>
                <w:szCs w:val="21"/>
                <w:highlight w:val="none"/>
                <w:lang w:eastAsia="zh-CN"/>
              </w:rPr>
              <w:t>采购人指定地点</w:t>
            </w:r>
          </w:p>
        </w:tc>
      </w:tr>
      <w:tr w14:paraId="28F19E4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307" w:hRule="atLeast"/>
        </w:trPr>
        <w:tc>
          <w:tcPr>
            <w:tcW w:w="365" w:type="pct"/>
            <w:vAlign w:val="center"/>
          </w:tcPr>
          <w:p w14:paraId="1DD83AFC">
            <w:pPr>
              <w:keepNext w:val="0"/>
              <w:keepLines w:val="0"/>
              <w:pageBreakBefore w:val="0"/>
              <w:widowControl w:val="0"/>
              <w:kinsoku/>
              <w:wordWrap/>
              <w:overflowPunct/>
              <w:topLinePunct w:val="0"/>
              <w:autoSpaceDE/>
              <w:autoSpaceDN/>
              <w:bidi w:val="0"/>
              <w:adjustRightInd/>
              <w:spacing w:line="400" w:lineRule="exact"/>
              <w:ind w:right="0" w:rightChars="0"/>
              <w:jc w:val="center"/>
              <w:textAlignment w:val="auto"/>
              <w:outlineLvl w:val="9"/>
              <w:rPr>
                <w:rFonts w:hint="eastAsia" w:ascii="宋体" w:hAnsi="宋体" w:eastAsia="宋体" w:cs="宋体"/>
                <w:sz w:val="21"/>
                <w:szCs w:val="21"/>
                <w:highlight w:val="none"/>
                <w:lang w:eastAsia="zh-CN"/>
              </w:rPr>
            </w:pPr>
            <w:r>
              <w:rPr>
                <w:rFonts w:hint="eastAsia" w:ascii="宋体" w:hAnsi="宋体" w:eastAsia="宋体" w:cs="宋体"/>
                <w:color w:val="auto"/>
                <w:sz w:val="21"/>
                <w:szCs w:val="21"/>
                <w:highlight w:val="none"/>
              </w:rPr>
              <w:t>1</w:t>
            </w:r>
            <w:r>
              <w:rPr>
                <w:rFonts w:hint="eastAsia" w:ascii="宋体" w:hAnsi="宋体" w:cs="宋体"/>
                <w:color w:val="auto"/>
                <w:sz w:val="21"/>
                <w:szCs w:val="21"/>
                <w:highlight w:val="none"/>
                <w:lang w:val="en-US" w:eastAsia="zh-CN"/>
              </w:rPr>
              <w:t>3</w:t>
            </w:r>
          </w:p>
        </w:tc>
        <w:tc>
          <w:tcPr>
            <w:tcW w:w="1547" w:type="pct"/>
            <w:vAlign w:val="center"/>
          </w:tcPr>
          <w:p w14:paraId="024D9159">
            <w:pPr>
              <w:keepNext w:val="0"/>
              <w:keepLines w:val="0"/>
              <w:pageBreakBefore w:val="0"/>
              <w:widowControl w:val="0"/>
              <w:kinsoku/>
              <w:wordWrap/>
              <w:overflowPunct/>
              <w:topLinePunct w:val="0"/>
              <w:autoSpaceDE/>
              <w:autoSpaceDN/>
              <w:bidi w:val="0"/>
              <w:adjustRightInd/>
              <w:spacing w:line="400" w:lineRule="exact"/>
              <w:ind w:right="0" w:rightChars="0"/>
              <w:jc w:val="center"/>
              <w:textAlignment w:val="auto"/>
              <w:outlineLvl w:val="9"/>
              <w:rPr>
                <w:rFonts w:hint="eastAsia" w:ascii="宋体" w:hAnsi="宋体" w:eastAsia="宋体" w:cs="宋体"/>
                <w:sz w:val="21"/>
                <w:szCs w:val="21"/>
                <w:highlight w:val="none"/>
              </w:rPr>
            </w:pPr>
            <w:r>
              <w:rPr>
                <w:rFonts w:hint="eastAsia" w:ascii="宋体" w:hAnsi="宋体" w:eastAsia="宋体" w:cs="宋体"/>
                <w:color w:val="auto"/>
                <w:sz w:val="21"/>
                <w:szCs w:val="21"/>
                <w:highlight w:val="none"/>
              </w:rPr>
              <w:t>质量要求及验收标准</w:t>
            </w:r>
          </w:p>
        </w:tc>
        <w:tc>
          <w:tcPr>
            <w:tcW w:w="3086" w:type="pct"/>
            <w:vAlign w:val="center"/>
          </w:tcPr>
          <w:p w14:paraId="0C10507D">
            <w:pPr>
              <w:keepNext w:val="0"/>
              <w:keepLines w:val="0"/>
              <w:pageBreakBefore w:val="0"/>
              <w:widowControl w:val="0"/>
              <w:kinsoku/>
              <w:wordWrap/>
              <w:overflowPunct/>
              <w:topLinePunct w:val="0"/>
              <w:autoSpaceDE/>
              <w:autoSpaceDN/>
              <w:bidi w:val="0"/>
              <w:adjustRightInd/>
              <w:spacing w:line="400" w:lineRule="exact"/>
              <w:ind w:right="0" w:rightChars="0"/>
              <w:textAlignment w:val="auto"/>
              <w:outlineLvl w:val="9"/>
              <w:rPr>
                <w:rFonts w:hint="eastAsia" w:ascii="宋体" w:hAnsi="宋体" w:eastAsia="宋体" w:cs="宋体"/>
                <w:sz w:val="21"/>
                <w:szCs w:val="21"/>
                <w:highlight w:val="none"/>
                <w:lang w:eastAsia="zh-CN"/>
              </w:rPr>
            </w:pPr>
            <w:r>
              <w:rPr>
                <w:rFonts w:hint="eastAsia" w:ascii="宋体" w:hAnsi="宋体" w:cs="宋体"/>
                <w:color w:val="auto"/>
                <w:sz w:val="21"/>
                <w:szCs w:val="21"/>
                <w:highlight w:val="none"/>
                <w:lang w:val="en-US" w:eastAsia="zh-CN"/>
              </w:rPr>
              <w:t>符合国家标准及行业要求</w:t>
            </w:r>
          </w:p>
        </w:tc>
      </w:tr>
      <w:tr w14:paraId="1DFF19C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394" w:hRule="atLeast"/>
        </w:trPr>
        <w:tc>
          <w:tcPr>
            <w:tcW w:w="365" w:type="pct"/>
            <w:vAlign w:val="center"/>
          </w:tcPr>
          <w:p w14:paraId="2E3F0E0F">
            <w:pPr>
              <w:keepNext w:val="0"/>
              <w:keepLines w:val="0"/>
              <w:pageBreakBefore w:val="0"/>
              <w:widowControl w:val="0"/>
              <w:kinsoku/>
              <w:wordWrap/>
              <w:overflowPunct/>
              <w:topLinePunct w:val="0"/>
              <w:autoSpaceDE/>
              <w:autoSpaceDN/>
              <w:bidi w:val="0"/>
              <w:adjustRightInd/>
              <w:spacing w:line="400" w:lineRule="exact"/>
              <w:ind w:right="0" w:rightChars="0"/>
              <w:jc w:val="center"/>
              <w:textAlignment w:val="auto"/>
              <w:outlineLvl w:val="9"/>
              <w:rPr>
                <w:rFonts w:hint="eastAsia" w:ascii="宋体" w:hAnsi="宋体" w:eastAsia="宋体" w:cs="宋体"/>
                <w:sz w:val="21"/>
                <w:szCs w:val="21"/>
                <w:highlight w:val="none"/>
                <w:lang w:eastAsia="zh-CN"/>
              </w:rPr>
            </w:pPr>
            <w:r>
              <w:rPr>
                <w:rFonts w:hint="eastAsia" w:ascii="宋体" w:hAnsi="宋体" w:eastAsia="宋体" w:cs="宋体"/>
                <w:color w:val="auto"/>
                <w:sz w:val="21"/>
                <w:szCs w:val="21"/>
                <w:highlight w:val="none"/>
              </w:rPr>
              <w:t>1</w:t>
            </w:r>
            <w:r>
              <w:rPr>
                <w:rFonts w:hint="eastAsia" w:ascii="宋体" w:hAnsi="宋体" w:cs="宋体"/>
                <w:color w:val="auto"/>
                <w:sz w:val="21"/>
                <w:szCs w:val="21"/>
                <w:highlight w:val="none"/>
                <w:lang w:val="en-US" w:eastAsia="zh-CN"/>
              </w:rPr>
              <w:t>4</w:t>
            </w:r>
          </w:p>
        </w:tc>
        <w:tc>
          <w:tcPr>
            <w:tcW w:w="1547" w:type="pct"/>
            <w:vAlign w:val="center"/>
          </w:tcPr>
          <w:p w14:paraId="14297262">
            <w:pPr>
              <w:keepNext w:val="0"/>
              <w:keepLines w:val="0"/>
              <w:pageBreakBefore w:val="0"/>
              <w:widowControl w:val="0"/>
              <w:kinsoku/>
              <w:wordWrap/>
              <w:overflowPunct/>
              <w:topLinePunct w:val="0"/>
              <w:autoSpaceDE/>
              <w:autoSpaceDN/>
              <w:bidi w:val="0"/>
              <w:adjustRightInd/>
              <w:spacing w:line="400" w:lineRule="exact"/>
              <w:ind w:right="0" w:rightChars="0"/>
              <w:jc w:val="center"/>
              <w:textAlignment w:val="auto"/>
              <w:outlineLvl w:val="9"/>
              <w:rPr>
                <w:rFonts w:hint="eastAsia" w:ascii="宋体" w:hAnsi="宋体" w:eastAsia="宋体" w:cs="宋体"/>
                <w:sz w:val="21"/>
                <w:szCs w:val="21"/>
                <w:highlight w:val="none"/>
              </w:rPr>
            </w:pPr>
            <w:r>
              <w:rPr>
                <w:rFonts w:hint="eastAsia" w:ascii="宋体" w:hAnsi="宋体" w:eastAsia="宋体" w:cs="宋体"/>
                <w:color w:val="auto"/>
                <w:sz w:val="21"/>
                <w:szCs w:val="21"/>
                <w:highlight w:val="none"/>
              </w:rPr>
              <w:t>资格证明文件</w:t>
            </w:r>
          </w:p>
        </w:tc>
        <w:tc>
          <w:tcPr>
            <w:tcW w:w="3086" w:type="pct"/>
            <w:vAlign w:val="center"/>
          </w:tcPr>
          <w:p w14:paraId="1391E13E">
            <w:pPr>
              <w:keepNext w:val="0"/>
              <w:keepLines w:val="0"/>
              <w:pageBreakBefore w:val="0"/>
              <w:widowControl w:val="0"/>
              <w:kinsoku/>
              <w:wordWrap/>
              <w:overflowPunct/>
              <w:topLinePunct w:val="0"/>
              <w:autoSpaceDE/>
              <w:autoSpaceDN/>
              <w:bidi w:val="0"/>
              <w:adjustRightInd/>
              <w:spacing w:line="400" w:lineRule="exact"/>
              <w:ind w:right="0" w:rightChars="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（1）在中华人民共和国境内注册，依法取得并有效存续的营业执照（含电子营业执照）/事业单位法人证书/民办非企业单位登记证书/非企业专业服务机构执业许可/自然人的提供身份证明文件。</w:t>
            </w:r>
          </w:p>
          <w:p w14:paraId="60BAEB56">
            <w:pPr>
              <w:keepNext w:val="0"/>
              <w:keepLines w:val="0"/>
              <w:pageBreakBefore w:val="0"/>
              <w:widowControl w:val="0"/>
              <w:kinsoku/>
              <w:wordWrap/>
              <w:overflowPunct/>
              <w:topLinePunct w:val="0"/>
              <w:autoSpaceDE/>
              <w:autoSpaceDN/>
              <w:bidi w:val="0"/>
              <w:adjustRightInd/>
              <w:spacing w:line="400" w:lineRule="exact"/>
              <w:ind w:right="0" w:rightChars="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法定代表人（负责人）参加投标的，须出具法定代表人（负责人）身份证明书及身份证正反两面扫描件或护照资料页扫描件；法定代表人（负责人）授权委托代理人参加投标的，须出具法定代表人（负责人）授权委托书及委托代理人身份证正反两面扫描件或护照资料页扫描件。</w:t>
            </w:r>
          </w:p>
          <w:p w14:paraId="0BB276CF">
            <w:pPr>
              <w:keepNext w:val="0"/>
              <w:keepLines w:val="0"/>
              <w:pageBreakBefore w:val="0"/>
              <w:widowControl w:val="0"/>
              <w:kinsoku/>
              <w:wordWrap/>
              <w:overflowPunct/>
              <w:topLinePunct w:val="0"/>
              <w:autoSpaceDE/>
              <w:autoSpaceDN/>
              <w:bidi w:val="0"/>
              <w:adjustRightInd/>
              <w:spacing w:line="400" w:lineRule="exact"/>
              <w:ind w:right="0" w:rightChars="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财务状况报告：提供2025年度财务审计报告（成立时间至开标时间不足一年的可提供成立后任意时段的资产负债表）；或提供基本存款账户信息及开标日期前三个月内其基本存款账户开户银行出具的资信证明；或财政部门认可的政府采购专业担保机构出具的投标担保函（依法不需要提供财务状况的供应商应提供相关证明）。</w:t>
            </w:r>
          </w:p>
          <w:p w14:paraId="6D97E313">
            <w:pPr>
              <w:keepNext w:val="0"/>
              <w:keepLines w:val="0"/>
              <w:pageBreakBefore w:val="0"/>
              <w:widowControl w:val="0"/>
              <w:kinsoku/>
              <w:wordWrap/>
              <w:overflowPunct/>
              <w:topLinePunct w:val="0"/>
              <w:autoSpaceDE/>
              <w:autoSpaceDN/>
              <w:bidi w:val="0"/>
              <w:adjustRightInd/>
              <w:spacing w:line="400" w:lineRule="exact"/>
              <w:ind w:right="0" w:rightChars="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税收缴纳证明：提供投标响应文件截止时间一年内至少一个月的纳税证明或完税证明（任意税种），纳税证明或完税证明上应有代收机构或税务机关的公章或业务专用章（依法不需要缴纳税收的供应商应提供相关证明）。</w:t>
            </w:r>
          </w:p>
          <w:p w14:paraId="4C06111D">
            <w:pPr>
              <w:keepNext w:val="0"/>
              <w:keepLines w:val="0"/>
              <w:pageBreakBefore w:val="0"/>
              <w:widowControl w:val="0"/>
              <w:kinsoku/>
              <w:wordWrap/>
              <w:overflowPunct/>
              <w:topLinePunct w:val="0"/>
              <w:autoSpaceDE/>
              <w:autoSpaceDN/>
              <w:bidi w:val="0"/>
              <w:adjustRightInd/>
              <w:spacing w:line="400" w:lineRule="exact"/>
              <w:ind w:right="0" w:rightChars="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社会保障资金缴纳证明：提供投标响应文件截止时间一年内至少一个月的社会保障资金缴存单据或社保机构开具的社会保险参保缴费情况证明，单据或证明上应有社保机构或代收机构的公章或业务专用章（依法不需要缴纳社会保障资金的供应商应提供相关证明）。</w:t>
            </w:r>
          </w:p>
          <w:p w14:paraId="4132128E">
            <w:pPr>
              <w:keepNext w:val="0"/>
              <w:keepLines w:val="0"/>
              <w:pageBreakBefore w:val="0"/>
              <w:widowControl w:val="0"/>
              <w:kinsoku/>
              <w:wordWrap/>
              <w:overflowPunct/>
              <w:topLinePunct w:val="0"/>
              <w:autoSpaceDE/>
              <w:autoSpaceDN/>
              <w:bidi w:val="0"/>
              <w:adjustRightInd/>
              <w:spacing w:line="400" w:lineRule="exact"/>
              <w:ind w:right="0" w:rightChars="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（6）具有履行合同所必需的设备和专业技术能力书面声明函。</w:t>
            </w:r>
          </w:p>
          <w:p w14:paraId="0FF56524">
            <w:pPr>
              <w:keepNext w:val="0"/>
              <w:keepLines w:val="0"/>
              <w:pageBreakBefore w:val="0"/>
              <w:widowControl w:val="0"/>
              <w:kinsoku/>
              <w:wordWrap/>
              <w:overflowPunct/>
              <w:topLinePunct w:val="0"/>
              <w:autoSpaceDE/>
              <w:autoSpaceDN/>
              <w:bidi w:val="0"/>
              <w:adjustRightInd/>
              <w:spacing w:line="400" w:lineRule="exact"/>
              <w:ind w:right="0" w:rightChars="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（7）参加政府采购活动前三年内，在经营活动中没有重大违法记录的书面声明。</w:t>
            </w:r>
          </w:p>
          <w:p w14:paraId="24439209">
            <w:pPr>
              <w:keepNext w:val="0"/>
              <w:keepLines w:val="0"/>
              <w:pageBreakBefore w:val="0"/>
              <w:widowControl w:val="0"/>
              <w:kinsoku/>
              <w:wordWrap/>
              <w:overflowPunct/>
              <w:topLinePunct w:val="0"/>
              <w:autoSpaceDE/>
              <w:autoSpaceDN/>
              <w:bidi w:val="0"/>
              <w:adjustRightInd/>
              <w:spacing w:line="400" w:lineRule="exact"/>
              <w:ind w:right="0" w:rightChars="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（8）工业产品厂家须具备《中华人民共和国工业产品生产许可证管理条例实施办法》目录产品生产资质，直接接触食品的材料和相关产品须满足《食品安全法》相关法律法规。</w:t>
            </w:r>
          </w:p>
          <w:p w14:paraId="58BF9934">
            <w:pPr>
              <w:keepNext w:val="0"/>
              <w:keepLines w:val="0"/>
              <w:pageBreakBefore w:val="0"/>
              <w:widowControl w:val="0"/>
              <w:kinsoku/>
              <w:wordWrap/>
              <w:overflowPunct/>
              <w:topLinePunct w:val="0"/>
              <w:autoSpaceDE/>
              <w:autoSpaceDN/>
              <w:bidi w:val="0"/>
              <w:adjustRightInd/>
              <w:spacing w:line="400" w:lineRule="exact"/>
              <w:ind w:right="0" w:rightChars="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（9）本项目不接受联合体投标。</w:t>
            </w:r>
          </w:p>
          <w:p w14:paraId="75564F46">
            <w:pPr>
              <w:keepNext w:val="0"/>
              <w:keepLines w:val="0"/>
              <w:pageBreakBefore w:val="0"/>
              <w:widowControl w:val="0"/>
              <w:kinsoku/>
              <w:wordWrap/>
              <w:overflowPunct/>
              <w:topLinePunct w:val="0"/>
              <w:autoSpaceDE/>
              <w:autoSpaceDN/>
              <w:bidi w:val="0"/>
              <w:adjustRightInd/>
              <w:spacing w:line="400" w:lineRule="exact"/>
              <w:ind w:right="0" w:rightChars="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单位负责人为同一人或者存在直接控股、管理关系的不同供应商，不得参加同一合同项下的政府采购活动。为采购项目提供整体设计、规范编制或者项目管理、监理、检测等服务的供应商，不得再参加该采购项目的其他采购活动。</w:t>
            </w:r>
          </w:p>
          <w:p w14:paraId="66A4A791">
            <w:pPr>
              <w:keepNext w:val="0"/>
              <w:keepLines w:val="0"/>
              <w:pageBreakBefore w:val="0"/>
              <w:widowControl w:val="0"/>
              <w:kinsoku/>
              <w:wordWrap/>
              <w:overflowPunct/>
              <w:topLinePunct w:val="0"/>
              <w:autoSpaceDE/>
              <w:autoSpaceDN/>
              <w:bidi w:val="0"/>
              <w:adjustRightInd/>
              <w:spacing w:line="400" w:lineRule="exact"/>
              <w:ind w:right="0" w:rightChars="0"/>
              <w:textAlignment w:val="auto"/>
              <w:outlineLvl w:val="9"/>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11）本项目专门面向中小企业采购，供应商须提供《中小企业声明函》。供应商为监狱企业的视同小型和微型企业，须提供由省级以上监狱管理局、戒毒管理局(含新疆生产建设兵团)出具的属于监狱企业的证明文件。供应商为残疾人福利性单位的视同小型和微型企业，须提供《残疾人福利性单位声明函》。</w:t>
            </w:r>
            <w:r>
              <w:rPr>
                <w:rFonts w:hint="eastAsia" w:ascii="宋体" w:hAnsi="宋体" w:eastAsia="宋体" w:cs="宋体"/>
                <w:b/>
                <w:bCs/>
                <w:color w:val="auto"/>
                <w:sz w:val="21"/>
                <w:szCs w:val="21"/>
                <w:highlight w:val="none"/>
                <w:lang w:val="en-US" w:eastAsia="zh-CN"/>
              </w:rPr>
              <w:t xml:space="preserve">                                                                                                                                                                             </w:t>
            </w:r>
          </w:p>
        </w:tc>
      </w:tr>
      <w:tr w14:paraId="685F8B8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375" w:hRule="atLeast"/>
        </w:trPr>
        <w:tc>
          <w:tcPr>
            <w:tcW w:w="365" w:type="pct"/>
            <w:vAlign w:val="center"/>
          </w:tcPr>
          <w:p w14:paraId="28BF7154">
            <w:pPr>
              <w:keepNext w:val="0"/>
              <w:keepLines w:val="0"/>
              <w:pageBreakBefore w:val="0"/>
              <w:widowControl w:val="0"/>
              <w:kinsoku/>
              <w:wordWrap/>
              <w:overflowPunct/>
              <w:topLinePunct w:val="0"/>
              <w:autoSpaceDE/>
              <w:autoSpaceDN/>
              <w:bidi w:val="0"/>
              <w:adjustRightInd/>
              <w:spacing w:line="400" w:lineRule="exact"/>
              <w:ind w:right="0" w:rightChars="0"/>
              <w:jc w:val="center"/>
              <w:textAlignment w:val="auto"/>
              <w:outlineLvl w:val="9"/>
              <w:rPr>
                <w:rFonts w:hint="eastAsia" w:ascii="宋体" w:hAnsi="宋体" w:eastAsia="宋体" w:cs="宋体"/>
                <w:sz w:val="21"/>
                <w:szCs w:val="21"/>
                <w:highlight w:val="none"/>
                <w:lang w:val="en-US" w:eastAsia="zh-CN"/>
              </w:rPr>
            </w:pPr>
            <w:r>
              <w:rPr>
                <w:rFonts w:hint="eastAsia" w:ascii="宋体" w:hAnsi="宋体" w:eastAsia="宋体" w:cs="宋体"/>
                <w:color w:val="auto"/>
                <w:sz w:val="21"/>
                <w:szCs w:val="21"/>
                <w:highlight w:val="none"/>
                <w:lang w:val="en-US" w:eastAsia="zh-CN"/>
              </w:rPr>
              <w:t>14</w:t>
            </w:r>
          </w:p>
        </w:tc>
        <w:tc>
          <w:tcPr>
            <w:tcW w:w="1547" w:type="pct"/>
          </w:tcPr>
          <w:p w14:paraId="3CA38F69">
            <w:pPr>
              <w:keepNext w:val="0"/>
              <w:keepLines w:val="0"/>
              <w:pageBreakBefore w:val="0"/>
              <w:widowControl w:val="0"/>
              <w:kinsoku/>
              <w:wordWrap/>
              <w:overflowPunct/>
              <w:topLinePunct w:val="0"/>
              <w:autoSpaceDE/>
              <w:autoSpaceDN/>
              <w:bidi w:val="0"/>
              <w:adjustRightInd/>
              <w:spacing w:line="400" w:lineRule="exact"/>
              <w:ind w:right="0" w:rightChars="0"/>
              <w:jc w:val="center"/>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是否接受联合体投标</w:t>
            </w:r>
          </w:p>
        </w:tc>
        <w:tc>
          <w:tcPr>
            <w:tcW w:w="3086" w:type="pct"/>
            <w:vAlign w:val="center"/>
          </w:tcPr>
          <w:p w14:paraId="2A132A6D">
            <w:pPr>
              <w:keepNext w:val="0"/>
              <w:keepLines w:val="0"/>
              <w:pageBreakBefore w:val="0"/>
              <w:widowControl w:val="0"/>
              <w:kinsoku/>
              <w:wordWrap/>
              <w:overflowPunct/>
              <w:topLinePunct w:val="0"/>
              <w:autoSpaceDE/>
              <w:autoSpaceDN/>
              <w:bidi w:val="0"/>
              <w:adjustRightInd/>
              <w:spacing w:line="400" w:lineRule="exact"/>
              <w:ind w:right="0" w:rightChars="0"/>
              <w:textAlignment w:val="auto"/>
              <w:outlineLvl w:val="9"/>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否</w:t>
            </w:r>
          </w:p>
        </w:tc>
      </w:tr>
      <w:tr w14:paraId="49A4880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81" w:hRule="atLeast"/>
        </w:trPr>
        <w:tc>
          <w:tcPr>
            <w:tcW w:w="365" w:type="pct"/>
            <w:vAlign w:val="center"/>
          </w:tcPr>
          <w:p w14:paraId="63ADCFB9">
            <w:pPr>
              <w:keepNext w:val="0"/>
              <w:keepLines w:val="0"/>
              <w:pageBreakBefore w:val="0"/>
              <w:widowControl w:val="0"/>
              <w:kinsoku/>
              <w:wordWrap/>
              <w:overflowPunct/>
              <w:topLinePunct w:val="0"/>
              <w:autoSpaceDE/>
              <w:autoSpaceDN/>
              <w:bidi w:val="0"/>
              <w:adjustRightInd/>
              <w:spacing w:line="400" w:lineRule="exact"/>
              <w:ind w:right="0" w:rightChars="0"/>
              <w:jc w:val="center"/>
              <w:textAlignment w:val="auto"/>
              <w:outlineLvl w:val="9"/>
              <w:rPr>
                <w:rFonts w:hint="eastAsia" w:ascii="宋体" w:hAnsi="宋体" w:eastAsia="宋体" w:cs="宋体"/>
                <w:sz w:val="21"/>
                <w:szCs w:val="21"/>
                <w:highlight w:val="none"/>
                <w:lang w:val="en-US" w:eastAsia="zh-CN"/>
              </w:rPr>
            </w:pPr>
            <w:r>
              <w:rPr>
                <w:rFonts w:hint="eastAsia" w:ascii="宋体" w:hAnsi="宋体" w:eastAsia="宋体" w:cs="宋体"/>
                <w:color w:val="auto"/>
                <w:sz w:val="21"/>
                <w:szCs w:val="21"/>
                <w:highlight w:val="none"/>
                <w:lang w:val="en-US" w:eastAsia="zh-CN"/>
              </w:rPr>
              <w:t>15</w:t>
            </w:r>
          </w:p>
        </w:tc>
        <w:tc>
          <w:tcPr>
            <w:tcW w:w="1547" w:type="pct"/>
            <w:vAlign w:val="center"/>
          </w:tcPr>
          <w:p w14:paraId="06923A7D">
            <w:pPr>
              <w:keepNext w:val="0"/>
              <w:keepLines w:val="0"/>
              <w:pageBreakBefore w:val="0"/>
              <w:widowControl w:val="0"/>
              <w:kinsoku/>
              <w:wordWrap/>
              <w:overflowPunct/>
              <w:topLinePunct w:val="0"/>
              <w:autoSpaceDE/>
              <w:autoSpaceDN/>
              <w:bidi w:val="0"/>
              <w:adjustRightInd/>
              <w:spacing w:line="400" w:lineRule="exact"/>
              <w:ind w:right="0" w:rightChars="0"/>
              <w:jc w:val="center"/>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现场踏勘及答疑</w:t>
            </w:r>
          </w:p>
        </w:tc>
        <w:tc>
          <w:tcPr>
            <w:tcW w:w="3086" w:type="pct"/>
            <w:vAlign w:val="center"/>
          </w:tcPr>
          <w:p w14:paraId="3F7F7A45">
            <w:pPr>
              <w:keepNext w:val="0"/>
              <w:keepLines w:val="0"/>
              <w:pageBreakBefore w:val="0"/>
              <w:widowControl w:val="0"/>
              <w:kinsoku/>
              <w:wordWrap/>
              <w:overflowPunct/>
              <w:topLinePunct w:val="0"/>
              <w:autoSpaceDE/>
              <w:autoSpaceDN/>
              <w:bidi w:val="0"/>
              <w:adjustRightInd/>
              <w:spacing w:line="400" w:lineRule="exact"/>
              <w:ind w:right="0" w:rightChars="0"/>
              <w:textAlignment w:val="auto"/>
              <w:outlineLvl w:val="9"/>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不组织</w:t>
            </w:r>
          </w:p>
        </w:tc>
      </w:tr>
      <w:tr w14:paraId="529CC01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2080" w:hRule="atLeast"/>
        </w:trPr>
        <w:tc>
          <w:tcPr>
            <w:tcW w:w="365" w:type="pct"/>
            <w:vAlign w:val="center"/>
          </w:tcPr>
          <w:p w14:paraId="1CAB60A3">
            <w:pPr>
              <w:keepNext w:val="0"/>
              <w:keepLines w:val="0"/>
              <w:pageBreakBefore w:val="0"/>
              <w:widowControl w:val="0"/>
              <w:kinsoku/>
              <w:wordWrap/>
              <w:overflowPunct/>
              <w:topLinePunct w:val="0"/>
              <w:autoSpaceDE/>
              <w:autoSpaceDN/>
              <w:bidi w:val="0"/>
              <w:adjustRightInd/>
              <w:spacing w:line="400" w:lineRule="exact"/>
              <w:ind w:right="0" w:rightChars="0"/>
              <w:jc w:val="center"/>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16</w:t>
            </w:r>
          </w:p>
        </w:tc>
        <w:tc>
          <w:tcPr>
            <w:tcW w:w="1547" w:type="pct"/>
            <w:vAlign w:val="center"/>
          </w:tcPr>
          <w:p w14:paraId="21A68C97">
            <w:pPr>
              <w:keepNext w:val="0"/>
              <w:keepLines w:val="0"/>
              <w:pageBreakBefore w:val="0"/>
              <w:widowControl w:val="0"/>
              <w:kinsoku/>
              <w:wordWrap/>
              <w:overflowPunct/>
              <w:topLinePunct w:val="0"/>
              <w:autoSpaceDE/>
              <w:autoSpaceDN/>
              <w:bidi w:val="0"/>
              <w:adjustRightInd/>
              <w:spacing w:line="400" w:lineRule="exact"/>
              <w:ind w:right="0" w:rightChars="0"/>
              <w:jc w:val="center"/>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投标人</w:t>
            </w:r>
            <w:r>
              <w:rPr>
                <w:rFonts w:hint="eastAsia" w:ascii="宋体" w:hAnsi="宋体" w:eastAsia="宋体" w:cs="宋体"/>
                <w:color w:val="auto"/>
                <w:sz w:val="21"/>
                <w:szCs w:val="21"/>
                <w:highlight w:val="none"/>
              </w:rPr>
              <w:t>提出询问和质疑的时间</w:t>
            </w:r>
          </w:p>
        </w:tc>
        <w:tc>
          <w:tcPr>
            <w:tcW w:w="3086" w:type="pct"/>
            <w:vAlign w:val="center"/>
          </w:tcPr>
          <w:p w14:paraId="3DBE6607">
            <w:pPr>
              <w:keepNext w:val="0"/>
              <w:keepLines w:val="0"/>
              <w:pageBreakBefore w:val="0"/>
              <w:widowControl w:val="0"/>
              <w:kinsoku/>
              <w:wordWrap/>
              <w:overflowPunct/>
              <w:topLinePunct w:val="0"/>
              <w:autoSpaceDE/>
              <w:autoSpaceDN/>
              <w:bidi w:val="0"/>
              <w:adjustRightInd/>
              <w:spacing w:line="400" w:lineRule="exact"/>
              <w:ind w:right="0" w:rightChars="0"/>
              <w:textAlignment w:val="auto"/>
              <w:outlineLvl w:val="9"/>
              <w:rPr>
                <w:rFonts w:hint="eastAsia" w:ascii="宋体" w:hAnsi="宋体" w:eastAsia="宋体" w:cs="宋体"/>
                <w:snapToGrid w:val="0"/>
                <w:color w:val="auto"/>
                <w:sz w:val="21"/>
                <w:szCs w:val="21"/>
                <w:highlight w:val="none"/>
                <w:lang w:eastAsia="zh-CN"/>
              </w:rPr>
            </w:pPr>
            <w:r>
              <w:rPr>
                <w:rFonts w:hint="eastAsia" w:ascii="宋体" w:hAnsi="宋体" w:eastAsia="宋体" w:cs="宋体"/>
                <w:snapToGrid w:val="0"/>
                <w:color w:val="auto"/>
                <w:sz w:val="21"/>
                <w:szCs w:val="21"/>
                <w:highlight w:val="none"/>
                <w:lang w:eastAsia="zh-CN"/>
              </w:rPr>
              <w:t>已经</w:t>
            </w:r>
            <w:r>
              <w:rPr>
                <w:rFonts w:hint="eastAsia" w:ascii="宋体" w:hAnsi="宋体" w:cs="宋体"/>
                <w:snapToGrid w:val="0"/>
                <w:color w:val="auto"/>
                <w:sz w:val="21"/>
                <w:szCs w:val="21"/>
                <w:highlight w:val="none"/>
                <w:lang w:val="en-US" w:eastAsia="zh-CN"/>
              </w:rPr>
              <w:t>获取</w:t>
            </w:r>
            <w:r>
              <w:rPr>
                <w:rFonts w:hint="eastAsia" w:ascii="宋体" w:hAnsi="宋体" w:eastAsia="宋体" w:cs="宋体"/>
                <w:snapToGrid w:val="0"/>
                <w:color w:val="auto"/>
                <w:sz w:val="21"/>
                <w:szCs w:val="21"/>
                <w:highlight w:val="none"/>
                <w:lang w:eastAsia="zh-CN"/>
              </w:rPr>
              <w:t>招标文件的投标人对招标文件有询问或者质疑的，可以在本项目采购文件公告期限届满之日起</w:t>
            </w:r>
            <w:r>
              <w:rPr>
                <w:rFonts w:hint="eastAsia" w:ascii="宋体" w:hAnsi="宋体" w:eastAsia="宋体" w:cs="宋体"/>
                <w:snapToGrid w:val="0"/>
                <w:color w:val="auto"/>
                <w:sz w:val="21"/>
                <w:szCs w:val="21"/>
                <w:highlight w:val="none"/>
                <w:lang w:val="en-US" w:eastAsia="zh-CN"/>
              </w:rPr>
              <w:t>7</w:t>
            </w:r>
            <w:r>
              <w:rPr>
                <w:rFonts w:hint="eastAsia" w:ascii="宋体" w:hAnsi="宋体" w:eastAsia="宋体" w:cs="宋体"/>
                <w:snapToGrid w:val="0"/>
                <w:color w:val="auto"/>
                <w:sz w:val="21"/>
                <w:szCs w:val="21"/>
                <w:highlight w:val="none"/>
                <w:lang w:eastAsia="zh-CN"/>
              </w:rPr>
              <w:t>个工作日内，以书面形式</w:t>
            </w:r>
            <w:r>
              <w:rPr>
                <w:rFonts w:hint="eastAsia" w:ascii="宋体" w:hAnsi="宋体" w:eastAsia="宋体" w:cs="宋体"/>
                <w:snapToGrid w:val="0"/>
                <w:color w:val="auto"/>
                <w:sz w:val="21"/>
                <w:szCs w:val="21"/>
                <w:highlight w:val="none"/>
              </w:rPr>
              <w:t>（陕西省政府采购网上政府采购</w:t>
            </w:r>
            <w:r>
              <w:rPr>
                <w:rFonts w:hint="eastAsia" w:ascii="宋体" w:hAnsi="宋体" w:eastAsia="宋体" w:cs="宋体"/>
                <w:snapToGrid w:val="0"/>
                <w:color w:val="auto"/>
                <w:sz w:val="21"/>
                <w:szCs w:val="21"/>
                <w:highlight w:val="none"/>
                <w:lang w:eastAsia="zh-CN"/>
              </w:rPr>
              <w:t>投标人</w:t>
            </w:r>
            <w:r>
              <w:rPr>
                <w:rFonts w:hint="eastAsia" w:ascii="宋体" w:hAnsi="宋体" w:eastAsia="宋体" w:cs="宋体"/>
                <w:snapToGrid w:val="0"/>
                <w:color w:val="auto"/>
                <w:sz w:val="21"/>
                <w:szCs w:val="21"/>
                <w:highlight w:val="none"/>
              </w:rPr>
              <w:t>质疑函范本</w:t>
            </w:r>
            <w:r>
              <w:rPr>
                <w:rFonts w:hint="eastAsia" w:ascii="宋体" w:hAnsi="宋体" w:eastAsia="宋体" w:cs="宋体"/>
                <w:snapToGrid w:val="0"/>
                <w:color w:val="auto"/>
                <w:sz w:val="21"/>
                <w:szCs w:val="21"/>
                <w:highlight w:val="none"/>
                <w:lang w:eastAsia="zh-CN"/>
              </w:rPr>
              <w:t>）一次性向采购代理机构提出，在此之后提出的询问和质疑均为无效，采购代理机构不予受理。</w:t>
            </w:r>
          </w:p>
        </w:tc>
      </w:tr>
      <w:tr w14:paraId="1250A9A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13" w:hRule="atLeast"/>
        </w:trPr>
        <w:tc>
          <w:tcPr>
            <w:tcW w:w="365" w:type="pct"/>
            <w:vAlign w:val="center"/>
          </w:tcPr>
          <w:p w14:paraId="38481A62">
            <w:pPr>
              <w:keepNext w:val="0"/>
              <w:keepLines w:val="0"/>
              <w:pageBreakBefore w:val="0"/>
              <w:widowControl w:val="0"/>
              <w:kinsoku/>
              <w:wordWrap/>
              <w:overflowPunct/>
              <w:topLinePunct w:val="0"/>
              <w:autoSpaceDE/>
              <w:autoSpaceDN/>
              <w:bidi w:val="0"/>
              <w:adjustRightInd/>
              <w:spacing w:line="400" w:lineRule="exact"/>
              <w:ind w:right="0" w:rightChars="0"/>
              <w:jc w:val="center"/>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17</w:t>
            </w:r>
          </w:p>
        </w:tc>
        <w:tc>
          <w:tcPr>
            <w:tcW w:w="1547" w:type="pct"/>
            <w:vAlign w:val="center"/>
          </w:tcPr>
          <w:p w14:paraId="4CA0A5D4">
            <w:pPr>
              <w:keepNext w:val="0"/>
              <w:keepLines w:val="0"/>
              <w:pageBreakBefore w:val="0"/>
              <w:widowControl w:val="0"/>
              <w:kinsoku/>
              <w:wordWrap/>
              <w:overflowPunct/>
              <w:topLinePunct w:val="0"/>
              <w:autoSpaceDE/>
              <w:autoSpaceDN/>
              <w:bidi w:val="0"/>
              <w:adjustRightInd/>
              <w:spacing w:line="400" w:lineRule="exact"/>
              <w:ind w:right="0" w:rightChars="0"/>
              <w:jc w:val="center"/>
              <w:textAlignment w:val="auto"/>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采购代理机构答疑的时间</w:t>
            </w:r>
          </w:p>
        </w:tc>
        <w:tc>
          <w:tcPr>
            <w:tcW w:w="3086" w:type="pct"/>
            <w:vAlign w:val="center"/>
          </w:tcPr>
          <w:p w14:paraId="4D3A9CCE">
            <w:pPr>
              <w:keepNext w:val="0"/>
              <w:keepLines w:val="0"/>
              <w:pageBreakBefore w:val="0"/>
              <w:widowControl w:val="0"/>
              <w:kinsoku/>
              <w:wordWrap/>
              <w:overflowPunct/>
              <w:topLinePunct w:val="0"/>
              <w:autoSpaceDE/>
              <w:autoSpaceDN/>
              <w:bidi w:val="0"/>
              <w:adjustRightInd/>
              <w:spacing w:line="400" w:lineRule="exact"/>
              <w:ind w:right="0" w:rightChars="0"/>
              <w:textAlignment w:val="auto"/>
              <w:outlineLvl w:val="9"/>
              <w:rPr>
                <w:rFonts w:hint="eastAsia" w:ascii="宋体" w:hAnsi="宋体" w:eastAsia="宋体" w:cs="宋体"/>
                <w:snapToGrid w:val="0"/>
                <w:color w:val="auto"/>
                <w:sz w:val="21"/>
                <w:szCs w:val="21"/>
                <w:highlight w:val="none"/>
                <w:lang w:eastAsia="zh-CN"/>
              </w:rPr>
            </w:pPr>
            <w:r>
              <w:rPr>
                <w:rFonts w:hint="eastAsia" w:ascii="宋体" w:hAnsi="宋体" w:eastAsia="宋体" w:cs="宋体"/>
                <w:snapToGrid w:val="0"/>
                <w:color w:val="auto"/>
                <w:sz w:val="21"/>
                <w:szCs w:val="21"/>
                <w:highlight w:val="none"/>
                <w:lang w:eastAsia="zh-CN"/>
              </w:rPr>
              <w:t>对于投标人在规定时间内依法提出的询问和质疑，采购代理机构将在</w:t>
            </w:r>
            <w:r>
              <w:rPr>
                <w:rFonts w:hint="eastAsia" w:ascii="宋体" w:hAnsi="宋体" w:cs="宋体"/>
                <w:snapToGrid w:val="0"/>
                <w:color w:val="auto"/>
                <w:sz w:val="21"/>
                <w:szCs w:val="21"/>
                <w:highlight w:val="none"/>
                <w:lang w:val="en-US" w:eastAsia="zh-CN"/>
              </w:rPr>
              <w:t>3</w:t>
            </w:r>
            <w:r>
              <w:rPr>
                <w:rFonts w:hint="eastAsia" w:ascii="宋体" w:hAnsi="宋体" w:eastAsia="宋体" w:cs="宋体"/>
                <w:snapToGrid w:val="0"/>
                <w:color w:val="auto"/>
                <w:sz w:val="21"/>
                <w:szCs w:val="21"/>
                <w:highlight w:val="none"/>
                <w:lang w:eastAsia="zh-CN"/>
              </w:rPr>
              <w:t>个工作日内答复询问，</w:t>
            </w:r>
            <w:r>
              <w:rPr>
                <w:rFonts w:hint="eastAsia" w:ascii="宋体" w:hAnsi="宋体" w:cs="宋体"/>
                <w:snapToGrid w:val="0"/>
                <w:color w:val="auto"/>
                <w:sz w:val="21"/>
                <w:szCs w:val="21"/>
                <w:highlight w:val="none"/>
                <w:lang w:val="en-US" w:eastAsia="zh-CN"/>
              </w:rPr>
              <w:t>7</w:t>
            </w:r>
            <w:r>
              <w:rPr>
                <w:rFonts w:hint="eastAsia" w:ascii="宋体" w:hAnsi="宋体" w:eastAsia="宋体" w:cs="宋体"/>
                <w:snapToGrid w:val="0"/>
                <w:color w:val="auto"/>
                <w:sz w:val="21"/>
                <w:szCs w:val="21"/>
                <w:highlight w:val="none"/>
                <w:lang w:eastAsia="zh-CN"/>
              </w:rPr>
              <w:t>个工作日内答复质疑。若对招标文件做出实质性变动，则按照相关规定延长投标截止时间。</w:t>
            </w:r>
          </w:p>
        </w:tc>
      </w:tr>
      <w:tr w14:paraId="423D5A5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c>
          <w:tcPr>
            <w:tcW w:w="365" w:type="pct"/>
            <w:vAlign w:val="center"/>
          </w:tcPr>
          <w:p w14:paraId="19BBB225">
            <w:pPr>
              <w:keepNext w:val="0"/>
              <w:keepLines w:val="0"/>
              <w:pageBreakBefore w:val="0"/>
              <w:widowControl w:val="0"/>
              <w:kinsoku/>
              <w:wordWrap/>
              <w:overflowPunct/>
              <w:topLinePunct w:val="0"/>
              <w:autoSpaceDE/>
              <w:autoSpaceDN/>
              <w:bidi w:val="0"/>
              <w:adjustRightInd/>
              <w:spacing w:line="400" w:lineRule="exact"/>
              <w:ind w:right="0" w:rightChars="0"/>
              <w:jc w:val="center"/>
              <w:textAlignment w:val="auto"/>
              <w:outlineLvl w:val="9"/>
              <w:rPr>
                <w:rFonts w:hint="eastAsia" w:ascii="宋体" w:hAnsi="宋体" w:eastAsia="宋体" w:cs="宋体"/>
                <w:sz w:val="21"/>
                <w:szCs w:val="21"/>
                <w:highlight w:val="none"/>
              </w:rPr>
            </w:pPr>
            <w:r>
              <w:rPr>
                <w:rFonts w:hint="eastAsia" w:ascii="宋体" w:hAnsi="宋体" w:eastAsia="宋体" w:cs="宋体"/>
                <w:color w:val="auto"/>
                <w:sz w:val="21"/>
                <w:szCs w:val="21"/>
                <w:highlight w:val="none"/>
                <w:lang w:val="en-US" w:eastAsia="zh-CN"/>
              </w:rPr>
              <w:t>18</w:t>
            </w:r>
          </w:p>
        </w:tc>
        <w:tc>
          <w:tcPr>
            <w:tcW w:w="1547" w:type="pct"/>
            <w:vAlign w:val="center"/>
          </w:tcPr>
          <w:p w14:paraId="432C2C53">
            <w:pPr>
              <w:keepNext w:val="0"/>
              <w:keepLines w:val="0"/>
              <w:pageBreakBefore w:val="0"/>
              <w:widowControl w:val="0"/>
              <w:kinsoku/>
              <w:wordWrap/>
              <w:overflowPunct/>
              <w:topLinePunct w:val="0"/>
              <w:autoSpaceDE/>
              <w:autoSpaceDN/>
              <w:bidi w:val="0"/>
              <w:adjustRightInd/>
              <w:spacing w:line="400" w:lineRule="exact"/>
              <w:ind w:right="0" w:rightChars="0"/>
              <w:jc w:val="center"/>
              <w:textAlignment w:val="auto"/>
              <w:outlineLvl w:val="9"/>
              <w:rPr>
                <w:rFonts w:hint="eastAsia" w:ascii="宋体" w:hAnsi="宋体" w:eastAsia="宋体" w:cs="宋体"/>
                <w:sz w:val="21"/>
                <w:szCs w:val="21"/>
                <w:highlight w:val="none"/>
              </w:rPr>
            </w:pPr>
            <w:r>
              <w:rPr>
                <w:rFonts w:hint="eastAsia" w:ascii="宋体" w:hAnsi="宋体" w:eastAsia="宋体" w:cs="宋体"/>
                <w:color w:val="auto"/>
                <w:sz w:val="21"/>
                <w:szCs w:val="21"/>
                <w:highlight w:val="none"/>
              </w:rPr>
              <w:t>投标有效期</w:t>
            </w:r>
          </w:p>
        </w:tc>
        <w:tc>
          <w:tcPr>
            <w:tcW w:w="3086" w:type="pct"/>
            <w:vAlign w:val="center"/>
          </w:tcPr>
          <w:p w14:paraId="31AE9424">
            <w:pPr>
              <w:keepNext w:val="0"/>
              <w:keepLines w:val="0"/>
              <w:pageBreakBefore w:val="0"/>
              <w:widowControl w:val="0"/>
              <w:kinsoku/>
              <w:wordWrap/>
              <w:overflowPunct/>
              <w:topLinePunct w:val="0"/>
              <w:autoSpaceDE/>
              <w:autoSpaceDN/>
              <w:bidi w:val="0"/>
              <w:adjustRightInd/>
              <w:spacing w:line="400" w:lineRule="exact"/>
              <w:ind w:right="0" w:rightChars="0"/>
              <w:textAlignment w:val="auto"/>
              <w:outlineLvl w:val="9"/>
              <w:rPr>
                <w:rFonts w:hint="eastAsia" w:ascii="宋体" w:hAnsi="宋体" w:eastAsia="宋体" w:cs="宋体"/>
                <w:sz w:val="21"/>
                <w:szCs w:val="21"/>
                <w:highlight w:val="none"/>
              </w:rPr>
            </w:pPr>
            <w:r>
              <w:rPr>
                <w:rFonts w:hint="eastAsia" w:ascii="宋体" w:hAnsi="宋体" w:eastAsia="宋体" w:cs="宋体"/>
                <w:color w:val="auto"/>
                <w:sz w:val="21"/>
                <w:szCs w:val="21"/>
                <w:highlight w:val="none"/>
              </w:rPr>
              <w:t>90个日历日（从</w:t>
            </w:r>
            <w:r>
              <w:rPr>
                <w:rFonts w:hint="eastAsia" w:ascii="宋体" w:hAnsi="宋体" w:eastAsia="宋体" w:cs="宋体"/>
                <w:color w:val="auto"/>
                <w:sz w:val="21"/>
                <w:szCs w:val="21"/>
                <w:highlight w:val="none"/>
                <w:lang w:eastAsia="zh-CN"/>
              </w:rPr>
              <w:t>提交</w:t>
            </w:r>
            <w:r>
              <w:rPr>
                <w:rFonts w:hint="eastAsia" w:ascii="宋体" w:hAnsi="宋体" w:eastAsia="宋体" w:cs="宋体"/>
                <w:color w:val="auto"/>
                <w:sz w:val="21"/>
                <w:szCs w:val="21"/>
                <w:highlight w:val="none"/>
              </w:rPr>
              <w:t>投标</w:t>
            </w:r>
            <w:r>
              <w:rPr>
                <w:rFonts w:hint="eastAsia" w:ascii="宋体" w:hAnsi="宋体" w:eastAsia="宋体" w:cs="宋体"/>
                <w:color w:val="auto"/>
                <w:sz w:val="21"/>
                <w:szCs w:val="21"/>
                <w:highlight w:val="none"/>
                <w:lang w:eastAsia="zh-CN"/>
              </w:rPr>
              <w:t>文件</w:t>
            </w:r>
            <w:r>
              <w:rPr>
                <w:rFonts w:hint="eastAsia" w:ascii="宋体" w:hAnsi="宋体" w:eastAsia="宋体" w:cs="宋体"/>
                <w:color w:val="auto"/>
                <w:sz w:val="21"/>
                <w:szCs w:val="21"/>
                <w:highlight w:val="none"/>
              </w:rPr>
              <w:t>截止之日算起）</w:t>
            </w:r>
          </w:p>
        </w:tc>
      </w:tr>
      <w:tr w14:paraId="4D756C5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c>
          <w:tcPr>
            <w:tcW w:w="365" w:type="pct"/>
            <w:vAlign w:val="center"/>
          </w:tcPr>
          <w:p w14:paraId="084ABC58">
            <w:pPr>
              <w:keepNext w:val="0"/>
              <w:keepLines w:val="0"/>
              <w:pageBreakBefore w:val="0"/>
              <w:widowControl w:val="0"/>
              <w:kinsoku/>
              <w:wordWrap/>
              <w:overflowPunct/>
              <w:topLinePunct w:val="0"/>
              <w:autoSpaceDE/>
              <w:autoSpaceDN/>
              <w:bidi w:val="0"/>
              <w:adjustRightInd/>
              <w:spacing w:line="400" w:lineRule="exact"/>
              <w:ind w:right="0" w:rightChars="0"/>
              <w:jc w:val="center"/>
              <w:textAlignment w:val="auto"/>
              <w:outlineLvl w:val="9"/>
              <w:rPr>
                <w:rFonts w:hint="eastAsia" w:ascii="宋体" w:hAnsi="宋体" w:eastAsia="宋体" w:cs="宋体"/>
                <w:sz w:val="21"/>
                <w:szCs w:val="21"/>
                <w:highlight w:val="none"/>
              </w:rPr>
            </w:pPr>
            <w:r>
              <w:rPr>
                <w:rFonts w:hint="eastAsia" w:ascii="宋体" w:hAnsi="宋体" w:eastAsia="宋体" w:cs="宋体"/>
                <w:color w:val="auto"/>
                <w:sz w:val="21"/>
                <w:szCs w:val="21"/>
                <w:highlight w:val="none"/>
                <w:lang w:val="en-US" w:eastAsia="zh-CN"/>
              </w:rPr>
              <w:t>19</w:t>
            </w:r>
          </w:p>
        </w:tc>
        <w:tc>
          <w:tcPr>
            <w:tcW w:w="1547" w:type="pct"/>
            <w:vAlign w:val="center"/>
          </w:tcPr>
          <w:p w14:paraId="362C4E1D">
            <w:pPr>
              <w:keepNext w:val="0"/>
              <w:keepLines w:val="0"/>
              <w:pageBreakBefore w:val="0"/>
              <w:widowControl w:val="0"/>
              <w:kinsoku/>
              <w:wordWrap/>
              <w:overflowPunct/>
              <w:topLinePunct w:val="0"/>
              <w:autoSpaceDE/>
              <w:autoSpaceDN/>
              <w:bidi w:val="0"/>
              <w:adjustRightInd/>
              <w:spacing w:line="400" w:lineRule="exact"/>
              <w:ind w:right="0" w:rightChars="0"/>
              <w:jc w:val="center"/>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转包与分包履约</w:t>
            </w:r>
          </w:p>
        </w:tc>
        <w:tc>
          <w:tcPr>
            <w:tcW w:w="3086" w:type="pct"/>
            <w:vAlign w:val="center"/>
          </w:tcPr>
          <w:p w14:paraId="06BB7AB9">
            <w:pPr>
              <w:keepNext w:val="0"/>
              <w:keepLines w:val="0"/>
              <w:pageBreakBefore w:val="0"/>
              <w:widowControl w:val="0"/>
              <w:kinsoku/>
              <w:wordWrap/>
              <w:overflowPunct/>
              <w:topLinePunct w:val="0"/>
              <w:autoSpaceDE/>
              <w:autoSpaceDN/>
              <w:bidi w:val="0"/>
              <w:adjustRightInd/>
              <w:spacing w:line="400" w:lineRule="exact"/>
              <w:ind w:right="0" w:rightChars="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000000"/>
                <w:sz w:val="21"/>
                <w:szCs w:val="21"/>
                <w:highlight w:val="none"/>
                <w:lang w:val="en-US" w:eastAsia="zh-CN"/>
              </w:rPr>
              <w:t>本项目不允许采取转包</w:t>
            </w:r>
            <w:r>
              <w:rPr>
                <w:rFonts w:hint="eastAsia" w:ascii="宋体" w:hAnsi="宋体" w:cs="宋体"/>
                <w:color w:val="000000"/>
                <w:sz w:val="21"/>
                <w:szCs w:val="21"/>
                <w:highlight w:val="none"/>
                <w:lang w:val="en-US" w:eastAsia="zh-CN"/>
              </w:rPr>
              <w:t>与分包</w:t>
            </w:r>
            <w:r>
              <w:rPr>
                <w:rFonts w:hint="eastAsia" w:ascii="宋体" w:hAnsi="宋体" w:eastAsia="宋体" w:cs="宋体"/>
                <w:color w:val="000000"/>
                <w:sz w:val="21"/>
                <w:szCs w:val="21"/>
                <w:highlight w:val="none"/>
                <w:lang w:val="en-US" w:eastAsia="zh-CN"/>
              </w:rPr>
              <w:t>方式履行合同</w:t>
            </w:r>
            <w:r>
              <w:rPr>
                <w:rFonts w:hint="eastAsia" w:ascii="宋体" w:hAnsi="宋体" w:eastAsia="宋体" w:cs="宋体"/>
                <w:color w:val="auto"/>
                <w:sz w:val="21"/>
                <w:szCs w:val="21"/>
                <w:highlight w:val="none"/>
              </w:rPr>
              <w:t>。</w:t>
            </w:r>
          </w:p>
        </w:tc>
      </w:tr>
      <w:tr w14:paraId="579B445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669" w:hRule="atLeast"/>
        </w:trPr>
        <w:tc>
          <w:tcPr>
            <w:tcW w:w="365" w:type="pct"/>
            <w:vAlign w:val="center"/>
          </w:tcPr>
          <w:p w14:paraId="12FAE6D5">
            <w:pPr>
              <w:keepNext w:val="0"/>
              <w:keepLines w:val="0"/>
              <w:pageBreakBefore w:val="0"/>
              <w:widowControl w:val="0"/>
              <w:kinsoku/>
              <w:wordWrap/>
              <w:overflowPunct/>
              <w:topLinePunct w:val="0"/>
              <w:autoSpaceDE/>
              <w:autoSpaceDN/>
              <w:bidi w:val="0"/>
              <w:adjustRightInd/>
              <w:spacing w:line="400" w:lineRule="exact"/>
              <w:ind w:right="0" w:rightChars="0"/>
              <w:jc w:val="center"/>
              <w:textAlignment w:val="auto"/>
              <w:outlineLvl w:val="9"/>
              <w:rPr>
                <w:rFonts w:hint="eastAsia" w:ascii="宋体" w:hAnsi="宋体" w:eastAsia="宋体" w:cs="宋体"/>
                <w:sz w:val="21"/>
                <w:szCs w:val="21"/>
                <w:highlight w:val="none"/>
                <w:lang w:val="en-US" w:eastAsia="zh-CN"/>
              </w:rPr>
            </w:pPr>
            <w:r>
              <w:rPr>
                <w:rFonts w:hint="eastAsia" w:ascii="宋体" w:hAnsi="宋体" w:eastAsia="宋体" w:cs="宋体"/>
                <w:color w:val="auto"/>
                <w:sz w:val="21"/>
                <w:szCs w:val="21"/>
                <w:highlight w:val="none"/>
                <w:lang w:val="en-US" w:eastAsia="zh-CN"/>
              </w:rPr>
              <w:t>20</w:t>
            </w:r>
          </w:p>
        </w:tc>
        <w:tc>
          <w:tcPr>
            <w:tcW w:w="1547" w:type="pct"/>
            <w:vAlign w:val="center"/>
          </w:tcPr>
          <w:p w14:paraId="28A7489B">
            <w:pPr>
              <w:keepNext w:val="0"/>
              <w:keepLines w:val="0"/>
              <w:pageBreakBefore w:val="0"/>
              <w:widowControl w:val="0"/>
              <w:kinsoku/>
              <w:wordWrap/>
              <w:overflowPunct/>
              <w:topLinePunct w:val="0"/>
              <w:autoSpaceDE/>
              <w:autoSpaceDN/>
              <w:bidi w:val="0"/>
              <w:adjustRightInd/>
              <w:spacing w:line="400" w:lineRule="exact"/>
              <w:ind w:right="0" w:rightChars="0"/>
              <w:jc w:val="center"/>
              <w:textAlignment w:val="auto"/>
              <w:outlineLvl w:val="9"/>
              <w:rPr>
                <w:rFonts w:hint="eastAsia" w:ascii="宋体" w:hAnsi="宋体" w:eastAsia="宋体" w:cs="宋体"/>
                <w:sz w:val="21"/>
                <w:szCs w:val="21"/>
                <w:highlight w:val="none"/>
                <w:lang w:eastAsia="zh-CN"/>
              </w:rPr>
            </w:pPr>
            <w:r>
              <w:rPr>
                <w:rFonts w:hint="eastAsia" w:ascii="宋体" w:hAnsi="宋体" w:eastAsia="宋体" w:cs="宋体"/>
                <w:color w:val="auto"/>
                <w:sz w:val="21"/>
                <w:szCs w:val="21"/>
                <w:highlight w:val="none"/>
              </w:rPr>
              <w:t>投标保证金金额及递交时间</w:t>
            </w:r>
          </w:p>
        </w:tc>
        <w:tc>
          <w:tcPr>
            <w:tcW w:w="3086" w:type="pct"/>
            <w:vAlign w:val="center"/>
          </w:tcPr>
          <w:p w14:paraId="3B730556">
            <w:pPr>
              <w:keepNext w:val="0"/>
              <w:keepLines w:val="0"/>
              <w:pageBreakBefore w:val="0"/>
              <w:widowControl w:val="0"/>
              <w:kinsoku/>
              <w:wordWrap/>
              <w:overflowPunct/>
              <w:topLinePunct w:val="0"/>
              <w:autoSpaceDE/>
              <w:autoSpaceDN/>
              <w:bidi w:val="0"/>
              <w:adjustRightInd/>
              <w:spacing w:line="400" w:lineRule="exact"/>
              <w:ind w:right="0" w:rightChars="0"/>
              <w:textAlignment w:val="auto"/>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本项目不收取投标保证金。</w:t>
            </w:r>
          </w:p>
        </w:tc>
      </w:tr>
      <w:tr w14:paraId="29A8DD9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90" w:hRule="atLeast"/>
        </w:trPr>
        <w:tc>
          <w:tcPr>
            <w:tcW w:w="365" w:type="pct"/>
            <w:vAlign w:val="center"/>
          </w:tcPr>
          <w:p w14:paraId="59EAC9BB">
            <w:pPr>
              <w:keepNext w:val="0"/>
              <w:keepLines w:val="0"/>
              <w:pageBreakBefore w:val="0"/>
              <w:widowControl w:val="0"/>
              <w:kinsoku/>
              <w:wordWrap/>
              <w:overflowPunct/>
              <w:topLinePunct w:val="0"/>
              <w:autoSpaceDE/>
              <w:autoSpaceDN/>
              <w:bidi w:val="0"/>
              <w:adjustRightInd/>
              <w:spacing w:line="400" w:lineRule="exact"/>
              <w:ind w:right="0" w:rightChars="0"/>
              <w:jc w:val="center"/>
              <w:textAlignment w:val="auto"/>
              <w:outlineLvl w:val="9"/>
              <w:rPr>
                <w:rFonts w:hint="eastAsia" w:ascii="宋体" w:hAnsi="宋体" w:eastAsia="宋体" w:cs="宋体"/>
                <w:sz w:val="21"/>
                <w:szCs w:val="21"/>
                <w:highlight w:val="none"/>
                <w:lang w:val="en-US" w:eastAsia="zh-CN"/>
              </w:rPr>
            </w:pPr>
            <w:r>
              <w:rPr>
                <w:rFonts w:hint="eastAsia" w:ascii="宋体" w:hAnsi="宋体" w:eastAsia="宋体" w:cs="宋体"/>
                <w:color w:val="auto"/>
                <w:sz w:val="21"/>
                <w:szCs w:val="21"/>
                <w:highlight w:val="none"/>
                <w:lang w:val="en-US" w:eastAsia="zh-CN"/>
              </w:rPr>
              <w:t>21</w:t>
            </w:r>
          </w:p>
        </w:tc>
        <w:tc>
          <w:tcPr>
            <w:tcW w:w="1547" w:type="pct"/>
            <w:vAlign w:val="center"/>
          </w:tcPr>
          <w:p w14:paraId="4E84236E">
            <w:pPr>
              <w:keepNext w:val="0"/>
              <w:keepLines w:val="0"/>
              <w:pageBreakBefore w:val="0"/>
              <w:widowControl w:val="0"/>
              <w:kinsoku/>
              <w:wordWrap/>
              <w:overflowPunct/>
              <w:topLinePunct w:val="0"/>
              <w:autoSpaceDE/>
              <w:autoSpaceDN/>
              <w:bidi w:val="0"/>
              <w:adjustRightInd/>
              <w:spacing w:line="400" w:lineRule="exact"/>
              <w:ind w:right="0" w:rightChars="0"/>
              <w:jc w:val="center"/>
              <w:textAlignment w:val="auto"/>
              <w:outlineLvl w:val="9"/>
              <w:rPr>
                <w:rFonts w:hint="eastAsia" w:ascii="宋体" w:hAnsi="宋体" w:eastAsia="宋体" w:cs="宋体"/>
                <w:sz w:val="21"/>
                <w:szCs w:val="21"/>
                <w:highlight w:val="none"/>
                <w:lang w:eastAsia="zh-CN"/>
              </w:rPr>
            </w:pPr>
            <w:r>
              <w:rPr>
                <w:rFonts w:hint="eastAsia" w:ascii="宋体" w:hAnsi="宋体" w:eastAsia="宋体" w:cs="宋体"/>
                <w:color w:val="auto"/>
                <w:sz w:val="21"/>
                <w:szCs w:val="21"/>
                <w:highlight w:val="none"/>
                <w:lang w:eastAsia="zh-CN"/>
              </w:rPr>
              <w:t>招标文件</w:t>
            </w:r>
            <w:r>
              <w:rPr>
                <w:rFonts w:hint="eastAsia" w:ascii="宋体" w:hAnsi="宋体" w:eastAsia="宋体" w:cs="宋体"/>
                <w:color w:val="auto"/>
                <w:sz w:val="21"/>
                <w:szCs w:val="21"/>
                <w:highlight w:val="none"/>
              </w:rPr>
              <w:t>发售</w:t>
            </w:r>
          </w:p>
        </w:tc>
        <w:tc>
          <w:tcPr>
            <w:tcW w:w="3086" w:type="pct"/>
            <w:vAlign w:val="center"/>
          </w:tcPr>
          <w:p w14:paraId="490CEC7F">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时间：</w:t>
            </w:r>
            <w:r>
              <w:rPr>
                <w:rFonts w:hint="eastAsia" w:ascii="宋体" w:hAnsi="宋体" w:cs="宋体"/>
                <w:szCs w:val="21"/>
                <w:highlight w:val="none"/>
                <w:lang w:eastAsia="zh-CN"/>
              </w:rPr>
              <w:t>2026年07月31日至2026年08月06日，每天上午00:00:00至12:00:00，下午12:00:00至23:59:59（北京时间）</w:t>
            </w:r>
            <w:r>
              <w:rPr>
                <w:rFonts w:hint="eastAsia" w:ascii="宋体" w:hAnsi="宋体" w:eastAsia="宋体" w:cs="宋体"/>
                <w:color w:val="auto"/>
                <w:sz w:val="21"/>
                <w:szCs w:val="21"/>
                <w:highlight w:val="none"/>
                <w:lang w:val="en-US" w:eastAsia="zh-CN"/>
              </w:rPr>
              <w:t>途径</w:t>
            </w:r>
            <w:r>
              <w:rPr>
                <w:rFonts w:hint="eastAsia" w:ascii="宋体" w:hAnsi="宋体" w:eastAsia="宋体" w:cs="宋体"/>
                <w:color w:val="auto"/>
                <w:sz w:val="21"/>
                <w:szCs w:val="21"/>
                <w:highlight w:val="none"/>
                <w:lang w:eastAsia="zh-CN"/>
              </w:rPr>
              <w:t>：</w:t>
            </w:r>
            <w:r>
              <w:rPr>
                <w:rFonts w:hint="eastAsia" w:ascii="宋体" w:hAnsi="宋体" w:cs="宋体"/>
                <w:szCs w:val="21"/>
                <w:highlight w:val="none"/>
                <w:lang w:val="en-US" w:eastAsia="zh-CN"/>
              </w:rPr>
              <w:t>安康市公共资源交易平台</w:t>
            </w:r>
          </w:p>
          <w:p w14:paraId="69BD6099">
            <w:pPr>
              <w:keepNext w:val="0"/>
              <w:keepLines w:val="0"/>
              <w:pageBreakBefore w:val="0"/>
              <w:widowControl w:val="0"/>
              <w:kinsoku/>
              <w:wordWrap/>
              <w:overflowPunct/>
              <w:topLinePunct w:val="0"/>
              <w:autoSpaceDE/>
              <w:autoSpaceDN/>
              <w:bidi w:val="0"/>
              <w:adjustRightInd/>
              <w:spacing w:line="400" w:lineRule="exact"/>
              <w:ind w:right="0" w:rightChars="0"/>
              <w:textAlignment w:val="auto"/>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方式：在线获取</w:t>
            </w:r>
          </w:p>
          <w:p w14:paraId="3D19F384">
            <w:pPr>
              <w:keepNext w:val="0"/>
              <w:keepLines w:val="0"/>
              <w:pageBreakBefore w:val="0"/>
              <w:widowControl w:val="0"/>
              <w:kinsoku/>
              <w:wordWrap/>
              <w:overflowPunct/>
              <w:topLinePunct w:val="0"/>
              <w:autoSpaceDE/>
              <w:autoSpaceDN/>
              <w:bidi w:val="0"/>
              <w:adjustRightInd/>
              <w:spacing w:line="400" w:lineRule="exact"/>
              <w:ind w:right="0" w:rightChars="0"/>
              <w:textAlignment w:val="auto"/>
              <w:outlineLvl w:val="9"/>
              <w:rPr>
                <w:rFonts w:hint="eastAsia" w:ascii="宋体" w:hAnsi="宋体" w:eastAsia="宋体" w:cs="宋体"/>
                <w:sz w:val="21"/>
                <w:szCs w:val="21"/>
                <w:highlight w:val="none"/>
                <w:lang w:eastAsia="zh-CN"/>
              </w:rPr>
            </w:pPr>
            <w:r>
              <w:rPr>
                <w:rFonts w:hint="eastAsia" w:ascii="宋体" w:hAnsi="宋体" w:eastAsia="宋体" w:cs="宋体"/>
                <w:color w:val="auto"/>
                <w:sz w:val="21"/>
                <w:szCs w:val="21"/>
                <w:highlight w:val="none"/>
                <w:lang w:eastAsia="zh-CN"/>
              </w:rPr>
              <w:t>售价：免费获取</w:t>
            </w:r>
          </w:p>
        </w:tc>
      </w:tr>
      <w:tr w14:paraId="740896B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c>
          <w:tcPr>
            <w:tcW w:w="365" w:type="pct"/>
            <w:vAlign w:val="center"/>
          </w:tcPr>
          <w:p w14:paraId="17B17F43">
            <w:pPr>
              <w:keepNext w:val="0"/>
              <w:keepLines w:val="0"/>
              <w:pageBreakBefore w:val="0"/>
              <w:widowControl w:val="0"/>
              <w:kinsoku/>
              <w:wordWrap/>
              <w:overflowPunct/>
              <w:topLinePunct w:val="0"/>
              <w:autoSpaceDE/>
              <w:autoSpaceDN/>
              <w:bidi w:val="0"/>
              <w:adjustRightInd/>
              <w:spacing w:line="400" w:lineRule="exact"/>
              <w:ind w:right="0" w:rightChars="0"/>
              <w:jc w:val="center"/>
              <w:textAlignment w:val="auto"/>
              <w:outlineLvl w:val="9"/>
              <w:rPr>
                <w:rFonts w:hint="eastAsia" w:ascii="宋体" w:hAnsi="宋体" w:eastAsia="宋体" w:cs="宋体"/>
                <w:sz w:val="21"/>
                <w:szCs w:val="21"/>
                <w:highlight w:val="none"/>
                <w:lang w:val="en-US"/>
              </w:rPr>
            </w:pPr>
            <w:r>
              <w:rPr>
                <w:rFonts w:hint="eastAsia" w:ascii="宋体" w:hAnsi="宋体" w:eastAsia="宋体" w:cs="宋体"/>
                <w:color w:val="auto"/>
                <w:sz w:val="21"/>
                <w:szCs w:val="21"/>
                <w:highlight w:val="none"/>
                <w:lang w:val="en-US" w:eastAsia="zh-CN"/>
              </w:rPr>
              <w:t>22</w:t>
            </w:r>
          </w:p>
        </w:tc>
        <w:tc>
          <w:tcPr>
            <w:tcW w:w="1547" w:type="pct"/>
            <w:vAlign w:val="center"/>
          </w:tcPr>
          <w:p w14:paraId="0E6F6784">
            <w:pPr>
              <w:keepNext w:val="0"/>
              <w:keepLines w:val="0"/>
              <w:pageBreakBefore w:val="0"/>
              <w:widowControl w:val="0"/>
              <w:kinsoku/>
              <w:wordWrap/>
              <w:overflowPunct/>
              <w:topLinePunct w:val="0"/>
              <w:autoSpaceDE/>
              <w:autoSpaceDN/>
              <w:bidi w:val="0"/>
              <w:adjustRightInd/>
              <w:spacing w:line="400" w:lineRule="exact"/>
              <w:ind w:right="0" w:rightChars="0"/>
              <w:jc w:val="center"/>
              <w:textAlignment w:val="auto"/>
              <w:outlineLvl w:val="9"/>
              <w:rPr>
                <w:rFonts w:hint="eastAsia" w:ascii="宋体" w:hAnsi="宋体" w:eastAsia="宋体" w:cs="宋体"/>
                <w:sz w:val="21"/>
                <w:szCs w:val="21"/>
                <w:highlight w:val="none"/>
              </w:rPr>
            </w:pPr>
            <w:r>
              <w:rPr>
                <w:rFonts w:hint="eastAsia" w:ascii="宋体" w:hAnsi="宋体" w:eastAsia="宋体" w:cs="宋体"/>
                <w:color w:val="auto"/>
                <w:sz w:val="21"/>
                <w:szCs w:val="21"/>
                <w:highlight w:val="none"/>
              </w:rPr>
              <w:t>备选投标方案和报价</w:t>
            </w:r>
          </w:p>
        </w:tc>
        <w:tc>
          <w:tcPr>
            <w:tcW w:w="3086" w:type="pct"/>
            <w:vAlign w:val="center"/>
          </w:tcPr>
          <w:p w14:paraId="0E9EA609">
            <w:pPr>
              <w:keepNext w:val="0"/>
              <w:keepLines w:val="0"/>
              <w:pageBreakBefore w:val="0"/>
              <w:widowControl w:val="0"/>
              <w:kinsoku/>
              <w:wordWrap/>
              <w:overflowPunct/>
              <w:topLinePunct w:val="0"/>
              <w:autoSpaceDE/>
              <w:autoSpaceDN/>
              <w:bidi w:val="0"/>
              <w:adjustRightInd/>
              <w:spacing w:line="400" w:lineRule="exact"/>
              <w:ind w:right="0" w:rightChars="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本项目不接受备选投标方案和多个报价。</w:t>
            </w:r>
          </w:p>
        </w:tc>
      </w:tr>
      <w:tr w14:paraId="371BA3A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c>
          <w:tcPr>
            <w:tcW w:w="365" w:type="pct"/>
            <w:vAlign w:val="center"/>
          </w:tcPr>
          <w:p w14:paraId="18A0406E">
            <w:pPr>
              <w:keepNext w:val="0"/>
              <w:keepLines w:val="0"/>
              <w:pageBreakBefore w:val="0"/>
              <w:widowControl w:val="0"/>
              <w:kinsoku/>
              <w:wordWrap/>
              <w:overflowPunct/>
              <w:topLinePunct w:val="0"/>
              <w:autoSpaceDE/>
              <w:autoSpaceDN/>
              <w:bidi w:val="0"/>
              <w:adjustRightInd/>
              <w:spacing w:line="400" w:lineRule="exact"/>
              <w:ind w:right="0" w:rightChars="0"/>
              <w:jc w:val="center"/>
              <w:textAlignment w:val="auto"/>
              <w:outlineLvl w:val="9"/>
              <w:rPr>
                <w:rFonts w:hint="eastAsia" w:ascii="宋体" w:hAnsi="宋体" w:eastAsia="宋体" w:cs="宋体"/>
                <w:sz w:val="21"/>
                <w:szCs w:val="21"/>
                <w:highlight w:val="none"/>
                <w:lang w:val="en-US"/>
              </w:rPr>
            </w:pPr>
            <w:r>
              <w:rPr>
                <w:rFonts w:hint="eastAsia" w:ascii="宋体" w:hAnsi="宋体" w:eastAsia="宋体" w:cs="宋体"/>
                <w:color w:val="auto"/>
                <w:sz w:val="21"/>
                <w:szCs w:val="21"/>
                <w:highlight w:val="none"/>
                <w:lang w:val="en-US" w:eastAsia="zh-CN"/>
              </w:rPr>
              <w:t>23</w:t>
            </w:r>
          </w:p>
        </w:tc>
        <w:tc>
          <w:tcPr>
            <w:tcW w:w="1547" w:type="pct"/>
            <w:vAlign w:val="center"/>
          </w:tcPr>
          <w:p w14:paraId="2CE4943E">
            <w:pPr>
              <w:keepNext w:val="0"/>
              <w:keepLines w:val="0"/>
              <w:pageBreakBefore w:val="0"/>
              <w:widowControl w:val="0"/>
              <w:kinsoku/>
              <w:wordWrap/>
              <w:overflowPunct/>
              <w:topLinePunct w:val="0"/>
              <w:autoSpaceDE/>
              <w:autoSpaceDN/>
              <w:bidi w:val="0"/>
              <w:adjustRightInd/>
              <w:spacing w:line="400" w:lineRule="exact"/>
              <w:ind w:right="0" w:rightChars="0"/>
              <w:jc w:val="center"/>
              <w:textAlignment w:val="auto"/>
              <w:outlineLvl w:val="9"/>
              <w:rPr>
                <w:rFonts w:hint="eastAsia" w:ascii="宋体" w:hAnsi="宋体" w:eastAsia="宋体" w:cs="宋体"/>
                <w:sz w:val="21"/>
                <w:szCs w:val="21"/>
                <w:highlight w:val="none"/>
              </w:rPr>
            </w:pPr>
            <w:r>
              <w:rPr>
                <w:rFonts w:hint="eastAsia" w:ascii="宋体" w:hAnsi="宋体" w:eastAsia="宋体" w:cs="宋体"/>
                <w:color w:val="auto"/>
                <w:sz w:val="21"/>
                <w:szCs w:val="21"/>
                <w:highlight w:val="none"/>
              </w:rPr>
              <w:t>投标文件提交地点及截止时间</w:t>
            </w:r>
          </w:p>
        </w:tc>
        <w:tc>
          <w:tcPr>
            <w:tcW w:w="3086" w:type="pct"/>
            <w:vAlign w:val="center"/>
          </w:tcPr>
          <w:p w14:paraId="1DD25A1E">
            <w:pPr>
              <w:keepNext w:val="0"/>
              <w:keepLines w:val="0"/>
              <w:pageBreakBefore w:val="0"/>
              <w:widowControl w:val="0"/>
              <w:tabs>
                <w:tab w:val="left" w:pos="9720"/>
              </w:tabs>
              <w:kinsoku/>
              <w:wordWrap/>
              <w:overflowPunct/>
              <w:topLinePunct w:val="0"/>
              <w:autoSpaceDE/>
              <w:autoSpaceDN/>
              <w:bidi w:val="0"/>
              <w:adjustRightInd/>
              <w:spacing w:line="400" w:lineRule="exact"/>
              <w:ind w:right="0" w:rightChars="0"/>
              <w:textAlignment w:val="auto"/>
              <w:outlineLvl w:val="9"/>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截止时间：</w:t>
            </w:r>
            <w:r>
              <w:rPr>
                <w:rFonts w:hint="eastAsia" w:ascii="宋体" w:hAnsi="宋体" w:cs="宋体"/>
                <w:color w:val="auto"/>
                <w:sz w:val="21"/>
                <w:szCs w:val="21"/>
                <w:highlight w:val="none"/>
                <w:u w:val="none"/>
                <w:lang w:eastAsia="zh-CN"/>
              </w:rPr>
              <w:t>2026</w:t>
            </w:r>
            <w:r>
              <w:rPr>
                <w:rFonts w:hint="eastAsia" w:ascii="宋体" w:hAnsi="宋体" w:eastAsia="宋体" w:cs="宋体"/>
                <w:color w:val="auto"/>
                <w:sz w:val="21"/>
                <w:szCs w:val="21"/>
                <w:highlight w:val="none"/>
                <w:u w:val="none"/>
              </w:rPr>
              <w:t>年</w:t>
            </w:r>
            <w:r>
              <w:rPr>
                <w:rFonts w:hint="eastAsia" w:ascii="宋体" w:hAnsi="宋体" w:cs="宋体"/>
                <w:color w:val="auto"/>
                <w:sz w:val="21"/>
                <w:szCs w:val="21"/>
                <w:highlight w:val="none"/>
                <w:u w:val="none"/>
                <w:lang w:val="en-US" w:eastAsia="zh-CN"/>
              </w:rPr>
              <w:t>8</w:t>
            </w:r>
            <w:r>
              <w:rPr>
                <w:rFonts w:hint="eastAsia" w:ascii="宋体" w:hAnsi="宋体" w:eastAsia="宋体" w:cs="宋体"/>
                <w:color w:val="auto"/>
                <w:sz w:val="21"/>
                <w:szCs w:val="21"/>
                <w:highlight w:val="none"/>
                <w:u w:val="none"/>
              </w:rPr>
              <w:t>月</w:t>
            </w:r>
            <w:r>
              <w:rPr>
                <w:rFonts w:hint="eastAsia" w:ascii="宋体" w:hAnsi="宋体" w:cs="宋体"/>
                <w:color w:val="auto"/>
                <w:sz w:val="21"/>
                <w:szCs w:val="21"/>
                <w:highlight w:val="none"/>
                <w:u w:val="none"/>
                <w:lang w:val="en-US" w:eastAsia="zh-CN"/>
              </w:rPr>
              <w:t>21</w:t>
            </w:r>
            <w:r>
              <w:rPr>
                <w:rFonts w:hint="eastAsia" w:ascii="宋体" w:hAnsi="宋体" w:eastAsia="宋体" w:cs="宋体"/>
                <w:color w:val="auto"/>
                <w:sz w:val="21"/>
                <w:szCs w:val="21"/>
                <w:highlight w:val="none"/>
                <w:u w:val="none"/>
              </w:rPr>
              <w:t>日</w:t>
            </w:r>
            <w:r>
              <w:rPr>
                <w:rFonts w:hint="eastAsia" w:ascii="宋体" w:hAnsi="宋体" w:cs="宋体"/>
                <w:color w:val="auto"/>
                <w:sz w:val="21"/>
                <w:szCs w:val="21"/>
                <w:highlight w:val="none"/>
                <w:u w:val="none"/>
                <w:lang w:val="en-US" w:eastAsia="zh-CN"/>
              </w:rPr>
              <w:t>09</w:t>
            </w:r>
            <w:r>
              <w:rPr>
                <w:rFonts w:hint="eastAsia" w:ascii="宋体" w:hAnsi="宋体" w:eastAsia="宋体" w:cs="宋体"/>
                <w:color w:val="auto"/>
                <w:sz w:val="21"/>
                <w:szCs w:val="21"/>
                <w:highlight w:val="none"/>
                <w:u w:val="none"/>
              </w:rPr>
              <w:t>时</w:t>
            </w:r>
            <w:r>
              <w:rPr>
                <w:rFonts w:hint="eastAsia" w:ascii="宋体" w:hAnsi="宋体" w:eastAsia="宋体" w:cs="宋体"/>
                <w:color w:val="auto"/>
                <w:sz w:val="21"/>
                <w:szCs w:val="21"/>
                <w:highlight w:val="none"/>
                <w:u w:val="none"/>
                <w:lang w:val="en-US" w:eastAsia="zh-CN"/>
              </w:rPr>
              <w:t>00</w:t>
            </w:r>
            <w:r>
              <w:rPr>
                <w:rFonts w:hint="eastAsia" w:ascii="宋体" w:hAnsi="宋体" w:eastAsia="宋体" w:cs="宋体"/>
                <w:color w:val="auto"/>
                <w:sz w:val="21"/>
                <w:szCs w:val="21"/>
                <w:highlight w:val="none"/>
                <w:u w:val="none"/>
              </w:rPr>
              <w:t>分00秒（北京时间）</w:t>
            </w:r>
          </w:p>
          <w:p w14:paraId="4FE516E5">
            <w:pPr>
              <w:keepNext w:val="0"/>
              <w:keepLines w:val="0"/>
              <w:pageBreakBefore w:val="0"/>
              <w:widowControl w:val="0"/>
              <w:kinsoku/>
              <w:wordWrap/>
              <w:overflowPunct/>
              <w:topLinePunct w:val="0"/>
              <w:autoSpaceDE/>
              <w:autoSpaceDN/>
              <w:bidi w:val="0"/>
              <w:adjustRightInd/>
              <w:spacing w:line="400" w:lineRule="exact"/>
              <w:ind w:right="0" w:rightChars="0"/>
              <w:textAlignment w:val="auto"/>
              <w:outlineLvl w:val="9"/>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地点：</w:t>
            </w:r>
            <w:r>
              <w:rPr>
                <w:rFonts w:hint="eastAsia" w:ascii="宋体" w:hAnsi="宋体" w:cs="宋体"/>
                <w:szCs w:val="21"/>
                <w:highlight w:val="none"/>
                <w:lang w:val="en-US" w:eastAsia="zh-CN"/>
              </w:rPr>
              <w:t>安康市公共资源交易平台</w:t>
            </w:r>
          </w:p>
        </w:tc>
      </w:tr>
      <w:tr w14:paraId="326AB31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c>
          <w:tcPr>
            <w:tcW w:w="365" w:type="pct"/>
            <w:vAlign w:val="center"/>
          </w:tcPr>
          <w:p w14:paraId="1D6998C9">
            <w:pPr>
              <w:keepNext w:val="0"/>
              <w:keepLines w:val="0"/>
              <w:pageBreakBefore w:val="0"/>
              <w:widowControl w:val="0"/>
              <w:kinsoku/>
              <w:wordWrap/>
              <w:overflowPunct/>
              <w:topLinePunct w:val="0"/>
              <w:autoSpaceDE/>
              <w:autoSpaceDN/>
              <w:bidi w:val="0"/>
              <w:adjustRightInd/>
              <w:spacing w:line="400" w:lineRule="exact"/>
              <w:ind w:right="0" w:rightChars="0"/>
              <w:jc w:val="center"/>
              <w:textAlignment w:val="auto"/>
              <w:outlineLvl w:val="9"/>
              <w:rPr>
                <w:rFonts w:hint="eastAsia" w:ascii="宋体" w:hAnsi="宋体" w:eastAsia="宋体" w:cs="宋体"/>
                <w:sz w:val="21"/>
                <w:szCs w:val="21"/>
                <w:highlight w:val="none"/>
                <w:lang w:val="en-US"/>
              </w:rPr>
            </w:pPr>
            <w:r>
              <w:rPr>
                <w:rFonts w:hint="eastAsia" w:ascii="宋体" w:hAnsi="宋体" w:eastAsia="宋体" w:cs="宋体"/>
                <w:color w:val="auto"/>
                <w:sz w:val="21"/>
                <w:szCs w:val="21"/>
                <w:highlight w:val="none"/>
                <w:lang w:val="en-US" w:eastAsia="zh-CN"/>
              </w:rPr>
              <w:t>24</w:t>
            </w:r>
          </w:p>
        </w:tc>
        <w:tc>
          <w:tcPr>
            <w:tcW w:w="1547" w:type="pct"/>
            <w:vAlign w:val="center"/>
          </w:tcPr>
          <w:p w14:paraId="28EE7542">
            <w:pPr>
              <w:keepNext w:val="0"/>
              <w:keepLines w:val="0"/>
              <w:pageBreakBefore w:val="0"/>
              <w:widowControl w:val="0"/>
              <w:kinsoku/>
              <w:wordWrap/>
              <w:overflowPunct/>
              <w:topLinePunct w:val="0"/>
              <w:autoSpaceDE/>
              <w:autoSpaceDN/>
              <w:bidi w:val="0"/>
              <w:adjustRightInd/>
              <w:spacing w:line="400" w:lineRule="exact"/>
              <w:ind w:right="0" w:rightChars="0"/>
              <w:jc w:val="center"/>
              <w:textAlignment w:val="auto"/>
              <w:outlineLvl w:val="9"/>
              <w:rPr>
                <w:rFonts w:hint="eastAsia" w:ascii="宋体" w:hAnsi="宋体" w:eastAsia="宋体" w:cs="宋体"/>
                <w:sz w:val="21"/>
                <w:szCs w:val="21"/>
                <w:highlight w:val="none"/>
              </w:rPr>
            </w:pPr>
            <w:r>
              <w:rPr>
                <w:rFonts w:hint="eastAsia" w:ascii="宋体" w:hAnsi="宋体" w:eastAsia="宋体" w:cs="宋体"/>
                <w:color w:val="auto"/>
                <w:sz w:val="21"/>
                <w:szCs w:val="21"/>
                <w:highlight w:val="none"/>
              </w:rPr>
              <w:t>开标</w:t>
            </w:r>
          </w:p>
        </w:tc>
        <w:tc>
          <w:tcPr>
            <w:tcW w:w="3086" w:type="pct"/>
            <w:vAlign w:val="center"/>
          </w:tcPr>
          <w:p w14:paraId="60412795">
            <w:pPr>
              <w:keepNext w:val="0"/>
              <w:keepLines w:val="0"/>
              <w:pageBreakBefore w:val="0"/>
              <w:widowControl w:val="0"/>
              <w:kinsoku/>
              <w:wordWrap/>
              <w:overflowPunct/>
              <w:topLinePunct w:val="0"/>
              <w:autoSpaceDE/>
              <w:autoSpaceDN/>
              <w:bidi w:val="0"/>
              <w:adjustRightInd/>
              <w:spacing w:line="400" w:lineRule="exact"/>
              <w:ind w:right="0" w:rightChars="0"/>
              <w:textAlignment w:val="auto"/>
              <w:outlineLvl w:val="9"/>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时间：</w:t>
            </w:r>
            <w:r>
              <w:rPr>
                <w:rFonts w:hint="eastAsia" w:ascii="宋体" w:hAnsi="宋体" w:cs="宋体"/>
                <w:color w:val="auto"/>
                <w:sz w:val="21"/>
                <w:szCs w:val="21"/>
                <w:highlight w:val="none"/>
                <w:u w:val="none"/>
                <w:lang w:eastAsia="zh-CN"/>
              </w:rPr>
              <w:t>2026</w:t>
            </w:r>
            <w:r>
              <w:rPr>
                <w:rFonts w:hint="eastAsia" w:ascii="宋体" w:hAnsi="宋体" w:eastAsia="宋体" w:cs="宋体"/>
                <w:color w:val="auto"/>
                <w:sz w:val="21"/>
                <w:szCs w:val="21"/>
                <w:highlight w:val="none"/>
                <w:u w:val="none"/>
              </w:rPr>
              <w:t>年</w:t>
            </w:r>
            <w:r>
              <w:rPr>
                <w:rFonts w:hint="eastAsia" w:ascii="宋体" w:hAnsi="宋体" w:cs="宋体"/>
                <w:color w:val="auto"/>
                <w:sz w:val="21"/>
                <w:szCs w:val="21"/>
                <w:highlight w:val="none"/>
                <w:u w:val="none"/>
                <w:lang w:val="en-US" w:eastAsia="zh-CN"/>
              </w:rPr>
              <w:t>8</w:t>
            </w:r>
            <w:r>
              <w:rPr>
                <w:rFonts w:hint="eastAsia" w:ascii="宋体" w:hAnsi="宋体" w:eastAsia="宋体" w:cs="宋体"/>
                <w:color w:val="auto"/>
                <w:sz w:val="21"/>
                <w:szCs w:val="21"/>
                <w:highlight w:val="none"/>
                <w:u w:val="none"/>
              </w:rPr>
              <w:t>月</w:t>
            </w:r>
            <w:r>
              <w:rPr>
                <w:rFonts w:hint="eastAsia" w:ascii="宋体" w:hAnsi="宋体" w:cs="宋体"/>
                <w:color w:val="auto"/>
                <w:sz w:val="21"/>
                <w:szCs w:val="21"/>
                <w:highlight w:val="none"/>
                <w:u w:val="none"/>
                <w:lang w:val="en-US" w:eastAsia="zh-CN"/>
              </w:rPr>
              <w:t>21</w:t>
            </w:r>
            <w:r>
              <w:rPr>
                <w:rFonts w:hint="eastAsia" w:ascii="宋体" w:hAnsi="宋体" w:eastAsia="宋体" w:cs="宋体"/>
                <w:color w:val="auto"/>
                <w:sz w:val="21"/>
                <w:szCs w:val="21"/>
                <w:highlight w:val="none"/>
                <w:u w:val="none"/>
              </w:rPr>
              <w:t>日</w:t>
            </w:r>
            <w:r>
              <w:rPr>
                <w:rFonts w:hint="eastAsia" w:ascii="宋体" w:hAnsi="宋体" w:cs="宋体"/>
                <w:color w:val="auto"/>
                <w:sz w:val="21"/>
                <w:szCs w:val="21"/>
                <w:highlight w:val="none"/>
                <w:u w:val="none"/>
                <w:lang w:val="en-US" w:eastAsia="zh-CN"/>
              </w:rPr>
              <w:t>09</w:t>
            </w:r>
            <w:r>
              <w:rPr>
                <w:rFonts w:hint="eastAsia" w:ascii="宋体" w:hAnsi="宋体" w:eastAsia="宋体" w:cs="宋体"/>
                <w:color w:val="auto"/>
                <w:sz w:val="21"/>
                <w:szCs w:val="21"/>
                <w:highlight w:val="none"/>
                <w:u w:val="none"/>
              </w:rPr>
              <w:t>时</w:t>
            </w:r>
            <w:r>
              <w:rPr>
                <w:rFonts w:hint="eastAsia" w:ascii="宋体" w:hAnsi="宋体" w:eastAsia="宋体" w:cs="宋体"/>
                <w:color w:val="auto"/>
                <w:sz w:val="21"/>
                <w:szCs w:val="21"/>
                <w:highlight w:val="none"/>
                <w:u w:val="none"/>
                <w:lang w:val="en-US" w:eastAsia="zh-CN"/>
              </w:rPr>
              <w:t>00</w:t>
            </w:r>
            <w:r>
              <w:rPr>
                <w:rFonts w:hint="eastAsia" w:ascii="宋体" w:hAnsi="宋体" w:eastAsia="宋体" w:cs="宋体"/>
                <w:color w:val="auto"/>
                <w:sz w:val="21"/>
                <w:szCs w:val="21"/>
                <w:highlight w:val="none"/>
                <w:u w:val="none"/>
              </w:rPr>
              <w:t>分00秒（北京时间）</w:t>
            </w:r>
          </w:p>
          <w:p w14:paraId="248D3686">
            <w:pPr>
              <w:keepNext w:val="0"/>
              <w:keepLines w:val="0"/>
              <w:pageBreakBefore w:val="0"/>
              <w:widowControl w:val="0"/>
              <w:kinsoku/>
              <w:wordWrap/>
              <w:overflowPunct/>
              <w:topLinePunct w:val="0"/>
              <w:autoSpaceDE/>
              <w:autoSpaceDN/>
              <w:bidi w:val="0"/>
              <w:adjustRightInd/>
              <w:spacing w:line="400" w:lineRule="exact"/>
              <w:ind w:right="0" w:rightChars="0"/>
              <w:textAlignment w:val="auto"/>
              <w:outlineLvl w:val="9"/>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地点：</w:t>
            </w:r>
            <w:r>
              <w:rPr>
                <w:rFonts w:hint="eastAsia" w:ascii="宋体" w:hAnsi="宋体" w:cs="宋体"/>
                <w:color w:val="auto"/>
                <w:sz w:val="21"/>
                <w:szCs w:val="21"/>
                <w:highlight w:val="none"/>
                <w:u w:val="none"/>
                <w:lang w:val="en-US" w:eastAsia="zh-CN"/>
              </w:rPr>
              <w:t>不见面开标大厅</w:t>
            </w:r>
          </w:p>
        </w:tc>
      </w:tr>
      <w:tr w14:paraId="34DC9CC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652" w:hRule="atLeast"/>
        </w:trPr>
        <w:tc>
          <w:tcPr>
            <w:tcW w:w="365" w:type="pct"/>
            <w:vAlign w:val="center"/>
          </w:tcPr>
          <w:p w14:paraId="3AFC1AC6">
            <w:pPr>
              <w:keepNext w:val="0"/>
              <w:keepLines w:val="0"/>
              <w:pageBreakBefore w:val="0"/>
              <w:widowControl w:val="0"/>
              <w:kinsoku/>
              <w:wordWrap/>
              <w:overflowPunct/>
              <w:topLinePunct w:val="0"/>
              <w:autoSpaceDE/>
              <w:autoSpaceDN/>
              <w:bidi w:val="0"/>
              <w:adjustRightInd/>
              <w:spacing w:line="400" w:lineRule="exact"/>
              <w:ind w:right="0" w:rightChars="0"/>
              <w:jc w:val="center"/>
              <w:textAlignment w:val="auto"/>
              <w:outlineLvl w:val="9"/>
              <w:rPr>
                <w:rFonts w:hint="eastAsia" w:ascii="宋体" w:hAnsi="宋体" w:eastAsia="宋体" w:cs="宋体"/>
                <w:sz w:val="21"/>
                <w:szCs w:val="21"/>
                <w:highlight w:val="none"/>
                <w:lang w:val="en-US"/>
              </w:rPr>
            </w:pPr>
            <w:r>
              <w:rPr>
                <w:rFonts w:hint="eastAsia" w:ascii="宋体" w:hAnsi="宋体" w:eastAsia="宋体" w:cs="宋体"/>
                <w:color w:val="auto"/>
                <w:sz w:val="21"/>
                <w:szCs w:val="21"/>
                <w:highlight w:val="none"/>
                <w:lang w:val="en-US" w:eastAsia="zh-CN"/>
              </w:rPr>
              <w:t>25</w:t>
            </w:r>
          </w:p>
        </w:tc>
        <w:tc>
          <w:tcPr>
            <w:tcW w:w="1547" w:type="pct"/>
            <w:vAlign w:val="center"/>
          </w:tcPr>
          <w:p w14:paraId="507983CB">
            <w:pPr>
              <w:keepNext w:val="0"/>
              <w:keepLines w:val="0"/>
              <w:pageBreakBefore w:val="0"/>
              <w:widowControl w:val="0"/>
              <w:kinsoku/>
              <w:wordWrap/>
              <w:overflowPunct/>
              <w:topLinePunct w:val="0"/>
              <w:autoSpaceDE/>
              <w:autoSpaceDN/>
              <w:bidi w:val="0"/>
              <w:adjustRightInd/>
              <w:spacing w:line="400" w:lineRule="exact"/>
              <w:ind w:right="0" w:rightChars="0"/>
              <w:jc w:val="center"/>
              <w:textAlignment w:val="auto"/>
              <w:outlineLvl w:val="9"/>
              <w:rPr>
                <w:rFonts w:hint="eastAsia" w:ascii="宋体" w:hAnsi="宋体" w:eastAsia="宋体" w:cs="宋体"/>
                <w:sz w:val="21"/>
                <w:szCs w:val="21"/>
                <w:highlight w:val="none"/>
              </w:rPr>
            </w:pPr>
            <w:r>
              <w:rPr>
                <w:rFonts w:hint="eastAsia" w:ascii="宋体" w:hAnsi="宋体" w:eastAsia="宋体" w:cs="宋体"/>
                <w:color w:val="auto"/>
                <w:sz w:val="21"/>
                <w:szCs w:val="21"/>
                <w:highlight w:val="none"/>
              </w:rPr>
              <w:t>评标办法及标准</w:t>
            </w:r>
          </w:p>
        </w:tc>
        <w:tc>
          <w:tcPr>
            <w:tcW w:w="3086" w:type="pct"/>
            <w:vAlign w:val="center"/>
          </w:tcPr>
          <w:p w14:paraId="4B3E1C49">
            <w:pPr>
              <w:keepNext w:val="0"/>
              <w:keepLines w:val="0"/>
              <w:pageBreakBefore w:val="0"/>
              <w:widowControl w:val="0"/>
              <w:kinsoku/>
              <w:wordWrap/>
              <w:overflowPunct/>
              <w:topLinePunct w:val="0"/>
              <w:autoSpaceDE/>
              <w:autoSpaceDN/>
              <w:bidi w:val="0"/>
              <w:adjustRightInd/>
              <w:spacing w:line="400" w:lineRule="exact"/>
              <w:ind w:right="0" w:rightChars="0"/>
              <w:textAlignment w:val="auto"/>
              <w:outlineLvl w:val="9"/>
              <w:rPr>
                <w:rFonts w:hint="eastAsia" w:ascii="宋体" w:hAnsi="宋体" w:eastAsia="宋体" w:cs="宋体"/>
                <w:sz w:val="21"/>
                <w:szCs w:val="21"/>
                <w:highlight w:val="none"/>
                <w:u w:val="none"/>
              </w:rPr>
            </w:pPr>
            <w:r>
              <w:rPr>
                <w:rFonts w:hint="eastAsia" w:ascii="宋体" w:hAnsi="宋体" w:eastAsia="宋体" w:cs="宋体"/>
                <w:color w:val="auto"/>
                <w:sz w:val="21"/>
                <w:szCs w:val="21"/>
                <w:highlight w:val="none"/>
                <w:u w:val="none"/>
              </w:rPr>
              <w:t>详见招标文件</w:t>
            </w:r>
            <w:r>
              <w:rPr>
                <w:rFonts w:hint="eastAsia" w:ascii="宋体" w:hAnsi="宋体" w:eastAsia="宋体" w:cs="宋体"/>
                <w:color w:val="auto"/>
                <w:sz w:val="21"/>
                <w:szCs w:val="21"/>
                <w:highlight w:val="none"/>
                <w:u w:val="none"/>
                <w:lang w:eastAsia="zh-CN"/>
              </w:rPr>
              <w:t>第三章</w:t>
            </w:r>
            <w:r>
              <w:rPr>
                <w:rFonts w:hint="eastAsia" w:ascii="宋体" w:hAnsi="宋体" w:eastAsia="宋体" w:cs="宋体"/>
                <w:color w:val="auto"/>
                <w:sz w:val="21"/>
                <w:szCs w:val="21"/>
                <w:highlight w:val="none"/>
                <w:u w:val="none"/>
              </w:rPr>
              <w:t>评标办法</w:t>
            </w:r>
          </w:p>
        </w:tc>
      </w:tr>
      <w:tr w14:paraId="1A988E5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37" w:hRule="atLeast"/>
        </w:trPr>
        <w:tc>
          <w:tcPr>
            <w:tcW w:w="365" w:type="pct"/>
            <w:vAlign w:val="center"/>
          </w:tcPr>
          <w:p w14:paraId="160C6CA8">
            <w:pPr>
              <w:keepNext w:val="0"/>
              <w:keepLines w:val="0"/>
              <w:pageBreakBefore w:val="0"/>
              <w:widowControl w:val="0"/>
              <w:kinsoku/>
              <w:wordWrap/>
              <w:overflowPunct/>
              <w:topLinePunct w:val="0"/>
              <w:autoSpaceDE/>
              <w:autoSpaceDN/>
              <w:bidi w:val="0"/>
              <w:adjustRightInd/>
              <w:spacing w:line="400" w:lineRule="exact"/>
              <w:ind w:right="0" w:rightChars="0"/>
              <w:jc w:val="center"/>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26</w:t>
            </w:r>
          </w:p>
        </w:tc>
        <w:tc>
          <w:tcPr>
            <w:tcW w:w="1547" w:type="pct"/>
            <w:vAlign w:val="center"/>
          </w:tcPr>
          <w:p w14:paraId="45CB2F24">
            <w:pPr>
              <w:spacing w:line="420" w:lineRule="exact"/>
              <w:jc w:val="center"/>
              <w:rPr>
                <w:rFonts w:hint="eastAsia" w:ascii="宋体" w:hAnsi="宋体" w:eastAsia="宋体" w:cs="宋体"/>
                <w:color w:val="auto"/>
                <w:sz w:val="21"/>
                <w:szCs w:val="21"/>
                <w:highlight w:val="none"/>
              </w:rPr>
            </w:pPr>
            <w:r>
              <w:rPr>
                <w:rFonts w:hint="eastAsia" w:ascii="宋体" w:hAnsi="宋体" w:eastAsia="宋体" w:cs="宋体"/>
                <w:sz w:val="21"/>
                <w:szCs w:val="21"/>
                <w:highlight w:val="none"/>
              </w:rPr>
              <w:t>履约担保</w:t>
            </w:r>
          </w:p>
        </w:tc>
        <w:tc>
          <w:tcPr>
            <w:tcW w:w="3086" w:type="pct"/>
            <w:vAlign w:val="center"/>
          </w:tcPr>
          <w:p w14:paraId="736DE036">
            <w:pPr>
              <w:spacing w:line="420" w:lineRule="exact"/>
              <w:rPr>
                <w:rFonts w:hint="eastAsia" w:ascii="宋体" w:hAnsi="宋体" w:eastAsia="宋体" w:cs="宋体"/>
                <w:color w:val="auto"/>
                <w:sz w:val="21"/>
                <w:szCs w:val="21"/>
                <w:highlight w:val="none"/>
                <w:u w:val="none"/>
                <w:lang w:eastAsia="zh-CN"/>
              </w:rPr>
            </w:pPr>
            <w:r>
              <w:rPr>
                <w:rFonts w:hint="eastAsia" w:ascii="宋体" w:hAnsi="宋体" w:eastAsia="宋体" w:cs="宋体"/>
                <w:color w:val="auto"/>
                <w:sz w:val="21"/>
                <w:szCs w:val="21"/>
                <w:highlight w:val="none"/>
                <w:lang w:val="en-US" w:eastAsia="zh-CN"/>
              </w:rPr>
              <w:t>无</w:t>
            </w:r>
          </w:p>
        </w:tc>
      </w:tr>
      <w:tr w14:paraId="6D1CF23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c>
          <w:tcPr>
            <w:tcW w:w="365" w:type="pct"/>
            <w:vAlign w:val="center"/>
          </w:tcPr>
          <w:p w14:paraId="162ED3BF">
            <w:pPr>
              <w:keepNext w:val="0"/>
              <w:keepLines w:val="0"/>
              <w:pageBreakBefore w:val="0"/>
              <w:widowControl w:val="0"/>
              <w:kinsoku/>
              <w:wordWrap/>
              <w:overflowPunct/>
              <w:topLinePunct w:val="0"/>
              <w:autoSpaceDE/>
              <w:autoSpaceDN/>
              <w:bidi w:val="0"/>
              <w:adjustRightInd/>
              <w:spacing w:line="400" w:lineRule="exact"/>
              <w:ind w:right="0" w:rightChars="0"/>
              <w:jc w:val="center"/>
              <w:textAlignment w:val="auto"/>
              <w:outlineLvl w:val="9"/>
              <w:rPr>
                <w:rFonts w:hint="eastAsia" w:ascii="宋体" w:hAnsi="宋体" w:eastAsia="宋体" w:cs="宋体"/>
                <w:sz w:val="21"/>
                <w:szCs w:val="21"/>
                <w:highlight w:val="none"/>
                <w:lang w:val="en-US"/>
              </w:rPr>
            </w:pPr>
            <w:r>
              <w:rPr>
                <w:rFonts w:hint="eastAsia" w:ascii="宋体" w:hAnsi="宋体" w:eastAsia="宋体" w:cs="宋体"/>
                <w:color w:val="auto"/>
                <w:sz w:val="21"/>
                <w:szCs w:val="21"/>
                <w:highlight w:val="none"/>
                <w:lang w:val="en-US" w:eastAsia="zh-CN"/>
              </w:rPr>
              <w:t>27</w:t>
            </w:r>
          </w:p>
        </w:tc>
        <w:tc>
          <w:tcPr>
            <w:tcW w:w="1547" w:type="pct"/>
            <w:vAlign w:val="center"/>
          </w:tcPr>
          <w:p w14:paraId="0BA69059">
            <w:pPr>
              <w:keepNext w:val="0"/>
              <w:keepLines w:val="0"/>
              <w:pageBreakBefore w:val="0"/>
              <w:widowControl w:val="0"/>
              <w:kinsoku/>
              <w:wordWrap/>
              <w:overflowPunct/>
              <w:topLinePunct w:val="0"/>
              <w:autoSpaceDE/>
              <w:autoSpaceDN/>
              <w:bidi w:val="0"/>
              <w:adjustRightInd/>
              <w:spacing w:line="400" w:lineRule="exact"/>
              <w:ind w:right="0" w:rightChars="0"/>
              <w:jc w:val="center"/>
              <w:textAlignment w:val="auto"/>
              <w:outlineLvl w:val="9"/>
              <w:rPr>
                <w:rFonts w:hint="eastAsia" w:ascii="宋体" w:hAnsi="宋体" w:eastAsia="宋体" w:cs="宋体"/>
                <w:sz w:val="21"/>
                <w:szCs w:val="21"/>
                <w:highlight w:val="none"/>
              </w:rPr>
            </w:pPr>
            <w:r>
              <w:rPr>
                <w:rFonts w:hint="eastAsia" w:ascii="宋体" w:hAnsi="宋体" w:eastAsia="宋体" w:cs="宋体"/>
                <w:color w:val="auto"/>
                <w:sz w:val="21"/>
                <w:szCs w:val="21"/>
                <w:highlight w:val="none"/>
                <w:lang w:eastAsia="zh-CN"/>
              </w:rPr>
              <w:t>采购代理服务费</w:t>
            </w:r>
          </w:p>
        </w:tc>
        <w:tc>
          <w:tcPr>
            <w:tcW w:w="3086" w:type="pct"/>
            <w:vAlign w:val="center"/>
          </w:tcPr>
          <w:p w14:paraId="02CB4903">
            <w:pPr>
              <w:spacing w:line="500" w:lineRule="exact"/>
              <w:rPr>
                <w:rFonts w:hint="eastAsia" w:ascii="宋体" w:hAnsi="宋体" w:eastAsia="宋体" w:cs="宋体"/>
                <w:color w:val="FF0000"/>
                <w:sz w:val="21"/>
                <w:szCs w:val="21"/>
                <w:highlight w:val="none"/>
              </w:rPr>
            </w:pPr>
            <w:r>
              <w:rPr>
                <w:rFonts w:hint="eastAsia" w:ascii="宋体" w:hAnsi="宋体" w:eastAsia="宋体" w:cs="宋体"/>
                <w:sz w:val="21"/>
                <w:szCs w:val="21"/>
                <w:highlight w:val="none"/>
                <w:lang w:val="en-US" w:eastAsia="zh-CN"/>
              </w:rPr>
              <w:t>采购代理服务费的金额参照《国家计委关于印发&lt;招标代理服务收费管理暂行办法&gt;的通知》（计价格[2002]1980号）和国家发改委办公厅颁发的《关于招标代理服务收费有关问题的通知》（发改办价格【2003】857号）的有关规定收取招标代理服务费</w:t>
            </w:r>
            <w:r>
              <w:rPr>
                <w:rFonts w:hint="eastAsia" w:ascii="宋体" w:hAnsi="宋体" w:cs="宋体"/>
                <w:sz w:val="21"/>
                <w:szCs w:val="21"/>
                <w:highlight w:val="none"/>
                <w:lang w:val="en-US" w:eastAsia="zh-CN"/>
              </w:rPr>
              <w:t>，</w:t>
            </w:r>
            <w:r>
              <w:rPr>
                <w:rFonts w:hint="eastAsia" w:ascii="宋体" w:hAnsi="宋体" w:eastAsia="宋体" w:cs="宋体"/>
                <w:sz w:val="21"/>
                <w:szCs w:val="21"/>
                <w:highlight w:val="none"/>
                <w:lang w:val="en-US" w:eastAsia="zh-CN"/>
              </w:rPr>
              <w:t>由</w:t>
            </w:r>
            <w:r>
              <w:rPr>
                <w:rFonts w:hint="eastAsia" w:ascii="宋体" w:hAnsi="宋体" w:cs="宋体"/>
                <w:sz w:val="21"/>
                <w:szCs w:val="21"/>
                <w:highlight w:val="none"/>
                <w:lang w:val="en-US" w:eastAsia="zh-CN"/>
              </w:rPr>
              <w:t>中标供应商</w:t>
            </w:r>
            <w:r>
              <w:rPr>
                <w:rFonts w:hint="eastAsia" w:ascii="宋体" w:hAnsi="宋体" w:eastAsia="宋体" w:cs="宋体"/>
                <w:sz w:val="21"/>
                <w:szCs w:val="21"/>
                <w:highlight w:val="none"/>
                <w:lang w:val="en-US" w:eastAsia="zh-CN"/>
              </w:rPr>
              <w:t>支付。</w:t>
            </w:r>
          </w:p>
        </w:tc>
      </w:tr>
      <w:tr w14:paraId="43E6E9B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c>
          <w:tcPr>
            <w:tcW w:w="365" w:type="pct"/>
            <w:vAlign w:val="center"/>
          </w:tcPr>
          <w:p w14:paraId="3ED09259">
            <w:pPr>
              <w:keepNext w:val="0"/>
              <w:keepLines w:val="0"/>
              <w:pageBreakBefore w:val="0"/>
              <w:widowControl w:val="0"/>
              <w:kinsoku/>
              <w:wordWrap/>
              <w:overflowPunct/>
              <w:topLinePunct w:val="0"/>
              <w:autoSpaceDE/>
              <w:autoSpaceDN/>
              <w:bidi w:val="0"/>
              <w:adjustRightInd/>
              <w:spacing w:line="400" w:lineRule="exact"/>
              <w:ind w:right="0" w:rightChars="0"/>
              <w:jc w:val="center"/>
              <w:textAlignment w:val="auto"/>
              <w:outlineLvl w:val="9"/>
              <w:rPr>
                <w:rFonts w:hint="eastAsia" w:ascii="宋体" w:hAnsi="宋体" w:eastAsia="宋体" w:cs="宋体"/>
                <w:color w:val="auto"/>
                <w:sz w:val="21"/>
                <w:szCs w:val="21"/>
                <w:highlight w:val="none"/>
                <w:lang w:val="en-US" w:eastAsia="zh-CN"/>
              </w:rPr>
            </w:pPr>
            <w:bookmarkStart w:id="13" w:name="_Toc222740110"/>
            <w:r>
              <w:rPr>
                <w:rFonts w:hint="eastAsia" w:ascii="宋体" w:hAnsi="宋体" w:eastAsia="宋体" w:cs="宋体"/>
                <w:color w:val="auto"/>
                <w:sz w:val="21"/>
                <w:szCs w:val="21"/>
                <w:highlight w:val="none"/>
                <w:lang w:val="en-US" w:eastAsia="zh-CN"/>
              </w:rPr>
              <w:t>28</w:t>
            </w:r>
          </w:p>
        </w:tc>
        <w:tc>
          <w:tcPr>
            <w:tcW w:w="1547" w:type="pct"/>
            <w:vAlign w:val="center"/>
          </w:tcPr>
          <w:p w14:paraId="602EC1E0">
            <w:pPr>
              <w:keepNext w:val="0"/>
              <w:keepLines w:val="0"/>
              <w:pageBreakBefore w:val="0"/>
              <w:widowControl w:val="0"/>
              <w:kinsoku/>
              <w:wordWrap/>
              <w:overflowPunct/>
              <w:topLinePunct w:val="0"/>
              <w:autoSpaceDE/>
              <w:autoSpaceDN/>
              <w:bidi w:val="0"/>
              <w:adjustRightInd/>
              <w:spacing w:line="400" w:lineRule="exact"/>
              <w:ind w:right="0" w:rightChars="0"/>
              <w:jc w:val="center"/>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sz w:val="21"/>
                <w:szCs w:val="21"/>
                <w:highlight w:val="none"/>
                <w:lang w:val="en-US" w:eastAsia="zh-CN"/>
              </w:rPr>
              <w:t>采购标对应的中小企业划分标准所属行业</w:t>
            </w:r>
          </w:p>
        </w:tc>
        <w:tc>
          <w:tcPr>
            <w:tcW w:w="3086" w:type="pct"/>
            <w:vAlign w:val="center"/>
          </w:tcPr>
          <w:p w14:paraId="0306B2C5">
            <w:pPr>
              <w:keepNext w:val="0"/>
              <w:keepLines w:val="0"/>
              <w:pageBreakBefore w:val="0"/>
              <w:widowControl w:val="0"/>
              <w:kinsoku/>
              <w:wordWrap/>
              <w:overflowPunct/>
              <w:topLinePunct w:val="0"/>
              <w:autoSpaceDE/>
              <w:autoSpaceDN/>
              <w:bidi w:val="0"/>
              <w:adjustRightInd/>
              <w:snapToGrid/>
              <w:spacing w:line="400" w:lineRule="exact"/>
              <w:ind w:right="0" w:rightChars="0"/>
              <w:jc w:val="left"/>
              <w:textAlignment w:val="auto"/>
              <w:outlineLvl w:val="9"/>
              <w:rPr>
                <w:rFonts w:hint="eastAsia" w:ascii="宋体" w:hAnsi="宋体" w:eastAsia="宋体" w:cs="宋体"/>
                <w:sz w:val="21"/>
                <w:szCs w:val="21"/>
                <w:highlight w:val="none"/>
              </w:rPr>
            </w:pPr>
            <w:r>
              <w:rPr>
                <w:rFonts w:hint="eastAsia" w:ascii="宋体" w:hAnsi="宋体" w:cs="宋体"/>
                <w:b/>
                <w:bCs/>
                <w:sz w:val="21"/>
                <w:szCs w:val="21"/>
                <w:highlight w:val="none"/>
                <w:lang w:val="en-US" w:eastAsia="zh-CN"/>
              </w:rPr>
              <w:t>工业。</w:t>
            </w:r>
            <w:r>
              <w:rPr>
                <w:rFonts w:hint="eastAsia" w:ascii="宋体" w:hAnsi="宋体" w:cs="宋体"/>
                <w:b w:val="0"/>
                <w:bCs w:val="0"/>
                <w:sz w:val="21"/>
                <w:szCs w:val="21"/>
                <w:highlight w:val="none"/>
                <w:lang w:val="en-US" w:eastAsia="zh-CN"/>
              </w:rPr>
              <w:t>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tc>
      </w:tr>
      <w:tr w14:paraId="4B56588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c>
          <w:tcPr>
            <w:tcW w:w="365" w:type="pct"/>
            <w:vAlign w:val="center"/>
          </w:tcPr>
          <w:p w14:paraId="59F115C2">
            <w:pPr>
              <w:keepNext w:val="0"/>
              <w:keepLines w:val="0"/>
              <w:pageBreakBefore w:val="0"/>
              <w:widowControl w:val="0"/>
              <w:kinsoku/>
              <w:wordWrap/>
              <w:overflowPunct/>
              <w:topLinePunct w:val="0"/>
              <w:autoSpaceDE/>
              <w:autoSpaceDN/>
              <w:bidi w:val="0"/>
              <w:adjustRightInd/>
              <w:spacing w:line="400" w:lineRule="exact"/>
              <w:ind w:right="0" w:rightChars="0"/>
              <w:jc w:val="center"/>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29</w:t>
            </w:r>
          </w:p>
        </w:tc>
        <w:tc>
          <w:tcPr>
            <w:tcW w:w="1547" w:type="pct"/>
            <w:vAlign w:val="center"/>
          </w:tcPr>
          <w:p w14:paraId="4B506F77">
            <w:pPr>
              <w:keepNext w:val="0"/>
              <w:keepLines w:val="0"/>
              <w:pageBreakBefore w:val="0"/>
              <w:widowControl w:val="0"/>
              <w:kinsoku/>
              <w:wordWrap/>
              <w:overflowPunct/>
              <w:topLinePunct w:val="0"/>
              <w:autoSpaceDE/>
              <w:autoSpaceDN/>
              <w:bidi w:val="0"/>
              <w:adjustRightInd/>
              <w:spacing w:line="400" w:lineRule="exact"/>
              <w:ind w:right="0" w:rightChars="0"/>
              <w:jc w:val="center"/>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其他</w:t>
            </w:r>
          </w:p>
        </w:tc>
        <w:tc>
          <w:tcPr>
            <w:tcW w:w="3086" w:type="pct"/>
            <w:vAlign w:val="center"/>
          </w:tcPr>
          <w:p w14:paraId="08FE1E9A">
            <w:pPr>
              <w:keepNext w:val="0"/>
              <w:keepLines w:val="0"/>
              <w:pageBreakBefore w:val="0"/>
              <w:widowControl w:val="0"/>
              <w:kinsoku/>
              <w:wordWrap/>
              <w:overflowPunct/>
              <w:topLinePunct w:val="0"/>
              <w:autoSpaceDE/>
              <w:autoSpaceDN/>
              <w:bidi w:val="0"/>
              <w:adjustRightInd/>
              <w:spacing w:line="400" w:lineRule="exact"/>
              <w:ind w:right="0" w:rightChars="0"/>
              <w:textAlignment w:val="auto"/>
              <w:outlineLvl w:val="9"/>
              <w:rPr>
                <w:rFonts w:hint="eastAsia" w:ascii="宋体" w:hAnsi="宋体" w:eastAsia="宋体" w:cs="宋体"/>
                <w:color w:val="auto"/>
                <w:sz w:val="21"/>
                <w:szCs w:val="21"/>
                <w:highlight w:val="none"/>
                <w:shd w:val="clear" w:color="auto" w:fill="FFFFFF"/>
                <w:lang w:eastAsia="zh-CN"/>
              </w:rPr>
            </w:pPr>
            <w:r>
              <w:rPr>
                <w:rFonts w:hint="eastAsia" w:ascii="宋体" w:hAnsi="宋体" w:eastAsia="宋体" w:cs="宋体"/>
                <w:sz w:val="21"/>
                <w:szCs w:val="21"/>
                <w:highlight w:val="none"/>
              </w:rPr>
              <w:t>本招标文件未明确的其他事项，按照有关法律、法规或省市有关规定执行。</w:t>
            </w:r>
          </w:p>
        </w:tc>
      </w:tr>
      <w:bookmarkEnd w:id="10"/>
    </w:tbl>
    <w:p w14:paraId="0C424670">
      <w:pPr>
        <w:keepNext w:val="0"/>
        <w:keepLines w:val="0"/>
        <w:pageBreakBefore w:val="0"/>
        <w:widowControl w:val="0"/>
        <w:kinsoku/>
        <w:wordWrap/>
        <w:overflowPunct/>
        <w:topLinePunct w:val="0"/>
        <w:autoSpaceDE/>
        <w:autoSpaceDN/>
        <w:bidi w:val="0"/>
        <w:adjustRightInd/>
        <w:snapToGrid/>
        <w:spacing w:line="500" w:lineRule="exact"/>
        <w:ind w:right="0" w:rightChars="0"/>
        <w:textAlignment w:val="auto"/>
        <w:outlineLvl w:val="9"/>
        <w:rPr>
          <w:rFonts w:hint="default" w:ascii="Times New Roman" w:hAnsi="Times New Roman" w:cs="Times New Roman"/>
          <w:spacing w:val="0"/>
          <w:sz w:val="21"/>
          <w:szCs w:val="21"/>
          <w:highlight w:val="none"/>
        </w:rPr>
      </w:pPr>
    </w:p>
    <w:p w14:paraId="76732AE9">
      <w:pPr>
        <w:rPr>
          <w:rFonts w:hint="default" w:ascii="Times New Roman" w:hAnsi="Times New Roman" w:cs="Times New Roman"/>
          <w:spacing w:val="0"/>
          <w:sz w:val="21"/>
          <w:szCs w:val="21"/>
          <w:highlight w:val="none"/>
        </w:rPr>
      </w:pPr>
    </w:p>
    <w:p w14:paraId="4E0BA4F1">
      <w:pPr>
        <w:rPr>
          <w:rFonts w:hint="default" w:ascii="Times New Roman" w:hAnsi="Times New Roman" w:cs="Times New Roman"/>
          <w:spacing w:val="0"/>
          <w:sz w:val="21"/>
          <w:szCs w:val="21"/>
          <w:highlight w:val="none"/>
        </w:rPr>
      </w:pPr>
    </w:p>
    <w:p w14:paraId="4C724C87">
      <w:pPr>
        <w:rPr>
          <w:rFonts w:hint="default" w:ascii="Times New Roman" w:hAnsi="Times New Roman" w:cs="Times New Roman"/>
          <w:spacing w:val="0"/>
          <w:sz w:val="21"/>
          <w:szCs w:val="21"/>
          <w:highlight w:val="none"/>
        </w:rPr>
      </w:pPr>
    </w:p>
    <w:p w14:paraId="3C932AA6">
      <w:pPr>
        <w:rPr>
          <w:rFonts w:hint="default" w:ascii="Times New Roman" w:hAnsi="Times New Roman" w:cs="Times New Roman"/>
          <w:spacing w:val="0"/>
          <w:sz w:val="21"/>
          <w:szCs w:val="21"/>
          <w:highlight w:val="none"/>
        </w:rPr>
      </w:pPr>
    </w:p>
    <w:p w14:paraId="28FC64E7">
      <w:pPr>
        <w:rPr>
          <w:rFonts w:hint="default" w:ascii="Times New Roman" w:hAnsi="Times New Roman" w:cs="Times New Roman"/>
          <w:spacing w:val="0"/>
          <w:sz w:val="21"/>
          <w:szCs w:val="21"/>
          <w:highlight w:val="none"/>
        </w:rPr>
      </w:pPr>
    </w:p>
    <w:p w14:paraId="1285C696">
      <w:pPr>
        <w:rPr>
          <w:rFonts w:hint="default" w:ascii="Times New Roman" w:hAnsi="Times New Roman" w:cs="Times New Roman"/>
          <w:spacing w:val="0"/>
          <w:sz w:val="21"/>
          <w:szCs w:val="21"/>
          <w:highlight w:val="none"/>
        </w:rPr>
      </w:pPr>
    </w:p>
    <w:p w14:paraId="0E6B3F59">
      <w:pPr>
        <w:rPr>
          <w:rFonts w:hint="default" w:ascii="Times New Roman" w:hAnsi="Times New Roman" w:cs="Times New Roman"/>
          <w:spacing w:val="0"/>
          <w:sz w:val="21"/>
          <w:szCs w:val="21"/>
          <w:highlight w:val="none"/>
        </w:rPr>
      </w:pPr>
    </w:p>
    <w:p w14:paraId="3342B7D3">
      <w:pPr>
        <w:rPr>
          <w:rFonts w:hint="default" w:ascii="Times New Roman" w:hAnsi="Times New Roman" w:cs="Times New Roman"/>
          <w:spacing w:val="0"/>
          <w:sz w:val="21"/>
          <w:szCs w:val="21"/>
          <w:highlight w:val="none"/>
        </w:rPr>
      </w:pPr>
    </w:p>
    <w:p w14:paraId="678F3228">
      <w:pPr>
        <w:rPr>
          <w:rFonts w:hint="default" w:ascii="Times New Roman" w:hAnsi="Times New Roman" w:cs="Times New Roman"/>
          <w:spacing w:val="0"/>
          <w:sz w:val="21"/>
          <w:szCs w:val="21"/>
          <w:highlight w:val="none"/>
        </w:rPr>
      </w:pPr>
    </w:p>
    <w:p w14:paraId="3691AC09">
      <w:pPr>
        <w:rPr>
          <w:rFonts w:hint="default" w:ascii="Times New Roman" w:hAnsi="Times New Roman" w:cs="Times New Roman"/>
          <w:spacing w:val="0"/>
          <w:sz w:val="21"/>
          <w:szCs w:val="21"/>
          <w:highlight w:val="none"/>
        </w:rPr>
      </w:pPr>
    </w:p>
    <w:p w14:paraId="78660099">
      <w:pPr>
        <w:rPr>
          <w:rFonts w:hint="default" w:ascii="Times New Roman" w:hAnsi="Times New Roman" w:cs="Times New Roman"/>
          <w:spacing w:val="0"/>
          <w:sz w:val="21"/>
          <w:szCs w:val="21"/>
          <w:highlight w:val="none"/>
        </w:rPr>
      </w:pPr>
    </w:p>
    <w:p w14:paraId="2F2927D8">
      <w:pPr>
        <w:rPr>
          <w:rFonts w:hint="default" w:ascii="Times New Roman" w:hAnsi="Times New Roman" w:cs="Times New Roman"/>
          <w:spacing w:val="0"/>
          <w:sz w:val="21"/>
          <w:szCs w:val="21"/>
          <w:highlight w:val="none"/>
        </w:rPr>
      </w:pPr>
    </w:p>
    <w:p w14:paraId="176352C9">
      <w:pPr>
        <w:rPr>
          <w:rFonts w:hint="default" w:ascii="Times New Roman" w:hAnsi="Times New Roman" w:cs="Times New Roman"/>
          <w:spacing w:val="0"/>
          <w:sz w:val="21"/>
          <w:szCs w:val="21"/>
          <w:highlight w:val="none"/>
        </w:rPr>
      </w:pPr>
    </w:p>
    <w:p w14:paraId="2BC0780C">
      <w:pPr>
        <w:rPr>
          <w:rFonts w:hint="default" w:ascii="Times New Roman" w:hAnsi="Times New Roman" w:cs="Times New Roman"/>
          <w:spacing w:val="0"/>
          <w:sz w:val="21"/>
          <w:szCs w:val="21"/>
          <w:highlight w:val="none"/>
        </w:rPr>
      </w:pPr>
    </w:p>
    <w:p w14:paraId="3168B29F">
      <w:pPr>
        <w:rPr>
          <w:rFonts w:hint="default" w:ascii="Times New Roman" w:hAnsi="Times New Roman" w:cs="Times New Roman"/>
          <w:spacing w:val="0"/>
          <w:sz w:val="21"/>
          <w:szCs w:val="21"/>
          <w:highlight w:val="none"/>
        </w:rPr>
      </w:pPr>
    </w:p>
    <w:p w14:paraId="5C70EDDD">
      <w:pPr>
        <w:rPr>
          <w:rFonts w:hint="default" w:ascii="Times New Roman" w:hAnsi="Times New Roman" w:cs="Times New Roman"/>
          <w:spacing w:val="0"/>
          <w:sz w:val="21"/>
          <w:szCs w:val="21"/>
          <w:highlight w:val="none"/>
        </w:rPr>
      </w:pPr>
    </w:p>
    <w:p w14:paraId="6FC51605">
      <w:pPr>
        <w:rPr>
          <w:rFonts w:hint="default" w:ascii="Times New Roman" w:hAnsi="Times New Roman" w:cs="Times New Roman"/>
          <w:spacing w:val="0"/>
          <w:sz w:val="21"/>
          <w:szCs w:val="21"/>
          <w:highlight w:val="none"/>
        </w:rPr>
      </w:pPr>
    </w:p>
    <w:p w14:paraId="31AED06E">
      <w:pPr>
        <w:rPr>
          <w:rFonts w:hint="default" w:ascii="Times New Roman" w:hAnsi="Times New Roman" w:cs="Times New Roman"/>
          <w:spacing w:val="0"/>
          <w:sz w:val="21"/>
          <w:szCs w:val="21"/>
          <w:highlight w:val="none"/>
        </w:rPr>
      </w:pPr>
    </w:p>
    <w:p w14:paraId="0B9C8E48">
      <w:pPr>
        <w:rPr>
          <w:rFonts w:hint="default" w:ascii="Times New Roman" w:hAnsi="Times New Roman" w:cs="Times New Roman"/>
          <w:spacing w:val="0"/>
          <w:sz w:val="21"/>
          <w:szCs w:val="21"/>
          <w:highlight w:val="none"/>
        </w:rPr>
      </w:pPr>
    </w:p>
    <w:p w14:paraId="25B04CEB">
      <w:pPr>
        <w:rPr>
          <w:rFonts w:hint="default" w:ascii="Times New Roman" w:hAnsi="Times New Roman" w:cs="Times New Roman"/>
          <w:spacing w:val="0"/>
          <w:sz w:val="21"/>
          <w:szCs w:val="21"/>
          <w:highlight w:val="none"/>
        </w:rPr>
      </w:pPr>
    </w:p>
    <w:p w14:paraId="3D8FD7BF">
      <w:pPr>
        <w:rPr>
          <w:rFonts w:hint="default" w:ascii="Times New Roman" w:hAnsi="Times New Roman" w:cs="Times New Roman"/>
          <w:spacing w:val="0"/>
          <w:sz w:val="21"/>
          <w:szCs w:val="21"/>
          <w:highlight w:val="none"/>
        </w:rPr>
      </w:pPr>
    </w:p>
    <w:p w14:paraId="2C0A36A6">
      <w:pPr>
        <w:rPr>
          <w:rFonts w:hint="default" w:ascii="Times New Roman" w:hAnsi="Times New Roman" w:cs="Times New Roman"/>
          <w:spacing w:val="0"/>
          <w:sz w:val="21"/>
          <w:szCs w:val="21"/>
          <w:highlight w:val="none"/>
        </w:rPr>
      </w:pPr>
    </w:p>
    <w:p w14:paraId="0CFEFD35">
      <w:pPr>
        <w:rPr>
          <w:rFonts w:hint="default" w:ascii="Times New Roman" w:hAnsi="Times New Roman" w:cs="Times New Roman"/>
          <w:spacing w:val="0"/>
          <w:sz w:val="21"/>
          <w:szCs w:val="21"/>
          <w:highlight w:val="none"/>
        </w:rPr>
      </w:pPr>
    </w:p>
    <w:p w14:paraId="322B1AD3">
      <w:pPr>
        <w:rPr>
          <w:rFonts w:hint="default" w:ascii="Times New Roman" w:hAnsi="Times New Roman" w:cs="Times New Roman"/>
          <w:spacing w:val="0"/>
          <w:sz w:val="21"/>
          <w:szCs w:val="21"/>
          <w:highlight w:val="none"/>
        </w:rPr>
      </w:pPr>
    </w:p>
    <w:p w14:paraId="5FA3EAA3">
      <w:pPr>
        <w:rPr>
          <w:rFonts w:hint="default" w:ascii="Times New Roman" w:hAnsi="Times New Roman" w:cs="Times New Roman"/>
          <w:spacing w:val="0"/>
          <w:sz w:val="21"/>
          <w:szCs w:val="21"/>
          <w:highlight w:val="none"/>
        </w:rPr>
      </w:pPr>
    </w:p>
    <w:p w14:paraId="5D26F27C">
      <w:pPr>
        <w:rPr>
          <w:rFonts w:hint="default" w:ascii="Times New Roman" w:hAnsi="Times New Roman" w:cs="Times New Roman"/>
          <w:spacing w:val="0"/>
          <w:sz w:val="21"/>
          <w:szCs w:val="21"/>
          <w:highlight w:val="none"/>
        </w:rPr>
      </w:pPr>
    </w:p>
    <w:p w14:paraId="7F0E4802">
      <w:pPr>
        <w:rPr>
          <w:rFonts w:hint="default" w:ascii="Times New Roman" w:hAnsi="Times New Roman" w:cs="Times New Roman"/>
          <w:spacing w:val="0"/>
          <w:sz w:val="21"/>
          <w:szCs w:val="21"/>
          <w:highlight w:val="none"/>
        </w:rPr>
      </w:pPr>
    </w:p>
    <w:p w14:paraId="624620D4">
      <w:pPr>
        <w:rPr>
          <w:rFonts w:hint="default" w:ascii="Times New Roman" w:hAnsi="Times New Roman" w:cs="Times New Roman"/>
          <w:spacing w:val="0"/>
          <w:sz w:val="21"/>
          <w:szCs w:val="21"/>
          <w:highlight w:val="none"/>
        </w:rPr>
      </w:pPr>
    </w:p>
    <w:p w14:paraId="0DB0381B">
      <w:pPr>
        <w:rPr>
          <w:rFonts w:hint="default" w:ascii="Times New Roman" w:hAnsi="Times New Roman" w:cs="Times New Roman"/>
          <w:spacing w:val="0"/>
          <w:sz w:val="21"/>
          <w:szCs w:val="21"/>
          <w:highlight w:val="none"/>
        </w:rPr>
      </w:pPr>
    </w:p>
    <w:p w14:paraId="0FA2ADC2">
      <w:pPr>
        <w:rPr>
          <w:rFonts w:hint="default" w:ascii="Times New Roman" w:hAnsi="Times New Roman" w:cs="Times New Roman"/>
          <w:spacing w:val="0"/>
          <w:sz w:val="21"/>
          <w:szCs w:val="21"/>
          <w:highlight w:val="none"/>
        </w:rPr>
      </w:pPr>
    </w:p>
    <w:p w14:paraId="066056ED">
      <w:pPr>
        <w:rPr>
          <w:rFonts w:hint="default" w:ascii="Times New Roman" w:hAnsi="Times New Roman" w:cs="Times New Roman"/>
          <w:spacing w:val="0"/>
          <w:sz w:val="21"/>
          <w:szCs w:val="21"/>
          <w:highlight w:val="none"/>
        </w:rPr>
      </w:pPr>
    </w:p>
    <w:p w14:paraId="53BA86CC">
      <w:pPr>
        <w:rPr>
          <w:rFonts w:hint="default" w:ascii="Times New Roman" w:hAnsi="Times New Roman" w:cs="Times New Roman"/>
          <w:spacing w:val="0"/>
          <w:sz w:val="21"/>
          <w:szCs w:val="21"/>
          <w:highlight w:val="none"/>
        </w:rPr>
      </w:pPr>
    </w:p>
    <w:p w14:paraId="5DA7C8E6">
      <w:pPr>
        <w:rPr>
          <w:rFonts w:hint="default" w:ascii="Times New Roman" w:hAnsi="Times New Roman" w:cs="Times New Roman"/>
          <w:spacing w:val="0"/>
          <w:sz w:val="21"/>
          <w:szCs w:val="21"/>
          <w:highlight w:val="none"/>
        </w:rPr>
      </w:pPr>
    </w:p>
    <w:p w14:paraId="2EC01FD0">
      <w:pPr>
        <w:rPr>
          <w:rFonts w:hint="default" w:ascii="Times New Roman" w:hAnsi="Times New Roman" w:cs="Times New Roman"/>
          <w:spacing w:val="0"/>
          <w:sz w:val="21"/>
          <w:szCs w:val="21"/>
          <w:highlight w:val="none"/>
        </w:rPr>
      </w:pPr>
    </w:p>
    <w:p w14:paraId="3D5D719F">
      <w:pPr>
        <w:rPr>
          <w:rFonts w:hint="default" w:ascii="Times New Roman" w:hAnsi="Times New Roman" w:cs="Times New Roman"/>
          <w:spacing w:val="0"/>
          <w:sz w:val="21"/>
          <w:szCs w:val="21"/>
          <w:highlight w:val="none"/>
        </w:rPr>
      </w:pPr>
    </w:p>
    <w:p w14:paraId="19403F3E">
      <w:pPr>
        <w:rPr>
          <w:rFonts w:ascii="宋体" w:hAnsi="宋体"/>
          <w:spacing w:val="0"/>
          <w:sz w:val="21"/>
          <w:szCs w:val="21"/>
          <w:highlight w:val="none"/>
        </w:rPr>
      </w:pPr>
      <w:r>
        <w:rPr>
          <w:rFonts w:hint="default" w:ascii="Times New Roman" w:hAnsi="Times New Roman" w:cs="Times New Roman"/>
          <w:spacing w:val="0"/>
          <w:sz w:val="21"/>
          <w:szCs w:val="21"/>
          <w:highlight w:val="none"/>
        </w:rPr>
        <w:t>附件</w:t>
      </w:r>
      <w:r>
        <w:rPr>
          <w:rFonts w:hint="eastAsia" w:cs="Times New Roman"/>
          <w:spacing w:val="0"/>
          <w:sz w:val="21"/>
          <w:szCs w:val="21"/>
          <w:highlight w:val="none"/>
          <w:lang w:eastAsia="zh-CN"/>
        </w:rPr>
        <w:t>一</w:t>
      </w:r>
      <w:r>
        <w:rPr>
          <w:rFonts w:hint="default" w:ascii="Times New Roman" w:hAnsi="Times New Roman" w:cs="Times New Roman"/>
          <w:spacing w:val="0"/>
          <w:sz w:val="21"/>
          <w:szCs w:val="21"/>
          <w:highlight w:val="none"/>
        </w:rPr>
        <w:t>：</w:t>
      </w:r>
    </w:p>
    <w:p w14:paraId="43919471">
      <w:pPr>
        <w:keepNext w:val="0"/>
        <w:keepLines w:val="0"/>
        <w:pageBreakBefore w:val="0"/>
        <w:widowControl w:val="0"/>
        <w:kinsoku/>
        <w:wordWrap/>
        <w:overflowPunct/>
        <w:topLinePunct w:val="0"/>
        <w:autoSpaceDE/>
        <w:autoSpaceDN/>
        <w:bidi w:val="0"/>
        <w:adjustRightInd/>
        <w:snapToGrid/>
        <w:spacing w:line="500" w:lineRule="exact"/>
        <w:ind w:right="0" w:rightChars="0" w:firstLine="562" w:firstLineChars="200"/>
        <w:jc w:val="center"/>
        <w:textAlignment w:val="auto"/>
        <w:outlineLvl w:val="9"/>
        <w:rPr>
          <w:rFonts w:ascii="宋体" w:hAnsi="宋体"/>
          <w:spacing w:val="0"/>
          <w:sz w:val="21"/>
          <w:szCs w:val="21"/>
          <w:highlight w:val="none"/>
        </w:rPr>
      </w:pPr>
      <w:r>
        <w:rPr>
          <w:rFonts w:hint="eastAsia" w:ascii="宋体" w:hAnsi="宋体"/>
          <w:b/>
          <w:spacing w:val="0"/>
          <w:sz w:val="28"/>
          <w:szCs w:val="28"/>
          <w:highlight w:val="none"/>
          <w:lang w:val="en-US" w:eastAsia="zh-CN"/>
        </w:rPr>
        <w:t>代理服务</w:t>
      </w:r>
      <w:r>
        <w:rPr>
          <w:rFonts w:hint="eastAsia" w:ascii="宋体" w:hAnsi="宋体"/>
          <w:b/>
          <w:spacing w:val="0"/>
          <w:sz w:val="28"/>
          <w:szCs w:val="28"/>
          <w:highlight w:val="none"/>
        </w:rPr>
        <w:t>费收取说明</w:t>
      </w:r>
    </w:p>
    <w:p w14:paraId="471FD026">
      <w:pPr>
        <w:keepNext w:val="0"/>
        <w:keepLines w:val="0"/>
        <w:pageBreakBefore w:val="0"/>
        <w:widowControl w:val="0"/>
        <w:kinsoku/>
        <w:wordWrap/>
        <w:overflowPunct/>
        <w:topLinePunct w:val="0"/>
        <w:autoSpaceDE/>
        <w:autoSpaceDN/>
        <w:bidi w:val="0"/>
        <w:adjustRightInd/>
        <w:snapToGrid/>
        <w:spacing w:line="500" w:lineRule="exact"/>
        <w:ind w:right="0" w:rightChars="0"/>
        <w:textAlignment w:val="auto"/>
        <w:outlineLvl w:val="9"/>
        <w:rPr>
          <w:rFonts w:hint="default" w:ascii="Times New Roman" w:hAnsi="Times New Roman" w:cs="Times New Roman"/>
          <w:spacing w:val="0"/>
          <w:sz w:val="21"/>
          <w:szCs w:val="21"/>
          <w:highlight w:val="none"/>
        </w:rPr>
      </w:pPr>
      <w:r>
        <w:rPr>
          <w:rFonts w:hint="eastAsia" w:ascii="宋体" w:hAnsi="宋体"/>
          <w:spacing w:val="0"/>
          <w:sz w:val="21"/>
          <w:szCs w:val="21"/>
          <w:highlight w:val="none"/>
          <w:lang w:val="en-US" w:eastAsia="zh-CN"/>
        </w:rPr>
        <w:t xml:space="preserve">    一</w:t>
      </w:r>
      <w:r>
        <w:rPr>
          <w:rFonts w:hint="eastAsia" w:ascii="宋体" w:hAnsi="宋体"/>
          <w:spacing w:val="0"/>
          <w:sz w:val="21"/>
          <w:szCs w:val="21"/>
          <w:highlight w:val="none"/>
        </w:rPr>
        <w:t>、请将款项汇至以下指定的银行账户内（须从公司基本账户转出）：</w:t>
      </w:r>
    </w:p>
    <w:tbl>
      <w:tblPr>
        <w:tblStyle w:val="40"/>
        <w:tblW w:w="8700" w:type="dxa"/>
        <w:tblInd w:w="648"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8700"/>
      </w:tblGrid>
      <w:tr w14:paraId="5E5CEA3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18" w:hRule="atLeast"/>
        </w:trPr>
        <w:tc>
          <w:tcPr>
            <w:tcW w:w="8700" w:type="dxa"/>
            <w:tcBorders>
              <w:tl2br w:val="nil"/>
              <w:tr2bl w:val="nil"/>
            </w:tcBorders>
            <w:vAlign w:val="center"/>
          </w:tcPr>
          <w:p w14:paraId="6FCEE1CC">
            <w:pPr>
              <w:keepNext w:val="0"/>
              <w:keepLines w:val="0"/>
              <w:pageBreakBefore w:val="0"/>
              <w:widowControl w:val="0"/>
              <w:kinsoku/>
              <w:wordWrap/>
              <w:overflowPunct/>
              <w:topLinePunct w:val="0"/>
              <w:autoSpaceDE/>
              <w:autoSpaceDN/>
              <w:bidi w:val="0"/>
              <w:adjustRightInd/>
              <w:snapToGrid/>
              <w:spacing w:line="500" w:lineRule="exact"/>
              <w:ind w:right="0" w:rightChars="0"/>
              <w:textAlignment w:val="auto"/>
              <w:outlineLvl w:val="9"/>
              <w:rPr>
                <w:rFonts w:hint="default" w:ascii="Times New Roman" w:hAnsi="Times New Roman" w:cs="Times New Roman"/>
                <w:spacing w:val="0"/>
                <w:sz w:val="21"/>
                <w:szCs w:val="21"/>
                <w:highlight w:val="none"/>
              </w:rPr>
            </w:pPr>
            <w:r>
              <w:rPr>
                <w:rFonts w:hint="default" w:ascii="Times New Roman" w:hAnsi="Times New Roman" w:cs="Times New Roman"/>
                <w:spacing w:val="0"/>
                <w:sz w:val="21"/>
                <w:szCs w:val="21"/>
                <w:highlight w:val="none"/>
              </w:rPr>
              <w:t>招标</w:t>
            </w:r>
            <w:r>
              <w:rPr>
                <w:rFonts w:hint="default" w:ascii="Times New Roman" w:hAnsi="Times New Roman" w:cs="Times New Roman"/>
                <w:spacing w:val="0"/>
                <w:sz w:val="21"/>
                <w:szCs w:val="21"/>
                <w:highlight w:val="none"/>
                <w:lang w:eastAsia="zh-CN"/>
              </w:rPr>
              <w:t>代理</w:t>
            </w:r>
            <w:r>
              <w:rPr>
                <w:rFonts w:hint="default" w:ascii="Times New Roman" w:hAnsi="Times New Roman" w:cs="Times New Roman"/>
                <w:spacing w:val="0"/>
                <w:sz w:val="21"/>
                <w:szCs w:val="21"/>
                <w:highlight w:val="none"/>
              </w:rPr>
              <w:t>服务费</w:t>
            </w:r>
            <w:r>
              <w:rPr>
                <w:rFonts w:hint="default" w:ascii="Times New Roman" w:hAnsi="Times New Roman" w:cs="Times New Roman"/>
                <w:spacing w:val="0"/>
                <w:sz w:val="21"/>
                <w:szCs w:val="21"/>
                <w:highlight w:val="none"/>
                <w:lang w:eastAsia="zh-CN"/>
              </w:rPr>
              <w:t>专</w:t>
            </w:r>
            <w:r>
              <w:rPr>
                <w:rFonts w:hint="eastAsia" w:cs="Times New Roman"/>
                <w:spacing w:val="0"/>
                <w:sz w:val="21"/>
                <w:szCs w:val="21"/>
                <w:highlight w:val="none"/>
                <w:lang w:eastAsia="zh-CN"/>
              </w:rPr>
              <w:t>项目</w:t>
            </w:r>
          </w:p>
        </w:tc>
      </w:tr>
      <w:tr w14:paraId="4907414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367" w:hRule="atLeast"/>
        </w:trPr>
        <w:tc>
          <w:tcPr>
            <w:tcW w:w="8700" w:type="dxa"/>
            <w:tcBorders>
              <w:tl2br w:val="nil"/>
              <w:tr2bl w:val="nil"/>
            </w:tcBorders>
            <w:vAlign w:val="center"/>
          </w:tcPr>
          <w:p w14:paraId="6B251BDA">
            <w:pPr>
              <w:keepNext w:val="0"/>
              <w:keepLines w:val="0"/>
              <w:pageBreakBefore w:val="0"/>
              <w:widowControl w:val="0"/>
              <w:kinsoku/>
              <w:wordWrap/>
              <w:overflowPunct/>
              <w:topLinePunct w:val="0"/>
              <w:autoSpaceDE/>
              <w:autoSpaceDN/>
              <w:bidi w:val="0"/>
              <w:adjustRightInd/>
              <w:snapToGrid/>
              <w:spacing w:line="500" w:lineRule="exact"/>
              <w:ind w:left="630" w:leftChars="300" w:right="0" w:rightChars="0"/>
              <w:textAlignment w:val="auto"/>
              <w:outlineLvl w:val="9"/>
              <w:rPr>
                <w:rFonts w:hint="default" w:ascii="Times New Roman" w:hAnsi="Times New Roman" w:cs="Times New Roman"/>
                <w:spacing w:val="0"/>
                <w:sz w:val="21"/>
                <w:szCs w:val="21"/>
                <w:highlight w:val="none"/>
                <w:lang w:val="en-US"/>
              </w:rPr>
            </w:pPr>
            <w:r>
              <w:rPr>
                <w:rFonts w:hint="default" w:ascii="Times New Roman" w:hAnsi="Times New Roman" w:cs="Times New Roman"/>
                <w:spacing w:val="0"/>
                <w:sz w:val="21"/>
                <w:szCs w:val="21"/>
                <w:highlight w:val="none"/>
              </w:rPr>
              <w:t>名  称：</w:t>
            </w:r>
            <w:r>
              <w:rPr>
                <w:rFonts w:hint="eastAsia" w:cs="Times New Roman"/>
                <w:szCs w:val="21"/>
                <w:highlight w:val="none"/>
                <w:lang w:val="en-US" w:eastAsia="zh-CN"/>
              </w:rPr>
              <w:t>瑞恒项目管理有限公司安康市分公司</w:t>
            </w:r>
          </w:p>
          <w:p w14:paraId="3C562446">
            <w:pPr>
              <w:keepNext w:val="0"/>
              <w:keepLines w:val="0"/>
              <w:pageBreakBefore w:val="0"/>
              <w:widowControl w:val="0"/>
              <w:kinsoku/>
              <w:wordWrap/>
              <w:overflowPunct/>
              <w:topLinePunct w:val="0"/>
              <w:autoSpaceDE/>
              <w:autoSpaceDN/>
              <w:bidi w:val="0"/>
              <w:adjustRightInd/>
              <w:snapToGrid/>
              <w:spacing w:line="500" w:lineRule="exact"/>
              <w:ind w:left="630" w:leftChars="300" w:right="0" w:rightChars="0"/>
              <w:textAlignment w:val="auto"/>
              <w:outlineLvl w:val="9"/>
              <w:rPr>
                <w:rFonts w:hint="default" w:ascii="Times New Roman" w:hAnsi="Times New Roman" w:cs="Times New Roman"/>
                <w:spacing w:val="0"/>
                <w:sz w:val="21"/>
                <w:szCs w:val="21"/>
                <w:highlight w:val="none"/>
                <w:lang w:val="en-US"/>
              </w:rPr>
            </w:pPr>
            <w:r>
              <w:rPr>
                <w:rFonts w:hint="default" w:ascii="Times New Roman" w:hAnsi="Times New Roman" w:cs="Times New Roman"/>
                <w:spacing w:val="0"/>
                <w:sz w:val="21"/>
                <w:szCs w:val="21"/>
                <w:highlight w:val="none"/>
              </w:rPr>
              <w:t>开户行：</w:t>
            </w:r>
            <w:r>
              <w:rPr>
                <w:rFonts w:hint="eastAsia" w:cs="Times New Roman"/>
                <w:szCs w:val="21"/>
                <w:highlight w:val="none"/>
                <w:lang w:val="en-US" w:eastAsia="zh-CN"/>
              </w:rPr>
              <w:t>工行安康解放路支行</w:t>
            </w:r>
          </w:p>
          <w:p w14:paraId="40869D96">
            <w:pPr>
              <w:keepNext w:val="0"/>
              <w:keepLines w:val="0"/>
              <w:pageBreakBefore w:val="0"/>
              <w:widowControl w:val="0"/>
              <w:kinsoku/>
              <w:wordWrap/>
              <w:overflowPunct/>
              <w:topLinePunct w:val="0"/>
              <w:autoSpaceDE/>
              <w:autoSpaceDN/>
              <w:bidi w:val="0"/>
              <w:adjustRightInd/>
              <w:snapToGrid/>
              <w:spacing w:line="500" w:lineRule="exact"/>
              <w:ind w:left="630" w:leftChars="300" w:right="0" w:rightChars="0"/>
              <w:textAlignment w:val="auto"/>
              <w:outlineLvl w:val="9"/>
              <w:rPr>
                <w:rFonts w:hint="default" w:ascii="宋体" w:hAnsi="宋体" w:eastAsia="宋体" w:cs="宋体"/>
                <w:szCs w:val="21"/>
                <w:highlight w:val="none"/>
                <w:lang w:val="en-US" w:eastAsia="zh-CN"/>
              </w:rPr>
            </w:pPr>
            <w:r>
              <w:rPr>
                <w:rFonts w:hint="default" w:ascii="Times New Roman" w:hAnsi="Times New Roman" w:cs="Times New Roman"/>
                <w:szCs w:val="21"/>
                <w:highlight w:val="none"/>
                <w:lang w:val="en-US" w:eastAsia="zh-CN"/>
              </w:rPr>
              <w:t>帐  号：</w:t>
            </w:r>
            <w:r>
              <w:rPr>
                <w:rFonts w:hint="eastAsia" w:ascii="宋体" w:hAnsi="宋体" w:cs="宋体"/>
                <w:szCs w:val="21"/>
                <w:highlight w:val="none"/>
                <w:lang w:val="en-US" w:eastAsia="zh-CN"/>
              </w:rPr>
              <w:t>2607065009200111267</w:t>
            </w:r>
          </w:p>
          <w:p w14:paraId="19876A54">
            <w:pPr>
              <w:keepNext w:val="0"/>
              <w:keepLines w:val="0"/>
              <w:pageBreakBefore w:val="0"/>
              <w:widowControl w:val="0"/>
              <w:kinsoku/>
              <w:wordWrap/>
              <w:overflowPunct/>
              <w:topLinePunct w:val="0"/>
              <w:autoSpaceDE/>
              <w:autoSpaceDN/>
              <w:bidi w:val="0"/>
              <w:adjustRightInd/>
              <w:snapToGrid/>
              <w:spacing w:line="500" w:lineRule="exact"/>
              <w:ind w:left="630" w:leftChars="300" w:right="0" w:rightChars="0"/>
              <w:textAlignment w:val="auto"/>
              <w:outlineLvl w:val="9"/>
              <w:rPr>
                <w:rFonts w:hint="default" w:ascii="Times New Roman" w:hAnsi="Times New Roman" w:cs="Times New Roman"/>
                <w:spacing w:val="0"/>
                <w:sz w:val="21"/>
                <w:szCs w:val="21"/>
                <w:highlight w:val="none"/>
              </w:rPr>
            </w:pPr>
            <w:r>
              <w:rPr>
                <w:rFonts w:hint="default" w:ascii="Times New Roman" w:hAnsi="Times New Roman" w:cs="Times New Roman"/>
                <w:spacing w:val="0"/>
                <w:sz w:val="21"/>
                <w:szCs w:val="21"/>
                <w:highlight w:val="none"/>
              </w:rPr>
              <w:t>备</w:t>
            </w:r>
            <w:r>
              <w:rPr>
                <w:rFonts w:hint="eastAsia" w:ascii="Times New Roman" w:hAnsi="Times New Roman" w:cs="Times New Roman"/>
                <w:spacing w:val="0"/>
                <w:sz w:val="21"/>
                <w:szCs w:val="21"/>
                <w:highlight w:val="none"/>
                <w:lang w:val="en-US" w:eastAsia="zh-CN"/>
              </w:rPr>
              <w:t xml:space="preserve">  </w:t>
            </w:r>
            <w:r>
              <w:rPr>
                <w:rFonts w:hint="default" w:ascii="Times New Roman" w:hAnsi="Times New Roman" w:cs="Times New Roman"/>
                <w:spacing w:val="0"/>
                <w:sz w:val="21"/>
                <w:szCs w:val="21"/>
                <w:highlight w:val="none"/>
              </w:rPr>
              <w:t>注：</w:t>
            </w:r>
            <w:r>
              <w:rPr>
                <w:rFonts w:hint="default" w:ascii="Times New Roman" w:hAnsi="Times New Roman" w:cs="Times New Roman"/>
                <w:spacing w:val="0"/>
                <w:sz w:val="21"/>
                <w:szCs w:val="21"/>
                <w:highlight w:val="none"/>
                <w:lang w:eastAsia="zh-CN"/>
              </w:rPr>
              <w:t>转账</w:t>
            </w:r>
            <w:r>
              <w:rPr>
                <w:rFonts w:hint="default" w:ascii="Times New Roman" w:hAnsi="Times New Roman" w:cs="Times New Roman"/>
                <w:spacing w:val="0"/>
                <w:sz w:val="21"/>
                <w:szCs w:val="21"/>
                <w:highlight w:val="none"/>
              </w:rPr>
              <w:t>时请注明项目编号</w:t>
            </w:r>
            <w:r>
              <w:rPr>
                <w:rFonts w:hint="eastAsia" w:ascii="宋体" w:hAnsi="宋体" w:eastAsia="宋体" w:cs="宋体"/>
                <w:spacing w:val="0"/>
                <w:sz w:val="21"/>
                <w:szCs w:val="21"/>
                <w:highlight w:val="none"/>
              </w:rPr>
              <w:t>信息</w:t>
            </w:r>
            <w:r>
              <w:rPr>
                <w:rFonts w:hint="eastAsia" w:ascii="宋体" w:hAnsi="宋体" w:eastAsia="宋体" w:cs="宋体"/>
                <w:color w:val="000000"/>
                <w:spacing w:val="0"/>
                <w:sz w:val="21"/>
                <w:szCs w:val="21"/>
                <w:highlight w:val="none"/>
                <w:lang w:eastAsia="zh-CN"/>
              </w:rPr>
              <w:t>“</w:t>
            </w:r>
            <w:r>
              <w:rPr>
                <w:rFonts w:hint="eastAsia" w:ascii="宋体" w:hAnsi="宋体" w:cs="宋体"/>
                <w:szCs w:val="21"/>
                <w:highlight w:val="none"/>
                <w:lang w:val="en-US" w:eastAsia="zh-CN"/>
              </w:rPr>
              <w:t xml:space="preserve">         </w:t>
            </w:r>
            <w:r>
              <w:rPr>
                <w:rFonts w:hint="default" w:ascii="Times New Roman" w:hAnsi="Times New Roman" w:cs="Times New Roman"/>
                <w:color w:val="000000"/>
                <w:spacing w:val="0"/>
                <w:sz w:val="21"/>
                <w:szCs w:val="21"/>
                <w:highlight w:val="none"/>
              </w:rPr>
              <w:t>项</w:t>
            </w:r>
            <w:r>
              <w:rPr>
                <w:rFonts w:hint="default" w:ascii="Times New Roman" w:hAnsi="Times New Roman" w:cs="Times New Roman"/>
                <w:spacing w:val="0"/>
                <w:sz w:val="21"/>
                <w:szCs w:val="21"/>
                <w:highlight w:val="none"/>
              </w:rPr>
              <w:t>目</w:t>
            </w:r>
            <w:r>
              <w:rPr>
                <w:rFonts w:hint="default" w:ascii="Times New Roman" w:hAnsi="Times New Roman" w:cs="Times New Roman"/>
                <w:spacing w:val="0"/>
                <w:sz w:val="21"/>
                <w:szCs w:val="21"/>
                <w:highlight w:val="none"/>
                <w:lang w:eastAsia="zh-CN"/>
              </w:rPr>
              <w:t>招标代理服务费</w:t>
            </w:r>
            <w:r>
              <w:rPr>
                <w:rFonts w:hint="eastAsia" w:ascii="Times New Roman" w:hAnsi="Times New Roman" w:cs="Times New Roman"/>
                <w:spacing w:val="0"/>
                <w:sz w:val="21"/>
                <w:szCs w:val="21"/>
                <w:highlight w:val="none"/>
                <w:lang w:eastAsia="zh-CN"/>
              </w:rPr>
              <w:t>”</w:t>
            </w:r>
          </w:p>
        </w:tc>
      </w:tr>
    </w:tbl>
    <w:p w14:paraId="19D2D153">
      <w:pPr>
        <w:keepNext w:val="0"/>
        <w:keepLines w:val="0"/>
        <w:pageBreakBefore w:val="0"/>
        <w:widowControl w:val="0"/>
        <w:kinsoku/>
        <w:wordWrap/>
        <w:overflowPunct/>
        <w:topLinePunct w:val="0"/>
        <w:autoSpaceDE/>
        <w:autoSpaceDN/>
        <w:bidi w:val="0"/>
        <w:adjustRightInd/>
        <w:snapToGrid/>
        <w:spacing w:line="500" w:lineRule="exact"/>
        <w:ind w:right="0" w:rightChars="0" w:firstLine="420"/>
        <w:textAlignment w:val="auto"/>
        <w:outlineLvl w:val="9"/>
        <w:rPr>
          <w:rFonts w:hint="eastAsia" w:ascii="宋体" w:hAnsi="宋体"/>
          <w:spacing w:val="0"/>
          <w:sz w:val="21"/>
          <w:szCs w:val="21"/>
          <w:highlight w:val="none"/>
        </w:rPr>
      </w:pPr>
      <w:r>
        <w:rPr>
          <w:rFonts w:hint="eastAsia" w:ascii="宋体" w:hAnsi="宋体"/>
          <w:spacing w:val="0"/>
          <w:sz w:val="21"/>
          <w:szCs w:val="21"/>
          <w:highlight w:val="none"/>
          <w:lang w:eastAsia="zh-CN"/>
        </w:rPr>
        <w:t>二</w:t>
      </w:r>
      <w:r>
        <w:rPr>
          <w:rFonts w:hint="eastAsia" w:ascii="宋体" w:hAnsi="宋体"/>
          <w:spacing w:val="0"/>
          <w:sz w:val="21"/>
          <w:szCs w:val="21"/>
          <w:highlight w:val="none"/>
        </w:rPr>
        <w:t>、投标人需要办理完税发票（招标</w:t>
      </w:r>
      <w:r>
        <w:rPr>
          <w:rFonts w:hint="eastAsia" w:ascii="宋体" w:hAnsi="宋体"/>
          <w:spacing w:val="0"/>
          <w:sz w:val="21"/>
          <w:szCs w:val="21"/>
          <w:highlight w:val="none"/>
          <w:lang w:eastAsia="zh-CN"/>
        </w:rPr>
        <w:t>代理</w:t>
      </w:r>
      <w:r>
        <w:rPr>
          <w:rFonts w:hint="eastAsia" w:ascii="宋体" w:hAnsi="宋体"/>
          <w:spacing w:val="0"/>
          <w:sz w:val="21"/>
          <w:szCs w:val="21"/>
          <w:highlight w:val="none"/>
        </w:rPr>
        <w:t>服务费）的，须在</w:t>
      </w:r>
      <w:r>
        <w:rPr>
          <w:rFonts w:hint="eastAsia"/>
          <w:szCs w:val="21"/>
          <w:highlight w:val="none"/>
          <w:lang w:val="en-US" w:eastAsia="zh-CN"/>
        </w:rPr>
        <w:t>瑞恒项目管理有限公司</w:t>
      </w:r>
      <w:r>
        <w:rPr>
          <w:rFonts w:hint="eastAsia" w:ascii="宋体" w:hAnsi="宋体"/>
          <w:spacing w:val="0"/>
          <w:sz w:val="21"/>
          <w:szCs w:val="21"/>
          <w:highlight w:val="none"/>
        </w:rPr>
        <w:t>财务部的收款收据</w:t>
      </w:r>
      <w:r>
        <w:rPr>
          <w:rFonts w:hint="eastAsia" w:ascii="宋体" w:hAnsi="宋体"/>
          <w:spacing w:val="0"/>
          <w:sz w:val="21"/>
          <w:szCs w:val="21"/>
          <w:highlight w:val="none"/>
          <w:lang w:eastAsia="zh-CN"/>
        </w:rPr>
        <w:t>或发票</w:t>
      </w:r>
      <w:r>
        <w:rPr>
          <w:rFonts w:hint="eastAsia" w:ascii="宋体" w:hAnsi="宋体"/>
          <w:spacing w:val="0"/>
          <w:sz w:val="21"/>
          <w:szCs w:val="21"/>
          <w:highlight w:val="none"/>
        </w:rPr>
        <w:t>开具之日起</w:t>
      </w:r>
      <w:r>
        <w:rPr>
          <w:rFonts w:hint="default" w:ascii="Times New Roman" w:hAnsi="Times New Roman" w:cs="Times New Roman"/>
          <w:spacing w:val="0"/>
          <w:sz w:val="21"/>
          <w:szCs w:val="21"/>
          <w:highlight w:val="none"/>
        </w:rPr>
        <w:t>90</w:t>
      </w:r>
      <w:r>
        <w:rPr>
          <w:rFonts w:hint="eastAsia" w:ascii="宋体" w:hAnsi="宋体"/>
          <w:spacing w:val="0"/>
          <w:sz w:val="21"/>
          <w:szCs w:val="21"/>
          <w:highlight w:val="none"/>
        </w:rPr>
        <w:t>日内换领，逾期不予办理。</w:t>
      </w:r>
    </w:p>
    <w:p w14:paraId="7A45715D">
      <w:pPr>
        <w:keepNext w:val="0"/>
        <w:keepLines w:val="0"/>
        <w:pageBreakBefore w:val="0"/>
        <w:widowControl w:val="0"/>
        <w:kinsoku/>
        <w:wordWrap/>
        <w:overflowPunct/>
        <w:topLinePunct w:val="0"/>
        <w:autoSpaceDE/>
        <w:autoSpaceDN/>
        <w:bidi w:val="0"/>
        <w:adjustRightInd/>
        <w:snapToGrid/>
        <w:spacing w:line="500" w:lineRule="exact"/>
        <w:ind w:right="0" w:rightChars="0" w:firstLine="420"/>
        <w:textAlignment w:val="auto"/>
        <w:outlineLvl w:val="9"/>
        <w:rPr>
          <w:rFonts w:hint="eastAsia" w:ascii="宋体" w:hAnsi="宋体"/>
          <w:spacing w:val="0"/>
          <w:sz w:val="21"/>
          <w:szCs w:val="21"/>
          <w:highlight w:val="none"/>
        </w:rPr>
      </w:pPr>
    </w:p>
    <w:p w14:paraId="6337ED6E">
      <w:pPr>
        <w:keepNext w:val="0"/>
        <w:keepLines w:val="0"/>
        <w:pageBreakBefore w:val="0"/>
        <w:widowControl w:val="0"/>
        <w:kinsoku/>
        <w:wordWrap/>
        <w:overflowPunct/>
        <w:topLinePunct w:val="0"/>
        <w:autoSpaceDE/>
        <w:autoSpaceDN/>
        <w:bidi w:val="0"/>
        <w:adjustRightInd/>
        <w:snapToGrid/>
        <w:spacing w:line="500" w:lineRule="exact"/>
        <w:ind w:right="0" w:rightChars="0" w:firstLine="420"/>
        <w:textAlignment w:val="auto"/>
        <w:outlineLvl w:val="9"/>
        <w:rPr>
          <w:rFonts w:hint="eastAsia" w:ascii="宋体" w:hAnsi="宋体"/>
          <w:spacing w:val="0"/>
          <w:sz w:val="21"/>
          <w:szCs w:val="21"/>
          <w:highlight w:val="none"/>
        </w:rPr>
      </w:pPr>
    </w:p>
    <w:p w14:paraId="6D957094">
      <w:pPr>
        <w:keepNext w:val="0"/>
        <w:keepLines w:val="0"/>
        <w:pageBreakBefore w:val="0"/>
        <w:widowControl w:val="0"/>
        <w:kinsoku/>
        <w:wordWrap/>
        <w:overflowPunct/>
        <w:topLinePunct w:val="0"/>
        <w:autoSpaceDE/>
        <w:autoSpaceDN/>
        <w:bidi w:val="0"/>
        <w:adjustRightInd/>
        <w:snapToGrid/>
        <w:spacing w:line="500" w:lineRule="exact"/>
        <w:ind w:right="0" w:rightChars="0" w:firstLine="420"/>
        <w:textAlignment w:val="auto"/>
        <w:outlineLvl w:val="9"/>
        <w:rPr>
          <w:rFonts w:hint="eastAsia" w:ascii="宋体" w:hAnsi="宋体"/>
          <w:spacing w:val="0"/>
          <w:sz w:val="21"/>
          <w:szCs w:val="21"/>
          <w:highlight w:val="none"/>
        </w:rPr>
      </w:pPr>
    </w:p>
    <w:p w14:paraId="2F5BE294">
      <w:pPr>
        <w:keepNext w:val="0"/>
        <w:keepLines w:val="0"/>
        <w:pageBreakBefore w:val="0"/>
        <w:widowControl w:val="0"/>
        <w:kinsoku/>
        <w:wordWrap/>
        <w:overflowPunct/>
        <w:topLinePunct w:val="0"/>
        <w:autoSpaceDE/>
        <w:autoSpaceDN/>
        <w:bidi w:val="0"/>
        <w:adjustRightInd/>
        <w:snapToGrid/>
        <w:spacing w:line="500" w:lineRule="exact"/>
        <w:ind w:right="0" w:rightChars="0" w:firstLine="420"/>
        <w:textAlignment w:val="auto"/>
        <w:outlineLvl w:val="9"/>
        <w:rPr>
          <w:rFonts w:hint="eastAsia" w:ascii="宋体" w:hAnsi="宋体"/>
          <w:spacing w:val="0"/>
          <w:sz w:val="21"/>
          <w:szCs w:val="21"/>
          <w:highlight w:val="none"/>
        </w:rPr>
      </w:pPr>
    </w:p>
    <w:p w14:paraId="3097FD8B">
      <w:pPr>
        <w:keepNext w:val="0"/>
        <w:keepLines w:val="0"/>
        <w:pageBreakBefore w:val="0"/>
        <w:widowControl w:val="0"/>
        <w:kinsoku/>
        <w:wordWrap/>
        <w:overflowPunct/>
        <w:topLinePunct w:val="0"/>
        <w:autoSpaceDE/>
        <w:autoSpaceDN/>
        <w:bidi w:val="0"/>
        <w:adjustRightInd/>
        <w:snapToGrid/>
        <w:spacing w:line="500" w:lineRule="exact"/>
        <w:ind w:right="0" w:rightChars="0" w:firstLine="420"/>
        <w:textAlignment w:val="auto"/>
        <w:outlineLvl w:val="9"/>
        <w:rPr>
          <w:rFonts w:hint="eastAsia" w:ascii="宋体" w:hAnsi="宋体"/>
          <w:spacing w:val="0"/>
          <w:sz w:val="21"/>
          <w:szCs w:val="21"/>
          <w:highlight w:val="none"/>
        </w:rPr>
      </w:pPr>
    </w:p>
    <w:p w14:paraId="18C9BD6E">
      <w:pPr>
        <w:keepNext w:val="0"/>
        <w:keepLines w:val="0"/>
        <w:pageBreakBefore w:val="0"/>
        <w:widowControl w:val="0"/>
        <w:kinsoku/>
        <w:wordWrap/>
        <w:overflowPunct/>
        <w:topLinePunct w:val="0"/>
        <w:autoSpaceDE/>
        <w:autoSpaceDN/>
        <w:bidi w:val="0"/>
        <w:adjustRightInd/>
        <w:snapToGrid/>
        <w:spacing w:line="500" w:lineRule="exact"/>
        <w:ind w:right="0" w:rightChars="0" w:firstLine="420"/>
        <w:textAlignment w:val="auto"/>
        <w:outlineLvl w:val="9"/>
        <w:rPr>
          <w:rFonts w:hint="eastAsia" w:ascii="宋体" w:hAnsi="宋体"/>
          <w:spacing w:val="0"/>
          <w:sz w:val="21"/>
          <w:szCs w:val="21"/>
          <w:highlight w:val="none"/>
        </w:rPr>
      </w:pPr>
    </w:p>
    <w:p w14:paraId="4CC6C2E4">
      <w:pPr>
        <w:keepNext w:val="0"/>
        <w:keepLines w:val="0"/>
        <w:pageBreakBefore w:val="0"/>
        <w:widowControl w:val="0"/>
        <w:kinsoku/>
        <w:wordWrap/>
        <w:overflowPunct/>
        <w:topLinePunct w:val="0"/>
        <w:autoSpaceDE/>
        <w:autoSpaceDN/>
        <w:bidi w:val="0"/>
        <w:adjustRightInd/>
        <w:snapToGrid/>
        <w:spacing w:line="500" w:lineRule="exact"/>
        <w:ind w:right="0" w:rightChars="0"/>
        <w:textAlignment w:val="auto"/>
        <w:outlineLvl w:val="9"/>
        <w:rPr>
          <w:rFonts w:hint="default" w:ascii="Times New Roman" w:hAnsi="Times New Roman" w:cs="Times New Roman"/>
          <w:sz w:val="21"/>
          <w:szCs w:val="21"/>
          <w:highlight w:val="none"/>
        </w:rPr>
      </w:pPr>
    </w:p>
    <w:p w14:paraId="1E7B3B3D">
      <w:pPr>
        <w:keepNext w:val="0"/>
        <w:keepLines w:val="0"/>
        <w:pageBreakBefore w:val="0"/>
        <w:widowControl w:val="0"/>
        <w:kinsoku/>
        <w:wordWrap/>
        <w:overflowPunct/>
        <w:topLinePunct w:val="0"/>
        <w:autoSpaceDE/>
        <w:autoSpaceDN/>
        <w:bidi w:val="0"/>
        <w:adjustRightInd/>
        <w:snapToGrid/>
        <w:spacing w:line="500" w:lineRule="exact"/>
        <w:ind w:right="0" w:rightChars="0"/>
        <w:textAlignment w:val="auto"/>
        <w:outlineLvl w:val="9"/>
        <w:rPr>
          <w:rFonts w:hint="default" w:ascii="Times New Roman" w:hAnsi="Times New Roman" w:cs="Times New Roman"/>
          <w:sz w:val="21"/>
          <w:szCs w:val="21"/>
          <w:highlight w:val="none"/>
        </w:rPr>
      </w:pPr>
    </w:p>
    <w:p w14:paraId="65ED86A9">
      <w:pPr>
        <w:keepNext w:val="0"/>
        <w:keepLines w:val="0"/>
        <w:pageBreakBefore w:val="0"/>
        <w:widowControl w:val="0"/>
        <w:kinsoku/>
        <w:wordWrap/>
        <w:overflowPunct/>
        <w:topLinePunct w:val="0"/>
        <w:autoSpaceDE/>
        <w:autoSpaceDN/>
        <w:bidi w:val="0"/>
        <w:adjustRightInd/>
        <w:snapToGrid/>
        <w:spacing w:line="500" w:lineRule="exact"/>
        <w:ind w:right="0" w:rightChars="0"/>
        <w:textAlignment w:val="auto"/>
        <w:outlineLvl w:val="9"/>
        <w:rPr>
          <w:rFonts w:hint="default" w:ascii="Times New Roman" w:hAnsi="Times New Roman" w:cs="Times New Roman"/>
          <w:sz w:val="21"/>
          <w:szCs w:val="21"/>
          <w:highlight w:val="none"/>
        </w:rPr>
      </w:pPr>
    </w:p>
    <w:p w14:paraId="600CE845">
      <w:pPr>
        <w:keepNext w:val="0"/>
        <w:keepLines w:val="0"/>
        <w:pageBreakBefore w:val="0"/>
        <w:widowControl w:val="0"/>
        <w:kinsoku/>
        <w:wordWrap/>
        <w:overflowPunct/>
        <w:topLinePunct w:val="0"/>
        <w:autoSpaceDE/>
        <w:autoSpaceDN/>
        <w:bidi w:val="0"/>
        <w:adjustRightInd/>
        <w:snapToGrid/>
        <w:spacing w:line="500" w:lineRule="exact"/>
        <w:ind w:right="0" w:rightChars="0"/>
        <w:textAlignment w:val="auto"/>
        <w:outlineLvl w:val="9"/>
        <w:rPr>
          <w:rFonts w:hint="default" w:ascii="Times New Roman" w:hAnsi="Times New Roman" w:cs="Times New Roman"/>
          <w:sz w:val="21"/>
          <w:szCs w:val="21"/>
          <w:highlight w:val="none"/>
        </w:rPr>
      </w:pPr>
    </w:p>
    <w:p w14:paraId="678039B6">
      <w:pPr>
        <w:keepNext w:val="0"/>
        <w:keepLines w:val="0"/>
        <w:pageBreakBefore w:val="0"/>
        <w:widowControl w:val="0"/>
        <w:kinsoku/>
        <w:wordWrap/>
        <w:overflowPunct/>
        <w:topLinePunct w:val="0"/>
        <w:autoSpaceDE/>
        <w:autoSpaceDN/>
        <w:bidi w:val="0"/>
        <w:adjustRightInd/>
        <w:snapToGrid/>
        <w:spacing w:line="500" w:lineRule="exact"/>
        <w:ind w:right="0" w:rightChars="0"/>
        <w:textAlignment w:val="auto"/>
        <w:outlineLvl w:val="9"/>
        <w:rPr>
          <w:rFonts w:hint="default" w:ascii="Times New Roman" w:hAnsi="Times New Roman" w:cs="Times New Roman"/>
          <w:sz w:val="21"/>
          <w:szCs w:val="21"/>
          <w:highlight w:val="none"/>
        </w:rPr>
      </w:pPr>
    </w:p>
    <w:p w14:paraId="1FA8D406">
      <w:pPr>
        <w:keepNext w:val="0"/>
        <w:keepLines w:val="0"/>
        <w:pageBreakBefore w:val="0"/>
        <w:widowControl w:val="0"/>
        <w:kinsoku/>
        <w:wordWrap/>
        <w:overflowPunct/>
        <w:topLinePunct w:val="0"/>
        <w:autoSpaceDE/>
        <w:autoSpaceDN/>
        <w:bidi w:val="0"/>
        <w:adjustRightInd/>
        <w:snapToGrid/>
        <w:spacing w:line="500" w:lineRule="exact"/>
        <w:ind w:right="0" w:rightChars="0"/>
        <w:textAlignment w:val="auto"/>
        <w:outlineLvl w:val="9"/>
        <w:rPr>
          <w:rFonts w:hint="default" w:ascii="Times New Roman" w:hAnsi="Times New Roman" w:cs="Times New Roman"/>
          <w:sz w:val="21"/>
          <w:szCs w:val="21"/>
          <w:highlight w:val="none"/>
        </w:rPr>
      </w:pPr>
    </w:p>
    <w:p w14:paraId="49728E10">
      <w:pPr>
        <w:keepNext w:val="0"/>
        <w:keepLines w:val="0"/>
        <w:pageBreakBefore w:val="0"/>
        <w:widowControl w:val="0"/>
        <w:kinsoku/>
        <w:wordWrap/>
        <w:overflowPunct/>
        <w:topLinePunct w:val="0"/>
        <w:autoSpaceDE/>
        <w:autoSpaceDN/>
        <w:bidi w:val="0"/>
        <w:adjustRightInd/>
        <w:snapToGrid/>
        <w:spacing w:line="500" w:lineRule="exact"/>
        <w:ind w:right="0" w:rightChars="0"/>
        <w:textAlignment w:val="auto"/>
        <w:outlineLvl w:val="9"/>
        <w:rPr>
          <w:rFonts w:hint="default" w:ascii="Times New Roman" w:hAnsi="Times New Roman" w:cs="Times New Roman"/>
          <w:sz w:val="21"/>
          <w:szCs w:val="21"/>
          <w:highlight w:val="none"/>
        </w:rPr>
      </w:pPr>
    </w:p>
    <w:p w14:paraId="1CFBA168">
      <w:pPr>
        <w:pStyle w:val="38"/>
        <w:rPr>
          <w:rFonts w:hint="default" w:ascii="Times New Roman" w:hAnsi="Times New Roman" w:cs="Times New Roman"/>
          <w:sz w:val="21"/>
          <w:szCs w:val="21"/>
          <w:highlight w:val="none"/>
        </w:rPr>
      </w:pPr>
    </w:p>
    <w:p w14:paraId="38A28CDE">
      <w:pPr>
        <w:pStyle w:val="38"/>
        <w:rPr>
          <w:rFonts w:hint="default" w:ascii="Times New Roman" w:hAnsi="Times New Roman" w:cs="Times New Roman"/>
          <w:sz w:val="21"/>
          <w:szCs w:val="21"/>
          <w:highlight w:val="none"/>
        </w:rPr>
      </w:pPr>
    </w:p>
    <w:p w14:paraId="797E2465">
      <w:pPr>
        <w:pStyle w:val="38"/>
        <w:rPr>
          <w:rFonts w:hint="default" w:ascii="Times New Roman" w:hAnsi="Times New Roman" w:cs="Times New Roman"/>
          <w:sz w:val="21"/>
          <w:szCs w:val="21"/>
          <w:highlight w:val="none"/>
        </w:rPr>
      </w:pPr>
    </w:p>
    <w:p w14:paraId="0695EFE7">
      <w:pPr>
        <w:pStyle w:val="38"/>
        <w:rPr>
          <w:rFonts w:hint="default" w:ascii="Times New Roman" w:hAnsi="Times New Roman" w:cs="Times New Roman"/>
          <w:sz w:val="21"/>
          <w:szCs w:val="21"/>
          <w:highlight w:val="none"/>
        </w:rPr>
      </w:pPr>
    </w:p>
    <w:p w14:paraId="00616999">
      <w:pPr>
        <w:keepNext w:val="0"/>
        <w:keepLines w:val="0"/>
        <w:pageBreakBefore w:val="0"/>
        <w:widowControl w:val="0"/>
        <w:kinsoku/>
        <w:wordWrap/>
        <w:overflowPunct/>
        <w:topLinePunct w:val="0"/>
        <w:autoSpaceDE/>
        <w:autoSpaceDN/>
        <w:bidi w:val="0"/>
        <w:adjustRightInd/>
        <w:snapToGrid/>
        <w:spacing w:line="500" w:lineRule="exact"/>
        <w:ind w:right="0" w:rightChars="0"/>
        <w:textAlignment w:val="auto"/>
        <w:outlineLvl w:val="9"/>
        <w:rPr>
          <w:rFonts w:hint="default" w:ascii="Times New Roman" w:hAnsi="Times New Roman" w:cs="Times New Roman"/>
          <w:sz w:val="21"/>
          <w:szCs w:val="21"/>
          <w:highlight w:val="none"/>
        </w:rPr>
      </w:pPr>
    </w:p>
    <w:p w14:paraId="3755F294">
      <w:pPr>
        <w:keepNext w:val="0"/>
        <w:keepLines w:val="0"/>
        <w:pageBreakBefore w:val="0"/>
        <w:widowControl w:val="0"/>
        <w:kinsoku/>
        <w:wordWrap/>
        <w:overflowPunct/>
        <w:topLinePunct w:val="0"/>
        <w:autoSpaceDE/>
        <w:autoSpaceDN/>
        <w:bidi w:val="0"/>
        <w:adjustRightInd/>
        <w:snapToGrid/>
        <w:spacing w:line="500" w:lineRule="exact"/>
        <w:ind w:right="0" w:rightChars="0"/>
        <w:textAlignment w:val="auto"/>
        <w:outlineLvl w:val="9"/>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附件</w:t>
      </w:r>
      <w:r>
        <w:rPr>
          <w:rFonts w:hint="eastAsia" w:cs="Times New Roman"/>
          <w:sz w:val="21"/>
          <w:szCs w:val="21"/>
          <w:highlight w:val="none"/>
          <w:lang w:eastAsia="zh-CN"/>
        </w:rPr>
        <w:t>二</w:t>
      </w:r>
      <w:r>
        <w:rPr>
          <w:rFonts w:hint="default" w:ascii="Times New Roman" w:hAnsi="Times New Roman" w:cs="Times New Roman"/>
          <w:sz w:val="21"/>
          <w:szCs w:val="21"/>
          <w:highlight w:val="none"/>
        </w:rPr>
        <w:t>：</w:t>
      </w:r>
    </w:p>
    <w:p w14:paraId="228ECB08">
      <w:pPr>
        <w:keepNext w:val="0"/>
        <w:keepLines w:val="0"/>
        <w:pageBreakBefore w:val="0"/>
        <w:widowControl w:val="0"/>
        <w:kinsoku/>
        <w:wordWrap/>
        <w:overflowPunct/>
        <w:topLinePunct w:val="0"/>
        <w:autoSpaceDE/>
        <w:autoSpaceDN/>
        <w:bidi w:val="0"/>
        <w:adjustRightInd/>
        <w:snapToGrid w:val="0"/>
        <w:spacing w:line="480" w:lineRule="auto"/>
        <w:ind w:left="0" w:leftChars="0" w:right="0" w:rightChars="0"/>
        <w:jc w:val="center"/>
        <w:textAlignment w:val="auto"/>
        <w:outlineLvl w:val="9"/>
        <w:rPr>
          <w:rFonts w:hint="eastAsia" w:ascii="宋体" w:hAnsi="宋体" w:eastAsia="宋体" w:cs="宋体"/>
          <w:b/>
          <w:bCs/>
          <w:sz w:val="32"/>
          <w:szCs w:val="32"/>
          <w:highlight w:val="none"/>
        </w:rPr>
      </w:pPr>
      <w:r>
        <w:rPr>
          <w:rFonts w:hint="eastAsia" w:ascii="宋体" w:hAnsi="宋体" w:eastAsia="宋体" w:cs="宋体"/>
          <w:b/>
          <w:sz w:val="32"/>
          <w:szCs w:val="32"/>
          <w:highlight w:val="none"/>
        </w:rPr>
        <w:t>陕西省政府采购信用担保实施说明</w:t>
      </w:r>
    </w:p>
    <w:p w14:paraId="5BE335AA">
      <w:pPr>
        <w:keepNext w:val="0"/>
        <w:keepLines w:val="0"/>
        <w:pageBreakBefore w:val="0"/>
        <w:widowControl w:val="0"/>
        <w:kinsoku/>
        <w:wordWrap/>
        <w:overflowPunct/>
        <w:topLinePunct w:val="0"/>
        <w:autoSpaceDE/>
        <w:autoSpaceDN/>
        <w:bidi w:val="0"/>
        <w:adjustRightInd/>
        <w:snapToGrid w:val="0"/>
        <w:spacing w:line="480" w:lineRule="auto"/>
        <w:ind w:left="0" w:leftChars="0" w:right="0" w:rightChars="0"/>
        <w:textAlignment w:val="auto"/>
        <w:outlineLvl w:val="9"/>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为支持和促进中小企业发展，进一步发挥政府采购政策功能作用，有效缓解中小企业融资难等问题，根据有关规定，为参与陕西省政府采购项目的</w:t>
      </w:r>
      <w:r>
        <w:rPr>
          <w:rFonts w:hint="eastAsia" w:ascii="宋体" w:hAnsi="宋体" w:eastAsia="宋体" w:cs="宋体"/>
          <w:sz w:val="21"/>
          <w:szCs w:val="21"/>
          <w:highlight w:val="none"/>
          <w:lang w:eastAsia="zh-CN"/>
        </w:rPr>
        <w:t>投标人</w:t>
      </w:r>
      <w:r>
        <w:rPr>
          <w:rFonts w:hint="eastAsia" w:ascii="宋体" w:hAnsi="宋体" w:eastAsia="宋体" w:cs="宋体"/>
          <w:sz w:val="21"/>
          <w:szCs w:val="21"/>
          <w:highlight w:val="none"/>
        </w:rPr>
        <w:t>提供政府采购信用担保，并按照程序确定了合作的担保机构</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投标担保是为了确保本次</w:t>
      </w:r>
      <w:r>
        <w:rPr>
          <w:rFonts w:hint="eastAsia" w:ascii="宋体" w:hAnsi="宋体" w:eastAsia="宋体" w:cs="宋体"/>
          <w:sz w:val="21"/>
          <w:szCs w:val="21"/>
          <w:highlight w:val="none"/>
          <w:lang w:eastAsia="zh-CN"/>
        </w:rPr>
        <w:t>采购项目</w:t>
      </w:r>
      <w:r>
        <w:rPr>
          <w:rFonts w:hint="eastAsia" w:ascii="宋体" w:hAnsi="宋体" w:eastAsia="宋体" w:cs="宋体"/>
          <w:sz w:val="21"/>
          <w:szCs w:val="21"/>
          <w:highlight w:val="none"/>
        </w:rPr>
        <w:t>顺利进行而对投标单位的约束</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投标保证金与投标担保函具有同等担保效力</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担保函由陕西省财政厅公布的担保机构出具</w:t>
      </w:r>
      <w:r>
        <w:rPr>
          <w:rFonts w:hint="eastAsia" w:ascii="宋体" w:hAnsi="宋体" w:eastAsia="宋体" w:cs="宋体"/>
          <w:sz w:val="21"/>
          <w:szCs w:val="21"/>
          <w:highlight w:val="none"/>
          <w:lang w:eastAsia="zh-CN"/>
        </w:rPr>
        <w:t>，投标人</w:t>
      </w:r>
      <w:r>
        <w:rPr>
          <w:rFonts w:hint="eastAsia" w:ascii="宋体" w:hAnsi="宋体" w:eastAsia="宋体" w:cs="宋体"/>
          <w:sz w:val="21"/>
          <w:szCs w:val="21"/>
          <w:highlight w:val="none"/>
        </w:rPr>
        <w:t>在缴纳投标保证金及中标</w:t>
      </w:r>
      <w:r>
        <w:rPr>
          <w:rFonts w:hint="eastAsia" w:ascii="宋体" w:hAnsi="宋体" w:eastAsia="宋体" w:cs="宋体"/>
          <w:sz w:val="21"/>
          <w:szCs w:val="21"/>
          <w:highlight w:val="none"/>
          <w:lang w:eastAsia="zh-CN"/>
        </w:rPr>
        <w:t>人</w:t>
      </w:r>
      <w:r>
        <w:rPr>
          <w:rFonts w:hint="eastAsia" w:ascii="宋体" w:hAnsi="宋体" w:eastAsia="宋体" w:cs="宋体"/>
          <w:sz w:val="21"/>
          <w:szCs w:val="21"/>
          <w:highlight w:val="none"/>
        </w:rPr>
        <w:t>缴纳履约保证金时可自愿选择通过担保机构保函的形式缴纳</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中标</w:t>
      </w:r>
      <w:r>
        <w:rPr>
          <w:rFonts w:hint="eastAsia" w:ascii="宋体" w:hAnsi="宋体" w:eastAsia="宋体" w:cs="宋体"/>
          <w:sz w:val="21"/>
          <w:szCs w:val="21"/>
          <w:highlight w:val="none"/>
          <w:lang w:eastAsia="zh-CN"/>
        </w:rPr>
        <w:t>人</w:t>
      </w:r>
      <w:r>
        <w:rPr>
          <w:rFonts w:hint="eastAsia" w:ascii="宋体" w:hAnsi="宋体" w:eastAsia="宋体" w:cs="宋体"/>
          <w:sz w:val="21"/>
          <w:szCs w:val="21"/>
          <w:highlight w:val="none"/>
        </w:rPr>
        <w:t>申请信用融资时，提供政府采购中标（成交）通知书、合同、融资等信息；具体按照陕西省财政厅关于印发《陕西省中小企业政府采购信用融资办法》（陕财办采〔2018〕23号）及陕西省财政厅《关于加快推进我省中小企业政府采购信用融资工作的通知》（陕财办采〔2020〕15 号）文件规定的程序申请办理，具体规定可登陆陕西省政府采购网(www.ccgp-shaanxi.gov.cn)重要通知专栏中查询了解。</w:t>
      </w:r>
    </w:p>
    <w:p w14:paraId="790EB033">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textAlignment w:val="auto"/>
        <w:outlineLvl w:val="9"/>
        <w:rPr>
          <w:rFonts w:hint="eastAsia" w:ascii="宋体" w:hAnsi="宋体" w:eastAsia="宋体" w:cs="宋体"/>
          <w:sz w:val="21"/>
          <w:szCs w:val="21"/>
          <w:highlight w:val="none"/>
        </w:rPr>
      </w:pPr>
    </w:p>
    <w:p w14:paraId="0749B652">
      <w:pPr>
        <w:keepNext w:val="0"/>
        <w:keepLines w:val="0"/>
        <w:pageBreakBefore w:val="0"/>
        <w:widowControl w:val="0"/>
        <w:kinsoku/>
        <w:wordWrap/>
        <w:overflowPunct/>
        <w:topLinePunct w:val="0"/>
        <w:autoSpaceDE/>
        <w:autoSpaceDN/>
        <w:bidi w:val="0"/>
        <w:adjustRightInd/>
        <w:snapToGrid/>
        <w:spacing w:line="500" w:lineRule="exact"/>
        <w:ind w:left="0" w:leftChars="0" w:right="0" w:rightChars="0"/>
        <w:textAlignment w:val="auto"/>
        <w:outlineLvl w:val="9"/>
        <w:rPr>
          <w:rFonts w:hint="default" w:ascii="Times New Roman" w:hAnsi="Times New Roman" w:cs="Times New Roman"/>
          <w:sz w:val="21"/>
          <w:szCs w:val="21"/>
          <w:highlight w:val="none"/>
        </w:rPr>
      </w:pPr>
    </w:p>
    <w:p w14:paraId="57945594">
      <w:pPr>
        <w:keepNext w:val="0"/>
        <w:keepLines w:val="0"/>
        <w:pageBreakBefore w:val="0"/>
        <w:widowControl w:val="0"/>
        <w:kinsoku/>
        <w:wordWrap/>
        <w:overflowPunct/>
        <w:topLinePunct w:val="0"/>
        <w:autoSpaceDE/>
        <w:autoSpaceDN/>
        <w:bidi w:val="0"/>
        <w:adjustRightInd/>
        <w:snapToGrid/>
        <w:spacing w:line="500" w:lineRule="exact"/>
        <w:ind w:left="0" w:leftChars="0" w:right="0" w:rightChars="0"/>
        <w:textAlignment w:val="auto"/>
        <w:outlineLvl w:val="9"/>
        <w:rPr>
          <w:rFonts w:hint="default" w:ascii="Times New Roman" w:hAnsi="Times New Roman" w:cs="Times New Roman"/>
          <w:sz w:val="21"/>
          <w:szCs w:val="21"/>
          <w:highlight w:val="none"/>
        </w:rPr>
      </w:pPr>
    </w:p>
    <w:p w14:paraId="69DCDEDB">
      <w:pPr>
        <w:keepNext w:val="0"/>
        <w:keepLines w:val="0"/>
        <w:pageBreakBefore w:val="0"/>
        <w:widowControl w:val="0"/>
        <w:kinsoku/>
        <w:wordWrap/>
        <w:overflowPunct/>
        <w:topLinePunct w:val="0"/>
        <w:autoSpaceDE/>
        <w:autoSpaceDN/>
        <w:bidi w:val="0"/>
        <w:adjustRightInd/>
        <w:snapToGrid/>
        <w:spacing w:line="500" w:lineRule="exact"/>
        <w:ind w:left="0" w:leftChars="0" w:right="0" w:rightChars="0"/>
        <w:textAlignment w:val="auto"/>
        <w:outlineLvl w:val="9"/>
        <w:rPr>
          <w:rFonts w:hint="default" w:ascii="Times New Roman" w:hAnsi="Times New Roman" w:cs="Times New Roman"/>
          <w:sz w:val="21"/>
          <w:szCs w:val="21"/>
          <w:highlight w:val="none"/>
        </w:rPr>
      </w:pPr>
    </w:p>
    <w:p w14:paraId="1BE37469">
      <w:pPr>
        <w:keepNext w:val="0"/>
        <w:keepLines w:val="0"/>
        <w:pageBreakBefore w:val="0"/>
        <w:widowControl w:val="0"/>
        <w:kinsoku/>
        <w:wordWrap/>
        <w:overflowPunct/>
        <w:topLinePunct w:val="0"/>
        <w:autoSpaceDE/>
        <w:autoSpaceDN/>
        <w:bidi w:val="0"/>
        <w:adjustRightInd/>
        <w:snapToGrid/>
        <w:spacing w:line="500" w:lineRule="exact"/>
        <w:ind w:left="0" w:leftChars="0" w:right="0" w:rightChars="0"/>
        <w:textAlignment w:val="auto"/>
        <w:outlineLvl w:val="9"/>
        <w:rPr>
          <w:rFonts w:hint="default" w:ascii="Times New Roman" w:hAnsi="Times New Roman" w:cs="Times New Roman"/>
          <w:sz w:val="21"/>
          <w:szCs w:val="21"/>
          <w:highlight w:val="none"/>
        </w:rPr>
      </w:pPr>
    </w:p>
    <w:p w14:paraId="676551FE">
      <w:pPr>
        <w:keepNext w:val="0"/>
        <w:keepLines w:val="0"/>
        <w:pageBreakBefore w:val="0"/>
        <w:widowControl w:val="0"/>
        <w:kinsoku/>
        <w:wordWrap/>
        <w:overflowPunct/>
        <w:topLinePunct w:val="0"/>
        <w:autoSpaceDE/>
        <w:autoSpaceDN/>
        <w:bidi w:val="0"/>
        <w:adjustRightInd/>
        <w:snapToGrid/>
        <w:spacing w:line="500" w:lineRule="exact"/>
        <w:ind w:left="0" w:leftChars="0" w:right="0" w:rightChars="0"/>
        <w:textAlignment w:val="auto"/>
        <w:outlineLvl w:val="9"/>
        <w:rPr>
          <w:rFonts w:hint="default" w:ascii="Times New Roman" w:hAnsi="Times New Roman" w:cs="Times New Roman"/>
          <w:sz w:val="21"/>
          <w:szCs w:val="21"/>
          <w:highlight w:val="none"/>
        </w:rPr>
      </w:pPr>
    </w:p>
    <w:p w14:paraId="242B68AE">
      <w:pPr>
        <w:keepNext w:val="0"/>
        <w:keepLines w:val="0"/>
        <w:pageBreakBefore w:val="0"/>
        <w:widowControl w:val="0"/>
        <w:kinsoku/>
        <w:wordWrap/>
        <w:overflowPunct/>
        <w:topLinePunct w:val="0"/>
        <w:autoSpaceDE/>
        <w:autoSpaceDN/>
        <w:bidi w:val="0"/>
        <w:adjustRightInd/>
        <w:snapToGrid/>
        <w:spacing w:line="500" w:lineRule="exact"/>
        <w:ind w:left="0" w:leftChars="0" w:right="0" w:rightChars="0"/>
        <w:textAlignment w:val="auto"/>
        <w:outlineLvl w:val="9"/>
        <w:rPr>
          <w:rFonts w:hint="default" w:ascii="Times New Roman" w:hAnsi="Times New Roman" w:cs="Times New Roman"/>
          <w:sz w:val="21"/>
          <w:szCs w:val="21"/>
          <w:highlight w:val="none"/>
        </w:rPr>
      </w:pPr>
    </w:p>
    <w:p w14:paraId="687BE6AE">
      <w:pPr>
        <w:keepNext w:val="0"/>
        <w:keepLines w:val="0"/>
        <w:pageBreakBefore w:val="0"/>
        <w:widowControl w:val="0"/>
        <w:kinsoku/>
        <w:wordWrap/>
        <w:overflowPunct/>
        <w:topLinePunct w:val="0"/>
        <w:autoSpaceDE/>
        <w:autoSpaceDN/>
        <w:bidi w:val="0"/>
        <w:adjustRightInd/>
        <w:snapToGrid/>
        <w:spacing w:line="500" w:lineRule="exact"/>
        <w:ind w:left="0" w:leftChars="0" w:right="0" w:rightChars="0"/>
        <w:textAlignment w:val="auto"/>
        <w:outlineLvl w:val="9"/>
        <w:rPr>
          <w:rFonts w:hint="default" w:ascii="Times New Roman" w:hAnsi="Times New Roman" w:cs="Times New Roman"/>
          <w:sz w:val="21"/>
          <w:szCs w:val="21"/>
          <w:highlight w:val="none"/>
        </w:rPr>
      </w:pPr>
    </w:p>
    <w:p w14:paraId="6CE72251">
      <w:pPr>
        <w:keepNext w:val="0"/>
        <w:keepLines w:val="0"/>
        <w:pageBreakBefore w:val="0"/>
        <w:widowControl w:val="0"/>
        <w:kinsoku/>
        <w:wordWrap/>
        <w:overflowPunct/>
        <w:topLinePunct w:val="0"/>
        <w:autoSpaceDE/>
        <w:autoSpaceDN/>
        <w:bidi w:val="0"/>
        <w:adjustRightInd/>
        <w:snapToGrid/>
        <w:spacing w:line="500" w:lineRule="exact"/>
        <w:ind w:left="0" w:leftChars="0" w:right="0" w:rightChars="0"/>
        <w:textAlignment w:val="auto"/>
        <w:outlineLvl w:val="9"/>
        <w:rPr>
          <w:rFonts w:hint="default" w:ascii="Times New Roman" w:hAnsi="Times New Roman" w:cs="Times New Roman"/>
          <w:sz w:val="21"/>
          <w:szCs w:val="21"/>
          <w:highlight w:val="none"/>
        </w:rPr>
      </w:pPr>
    </w:p>
    <w:p w14:paraId="3F90BA61">
      <w:pPr>
        <w:keepNext w:val="0"/>
        <w:keepLines w:val="0"/>
        <w:pageBreakBefore w:val="0"/>
        <w:widowControl w:val="0"/>
        <w:kinsoku/>
        <w:wordWrap/>
        <w:overflowPunct/>
        <w:topLinePunct w:val="0"/>
        <w:autoSpaceDE/>
        <w:autoSpaceDN/>
        <w:bidi w:val="0"/>
        <w:adjustRightInd/>
        <w:snapToGrid/>
        <w:spacing w:line="500" w:lineRule="exact"/>
        <w:ind w:left="0" w:leftChars="0" w:right="0" w:rightChars="0"/>
        <w:textAlignment w:val="auto"/>
        <w:outlineLvl w:val="9"/>
        <w:rPr>
          <w:rFonts w:hint="default" w:ascii="Times New Roman" w:hAnsi="Times New Roman" w:cs="Times New Roman"/>
          <w:sz w:val="21"/>
          <w:szCs w:val="21"/>
          <w:highlight w:val="none"/>
        </w:rPr>
      </w:pPr>
    </w:p>
    <w:p w14:paraId="5D19B4F8">
      <w:pPr>
        <w:keepNext w:val="0"/>
        <w:keepLines w:val="0"/>
        <w:pageBreakBefore w:val="0"/>
        <w:widowControl w:val="0"/>
        <w:kinsoku/>
        <w:wordWrap/>
        <w:overflowPunct/>
        <w:topLinePunct w:val="0"/>
        <w:autoSpaceDE/>
        <w:autoSpaceDN/>
        <w:bidi w:val="0"/>
        <w:adjustRightInd/>
        <w:snapToGrid/>
        <w:spacing w:line="500" w:lineRule="exact"/>
        <w:ind w:left="0" w:leftChars="0" w:right="0" w:rightChars="0"/>
        <w:textAlignment w:val="auto"/>
        <w:outlineLvl w:val="9"/>
        <w:rPr>
          <w:rFonts w:hint="default" w:ascii="Times New Roman" w:hAnsi="Times New Roman" w:cs="Times New Roman"/>
          <w:sz w:val="21"/>
          <w:szCs w:val="21"/>
          <w:highlight w:val="none"/>
        </w:rPr>
      </w:pPr>
    </w:p>
    <w:p w14:paraId="57FA6A32">
      <w:pPr>
        <w:keepNext w:val="0"/>
        <w:keepLines w:val="0"/>
        <w:pageBreakBefore w:val="0"/>
        <w:widowControl w:val="0"/>
        <w:kinsoku/>
        <w:wordWrap/>
        <w:overflowPunct/>
        <w:topLinePunct w:val="0"/>
        <w:autoSpaceDE/>
        <w:autoSpaceDN/>
        <w:bidi w:val="0"/>
        <w:adjustRightInd/>
        <w:snapToGrid/>
        <w:spacing w:line="500" w:lineRule="exact"/>
        <w:ind w:left="0" w:leftChars="0" w:right="0" w:rightChars="0"/>
        <w:textAlignment w:val="auto"/>
        <w:outlineLvl w:val="9"/>
        <w:rPr>
          <w:rFonts w:hint="default" w:ascii="Times New Roman" w:hAnsi="Times New Roman" w:cs="Times New Roman"/>
          <w:sz w:val="21"/>
          <w:szCs w:val="21"/>
          <w:highlight w:val="none"/>
        </w:rPr>
      </w:pPr>
    </w:p>
    <w:p w14:paraId="2D48FF07">
      <w:pPr>
        <w:keepNext w:val="0"/>
        <w:keepLines w:val="0"/>
        <w:pageBreakBefore w:val="0"/>
        <w:widowControl w:val="0"/>
        <w:kinsoku/>
        <w:wordWrap/>
        <w:overflowPunct/>
        <w:topLinePunct w:val="0"/>
        <w:autoSpaceDE/>
        <w:autoSpaceDN/>
        <w:bidi w:val="0"/>
        <w:adjustRightInd/>
        <w:snapToGrid/>
        <w:spacing w:line="500" w:lineRule="exact"/>
        <w:ind w:left="0" w:leftChars="0" w:right="0" w:rightChars="0"/>
        <w:textAlignment w:val="auto"/>
        <w:outlineLvl w:val="9"/>
        <w:rPr>
          <w:rFonts w:hint="default" w:ascii="Times New Roman" w:hAnsi="Times New Roman" w:cs="Times New Roman"/>
          <w:sz w:val="21"/>
          <w:szCs w:val="21"/>
          <w:highlight w:val="none"/>
        </w:rPr>
      </w:pPr>
    </w:p>
    <w:p w14:paraId="0C7F7675">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0" w:firstLineChars="0"/>
        <w:jc w:val="center"/>
        <w:textAlignment w:val="auto"/>
        <w:outlineLvl w:val="9"/>
        <w:rPr>
          <w:rFonts w:hint="eastAsia" w:ascii="宋体" w:hAnsi="宋体" w:eastAsia="宋体" w:cs="宋体"/>
          <w:b/>
          <w:bCs/>
          <w:highlight w:val="none"/>
        </w:rPr>
      </w:pPr>
      <w:r>
        <w:rPr>
          <w:rFonts w:ascii="宋体" w:hAnsi="宋体" w:eastAsia="宋体" w:cs="宋体"/>
          <w:color w:val="auto"/>
          <w:sz w:val="24"/>
          <w:highlight w:val="none"/>
        </w:rPr>
        <w:br w:type="page"/>
      </w:r>
      <w:r>
        <w:rPr>
          <w:rFonts w:hint="eastAsia" w:ascii="宋体" w:hAnsi="宋体" w:eastAsia="宋体" w:cs="宋体"/>
          <w:b/>
          <w:bCs/>
          <w:sz w:val="28"/>
          <w:szCs w:val="28"/>
          <w:highlight w:val="none"/>
        </w:rPr>
        <w:t>投标人须知</w:t>
      </w:r>
      <w:bookmarkEnd w:id="13"/>
    </w:p>
    <w:p w14:paraId="52C72263">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outlineLvl w:val="2"/>
        <w:rPr>
          <w:rFonts w:hint="eastAsia" w:ascii="宋体" w:hAnsi="宋体" w:cs="宋体"/>
          <w:b/>
          <w:bCs/>
          <w:sz w:val="28"/>
          <w:highlight w:val="none"/>
        </w:rPr>
      </w:pPr>
      <w:r>
        <w:rPr>
          <w:rFonts w:hint="eastAsia" w:ascii="宋体" w:hAnsi="宋体" w:cs="宋体"/>
          <w:b/>
          <w:bCs/>
          <w:sz w:val="28"/>
          <w:highlight w:val="none"/>
        </w:rPr>
        <w:t>一、总则</w:t>
      </w:r>
    </w:p>
    <w:p w14:paraId="3753D3E9">
      <w:pPr>
        <w:spacing w:before="240" w:after="120"/>
        <w:jc w:val="left"/>
        <w:outlineLvl w:val="2"/>
        <w:rPr>
          <w:rFonts w:hint="eastAsia" w:ascii="宋体" w:hAnsi="宋体" w:cs="宋体"/>
          <w:b/>
          <w:bCs/>
          <w:kern w:val="0"/>
          <w:sz w:val="24"/>
          <w:highlight w:val="none"/>
        </w:rPr>
      </w:pPr>
      <w:r>
        <w:rPr>
          <w:rFonts w:hint="eastAsia" w:ascii="宋体" w:hAnsi="宋体" w:cs="宋体"/>
          <w:b/>
          <w:bCs/>
          <w:kern w:val="0"/>
          <w:sz w:val="24"/>
          <w:highlight w:val="none"/>
        </w:rPr>
        <w:t>1、适用范围</w:t>
      </w:r>
    </w:p>
    <w:p w14:paraId="1D875471">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420" w:firstLineChars="200"/>
        <w:jc w:val="both"/>
        <w:textAlignment w:val="auto"/>
        <w:outlineLvl w:val="9"/>
        <w:rPr>
          <w:rFonts w:hint="eastAsia"/>
          <w:highlight w:val="none"/>
        </w:rPr>
      </w:pPr>
      <w:r>
        <w:rPr>
          <w:rFonts w:hint="eastAsia"/>
          <w:highlight w:val="none"/>
        </w:rPr>
        <w:t>本招标文件仅适用于本次公开招标所叙述的服务项目采购活动。</w:t>
      </w:r>
    </w:p>
    <w:p w14:paraId="0CD598AD">
      <w:pPr>
        <w:spacing w:before="240" w:after="120"/>
        <w:jc w:val="left"/>
        <w:outlineLvl w:val="2"/>
        <w:rPr>
          <w:rFonts w:hint="eastAsia" w:ascii="宋体" w:hAnsi="宋体" w:cs="宋体"/>
          <w:b/>
          <w:bCs/>
          <w:kern w:val="0"/>
          <w:sz w:val="24"/>
          <w:highlight w:val="none"/>
        </w:rPr>
      </w:pPr>
      <w:r>
        <w:rPr>
          <w:rFonts w:hint="eastAsia" w:ascii="宋体" w:hAnsi="宋体" w:cs="宋体"/>
          <w:b/>
          <w:bCs/>
          <w:kern w:val="0"/>
          <w:sz w:val="24"/>
          <w:highlight w:val="none"/>
        </w:rPr>
        <w:t>2、名词解释</w:t>
      </w:r>
    </w:p>
    <w:p w14:paraId="0C6B05B2">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0" w:firstLineChars="0"/>
        <w:jc w:val="both"/>
        <w:textAlignment w:val="auto"/>
        <w:outlineLvl w:val="9"/>
        <w:rPr>
          <w:rFonts w:hint="eastAsia"/>
          <w:highlight w:val="none"/>
        </w:rPr>
      </w:pPr>
      <w:r>
        <w:rPr>
          <w:rFonts w:hint="eastAsia"/>
          <w:highlight w:val="none"/>
          <w:lang w:val="en-US" w:eastAsia="zh-CN"/>
        </w:rPr>
        <w:t xml:space="preserve">    </w:t>
      </w:r>
      <w:r>
        <w:rPr>
          <w:rFonts w:hint="eastAsia"/>
          <w:highlight w:val="none"/>
        </w:rPr>
        <w:t>2.1</w:t>
      </w:r>
      <w:r>
        <w:rPr>
          <w:rFonts w:hint="eastAsia"/>
          <w:highlight w:val="none"/>
          <w:lang w:val="en-US" w:eastAsia="zh-CN"/>
        </w:rPr>
        <w:t xml:space="preserve">  </w:t>
      </w:r>
      <w:r>
        <w:rPr>
          <w:rFonts w:hint="eastAsia"/>
          <w:highlight w:val="none"/>
          <w:lang w:eastAsia="zh-CN"/>
        </w:rPr>
        <w:t>“</w:t>
      </w:r>
      <w:r>
        <w:rPr>
          <w:rFonts w:hint="eastAsia"/>
          <w:highlight w:val="none"/>
        </w:rPr>
        <w:t>采购人</w:t>
      </w:r>
      <w:r>
        <w:rPr>
          <w:rFonts w:hint="eastAsia"/>
          <w:highlight w:val="none"/>
          <w:lang w:eastAsia="zh-CN"/>
        </w:rPr>
        <w:t>”</w:t>
      </w:r>
      <w:r>
        <w:rPr>
          <w:rFonts w:hint="eastAsia"/>
          <w:highlight w:val="none"/>
        </w:rPr>
        <w:t>系指依法进行政府采购的国家机关、事业单位、团体组织。本次招标的采购人是</w:t>
      </w:r>
      <w:r>
        <w:rPr>
          <w:rFonts w:hint="eastAsia" w:ascii="宋体" w:hAnsi="宋体" w:cs="宋体"/>
          <w:color w:val="auto"/>
          <w:szCs w:val="21"/>
          <w:highlight w:val="none"/>
          <w:lang w:val="en-US" w:eastAsia="zh-CN"/>
        </w:rPr>
        <w:t>汉滨区五里高级中学</w:t>
      </w:r>
      <w:r>
        <w:rPr>
          <w:rFonts w:hint="eastAsia"/>
          <w:color w:val="auto"/>
          <w:highlight w:val="none"/>
          <w:lang w:eastAsia="zh-CN"/>
        </w:rPr>
        <w:t>。</w:t>
      </w:r>
    </w:p>
    <w:p w14:paraId="1D193FF0">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0" w:firstLineChars="0"/>
        <w:jc w:val="both"/>
        <w:textAlignment w:val="auto"/>
        <w:outlineLvl w:val="9"/>
        <w:rPr>
          <w:rFonts w:hint="eastAsia"/>
          <w:highlight w:val="none"/>
        </w:rPr>
      </w:pPr>
      <w:r>
        <w:rPr>
          <w:rFonts w:hint="eastAsia"/>
          <w:highlight w:val="none"/>
          <w:lang w:val="en-US" w:eastAsia="zh-CN"/>
        </w:rPr>
        <w:t xml:space="preserve">    </w:t>
      </w:r>
      <w:r>
        <w:rPr>
          <w:rFonts w:hint="eastAsia"/>
          <w:highlight w:val="none"/>
        </w:rPr>
        <w:t>2.2</w:t>
      </w:r>
      <w:r>
        <w:rPr>
          <w:rFonts w:hint="eastAsia"/>
          <w:highlight w:val="none"/>
          <w:lang w:val="en-US" w:eastAsia="zh-CN"/>
        </w:rPr>
        <w:t xml:space="preserve">  </w:t>
      </w:r>
      <w:r>
        <w:rPr>
          <w:rFonts w:hint="eastAsia"/>
          <w:highlight w:val="none"/>
          <w:lang w:eastAsia="zh-CN"/>
        </w:rPr>
        <w:t>“</w:t>
      </w:r>
      <w:r>
        <w:rPr>
          <w:rFonts w:hint="eastAsia"/>
          <w:highlight w:val="none"/>
        </w:rPr>
        <w:t>采购代理机构</w:t>
      </w:r>
      <w:r>
        <w:rPr>
          <w:rFonts w:hint="eastAsia"/>
          <w:highlight w:val="none"/>
          <w:lang w:eastAsia="zh-CN"/>
        </w:rPr>
        <w:t>”</w:t>
      </w:r>
      <w:r>
        <w:rPr>
          <w:rFonts w:hint="eastAsia"/>
          <w:highlight w:val="none"/>
        </w:rPr>
        <w:t>系指根据采购人的委托依法办理招标事宜的</w:t>
      </w:r>
      <w:r>
        <w:rPr>
          <w:rFonts w:hint="eastAsia"/>
          <w:highlight w:val="none"/>
          <w:lang w:eastAsia="zh-CN"/>
        </w:rPr>
        <w:t>代理</w:t>
      </w:r>
      <w:r>
        <w:rPr>
          <w:rFonts w:hint="eastAsia"/>
          <w:highlight w:val="none"/>
        </w:rPr>
        <w:t>机构。本次招标的采购代理机构是</w:t>
      </w:r>
      <w:r>
        <w:rPr>
          <w:rFonts w:hint="eastAsia"/>
          <w:highlight w:val="none"/>
          <w:lang w:eastAsia="zh-CN"/>
        </w:rPr>
        <w:t>瑞恒项目管理有限公司</w:t>
      </w:r>
      <w:r>
        <w:rPr>
          <w:rFonts w:hint="eastAsia"/>
          <w:highlight w:val="none"/>
        </w:rPr>
        <w:t>。</w:t>
      </w:r>
    </w:p>
    <w:p w14:paraId="6D32DFB7">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0" w:firstLineChars="0"/>
        <w:jc w:val="both"/>
        <w:textAlignment w:val="auto"/>
        <w:outlineLvl w:val="9"/>
        <w:rPr>
          <w:rFonts w:hint="default" w:eastAsia="宋体"/>
          <w:color w:val="auto"/>
          <w:highlight w:val="none"/>
          <w:lang w:val="en-US" w:eastAsia="zh-CN"/>
        </w:rPr>
      </w:pPr>
      <w:r>
        <w:rPr>
          <w:rFonts w:hint="eastAsia"/>
          <w:highlight w:val="none"/>
          <w:lang w:val="en-US" w:eastAsia="zh-CN"/>
        </w:rPr>
        <w:t xml:space="preserve">    </w:t>
      </w:r>
      <w:r>
        <w:rPr>
          <w:rFonts w:hint="eastAsia"/>
          <w:highlight w:val="none"/>
        </w:rPr>
        <w:t xml:space="preserve">2.3 </w:t>
      </w:r>
      <w:r>
        <w:rPr>
          <w:rFonts w:hint="eastAsia"/>
          <w:highlight w:val="none"/>
          <w:lang w:val="en-US" w:eastAsia="zh-CN"/>
        </w:rPr>
        <w:t xml:space="preserve"> </w:t>
      </w:r>
      <w:r>
        <w:rPr>
          <w:rFonts w:hint="eastAsia"/>
          <w:highlight w:val="none"/>
          <w:lang w:eastAsia="zh-CN"/>
        </w:rPr>
        <w:t>“</w:t>
      </w:r>
      <w:r>
        <w:rPr>
          <w:rFonts w:hint="eastAsia"/>
          <w:highlight w:val="none"/>
        </w:rPr>
        <w:t>投标人</w:t>
      </w:r>
      <w:r>
        <w:rPr>
          <w:rFonts w:hint="eastAsia"/>
          <w:highlight w:val="none"/>
          <w:lang w:eastAsia="zh-CN"/>
        </w:rPr>
        <w:t>”</w:t>
      </w:r>
      <w:r>
        <w:rPr>
          <w:rFonts w:hint="eastAsia"/>
          <w:highlight w:val="none"/>
        </w:rPr>
        <w:t>系指</w:t>
      </w:r>
      <w:r>
        <w:rPr>
          <w:rFonts w:hint="eastAsia"/>
          <w:highlight w:val="none"/>
          <w:lang w:val="en-US" w:eastAsia="zh-CN"/>
        </w:rPr>
        <w:t>下载</w:t>
      </w:r>
      <w:r>
        <w:rPr>
          <w:rFonts w:hint="eastAsia"/>
          <w:highlight w:val="none"/>
        </w:rPr>
        <w:t>了招标文件拟参加投标和向采购人提供相应服务的投标单位。</w:t>
      </w:r>
    </w:p>
    <w:p w14:paraId="0D45BCFD">
      <w:pPr>
        <w:spacing w:before="240" w:after="120"/>
        <w:jc w:val="left"/>
        <w:outlineLvl w:val="2"/>
        <w:rPr>
          <w:rFonts w:hint="eastAsia" w:ascii="宋体" w:hAnsi="宋体" w:cs="宋体"/>
          <w:b/>
          <w:bCs/>
          <w:color w:val="000000"/>
          <w:kern w:val="0"/>
          <w:sz w:val="24"/>
          <w:highlight w:val="none"/>
        </w:rPr>
      </w:pPr>
      <w:r>
        <w:rPr>
          <w:rFonts w:hint="eastAsia" w:ascii="宋体" w:hAnsi="宋体" w:cs="宋体"/>
          <w:b/>
          <w:bCs/>
          <w:color w:val="000000"/>
          <w:kern w:val="0"/>
          <w:sz w:val="24"/>
          <w:highlight w:val="none"/>
        </w:rPr>
        <w:t>3、合格的投标人</w:t>
      </w:r>
    </w:p>
    <w:p w14:paraId="3BFFE56A">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0" w:firstLineChars="0"/>
        <w:jc w:val="both"/>
        <w:textAlignment w:val="auto"/>
        <w:outlineLvl w:val="9"/>
        <w:rPr>
          <w:rFonts w:hint="eastAsia" w:ascii="宋体" w:hAnsi="宋体" w:eastAsia="宋体" w:cs="宋体"/>
          <w:highlight w:val="none"/>
        </w:rPr>
      </w:pPr>
      <w:r>
        <w:rPr>
          <w:rFonts w:hint="eastAsia"/>
          <w:highlight w:val="none"/>
          <w:lang w:val="en-US" w:eastAsia="zh-CN"/>
        </w:rPr>
        <w:t xml:space="preserve">  </w:t>
      </w:r>
      <w:r>
        <w:rPr>
          <w:rFonts w:hint="eastAsia" w:ascii="宋体" w:hAnsi="宋体" w:eastAsia="宋体" w:cs="宋体"/>
          <w:highlight w:val="none"/>
          <w:lang w:val="en-US" w:eastAsia="zh-CN"/>
        </w:rPr>
        <w:t xml:space="preserve">  </w:t>
      </w:r>
      <w:r>
        <w:rPr>
          <w:rFonts w:hint="eastAsia" w:ascii="宋体" w:hAnsi="宋体" w:eastAsia="宋体" w:cs="宋体"/>
          <w:highlight w:val="none"/>
        </w:rPr>
        <w:t>3.1</w:t>
      </w:r>
      <w:r>
        <w:rPr>
          <w:rFonts w:hint="eastAsia" w:ascii="宋体" w:hAnsi="宋体" w:eastAsia="宋体" w:cs="宋体"/>
          <w:highlight w:val="none"/>
          <w:lang w:val="en-US" w:eastAsia="zh-CN"/>
        </w:rPr>
        <w:t xml:space="preserve">  </w:t>
      </w:r>
      <w:r>
        <w:rPr>
          <w:rFonts w:hint="eastAsia" w:ascii="宋体" w:hAnsi="宋体" w:eastAsia="宋体" w:cs="宋体"/>
          <w:highlight w:val="none"/>
        </w:rPr>
        <w:t>合格的投标人应具备以下条件：</w:t>
      </w:r>
    </w:p>
    <w:p w14:paraId="24709430">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0" w:firstLineChars="0"/>
        <w:jc w:val="both"/>
        <w:textAlignment w:val="auto"/>
        <w:outlineLvl w:val="9"/>
        <w:rPr>
          <w:rFonts w:hint="eastAsia" w:ascii="宋体" w:hAnsi="宋体" w:eastAsia="宋体" w:cs="宋体"/>
          <w:highlight w:val="none"/>
        </w:rPr>
      </w:pPr>
      <w:r>
        <w:rPr>
          <w:rFonts w:hint="eastAsia" w:ascii="宋体" w:hAnsi="宋体" w:eastAsia="宋体" w:cs="宋体"/>
          <w:highlight w:val="none"/>
          <w:lang w:val="en-US" w:eastAsia="zh-CN"/>
        </w:rPr>
        <w:t xml:space="preserve">    </w:t>
      </w:r>
      <w:r>
        <w:rPr>
          <w:rFonts w:hint="eastAsia" w:ascii="宋体" w:hAnsi="宋体" w:eastAsia="宋体" w:cs="宋体"/>
          <w:highlight w:val="none"/>
        </w:rPr>
        <w:t>（1）具备且满足</w:t>
      </w:r>
      <w:r>
        <w:rPr>
          <w:rFonts w:hint="eastAsia" w:ascii="宋体" w:hAnsi="宋体" w:eastAsia="宋体" w:cs="宋体"/>
          <w:highlight w:val="none"/>
          <w:lang w:eastAsia="zh-CN"/>
        </w:rPr>
        <w:t>“</w:t>
      </w:r>
      <w:r>
        <w:rPr>
          <w:rFonts w:hint="eastAsia" w:ascii="宋体" w:hAnsi="宋体" w:eastAsia="宋体" w:cs="宋体"/>
          <w:highlight w:val="none"/>
        </w:rPr>
        <w:t>招标公告</w:t>
      </w:r>
      <w:r>
        <w:rPr>
          <w:rFonts w:hint="eastAsia" w:ascii="宋体" w:hAnsi="宋体" w:eastAsia="宋体" w:cs="宋体"/>
          <w:highlight w:val="none"/>
          <w:lang w:eastAsia="zh-CN"/>
        </w:rPr>
        <w:t>”第二条的1、3条要求</w:t>
      </w:r>
      <w:r>
        <w:rPr>
          <w:rFonts w:hint="eastAsia" w:ascii="宋体" w:hAnsi="宋体" w:eastAsia="宋体" w:cs="宋体"/>
          <w:highlight w:val="none"/>
        </w:rPr>
        <w:t>；</w:t>
      </w:r>
    </w:p>
    <w:p w14:paraId="6131E370">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0" w:firstLineChars="0"/>
        <w:jc w:val="both"/>
        <w:textAlignment w:val="auto"/>
        <w:outlineLvl w:val="9"/>
        <w:rPr>
          <w:rFonts w:hint="eastAsia" w:ascii="宋体" w:hAnsi="宋体" w:eastAsia="宋体" w:cs="宋体"/>
          <w:highlight w:val="none"/>
        </w:rPr>
      </w:pPr>
      <w:r>
        <w:rPr>
          <w:rFonts w:hint="eastAsia" w:ascii="宋体" w:hAnsi="宋体" w:eastAsia="宋体" w:cs="宋体"/>
          <w:highlight w:val="none"/>
          <w:lang w:val="en-US" w:eastAsia="zh-CN"/>
        </w:rPr>
        <w:t xml:space="preserve">    </w:t>
      </w:r>
      <w:r>
        <w:rPr>
          <w:rFonts w:hint="eastAsia" w:ascii="宋体" w:hAnsi="宋体" w:eastAsia="宋体" w:cs="宋体"/>
          <w:highlight w:val="none"/>
        </w:rPr>
        <w:t>（2）</w:t>
      </w:r>
      <w:r>
        <w:rPr>
          <w:rFonts w:hint="eastAsia" w:ascii="宋体" w:hAnsi="宋体" w:eastAsia="宋体" w:cs="宋体"/>
          <w:highlight w:val="none"/>
          <w:lang w:val="en-US" w:eastAsia="zh-CN"/>
        </w:rPr>
        <w:t>获得</w:t>
      </w:r>
      <w:r>
        <w:rPr>
          <w:rFonts w:hint="eastAsia" w:ascii="宋体" w:hAnsi="宋体" w:eastAsia="宋体" w:cs="宋体"/>
          <w:highlight w:val="none"/>
        </w:rPr>
        <w:t>了招标文件并登记备案；</w:t>
      </w:r>
    </w:p>
    <w:p w14:paraId="1D3F133E">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0" w:firstLineChars="0"/>
        <w:jc w:val="both"/>
        <w:textAlignment w:val="auto"/>
        <w:outlineLvl w:val="9"/>
        <w:rPr>
          <w:rFonts w:hint="eastAsia" w:ascii="宋体" w:hAnsi="宋体" w:eastAsia="宋体" w:cs="宋体"/>
          <w:highlight w:val="none"/>
        </w:rPr>
      </w:pPr>
      <w:r>
        <w:rPr>
          <w:rFonts w:hint="eastAsia" w:ascii="宋体" w:hAnsi="宋体" w:eastAsia="宋体" w:cs="宋体"/>
          <w:highlight w:val="none"/>
          <w:lang w:val="en-US" w:eastAsia="zh-CN"/>
        </w:rPr>
        <w:t xml:space="preserve">    </w:t>
      </w:r>
      <w:r>
        <w:rPr>
          <w:rFonts w:hint="eastAsia" w:ascii="宋体" w:hAnsi="宋体" w:eastAsia="宋体" w:cs="宋体"/>
          <w:highlight w:val="none"/>
        </w:rPr>
        <w:t>（</w:t>
      </w:r>
      <w:r>
        <w:rPr>
          <w:rFonts w:hint="eastAsia" w:ascii="宋体" w:hAnsi="宋体" w:eastAsia="宋体" w:cs="宋体"/>
          <w:highlight w:val="none"/>
          <w:lang w:val="en-US" w:eastAsia="zh-CN"/>
        </w:rPr>
        <w:t>3</w:t>
      </w:r>
      <w:r>
        <w:rPr>
          <w:rFonts w:hint="eastAsia" w:ascii="宋体" w:hAnsi="宋体" w:eastAsia="宋体" w:cs="宋体"/>
          <w:highlight w:val="none"/>
        </w:rPr>
        <w:t>）一个投标</w:t>
      </w:r>
      <w:r>
        <w:rPr>
          <w:rFonts w:hint="eastAsia" w:ascii="宋体" w:hAnsi="宋体" w:eastAsia="宋体" w:cs="宋体"/>
          <w:highlight w:val="none"/>
          <w:lang w:eastAsia="zh-CN"/>
        </w:rPr>
        <w:t>人</w:t>
      </w:r>
      <w:r>
        <w:rPr>
          <w:rFonts w:hint="eastAsia" w:ascii="宋体" w:hAnsi="宋体" w:eastAsia="宋体" w:cs="宋体"/>
          <w:highlight w:val="none"/>
        </w:rPr>
        <w:t>只能提交一个投标文件，法定代表人为同一人的两个及两个以上法人，不得同时参加本项目投标；</w:t>
      </w:r>
    </w:p>
    <w:p w14:paraId="38DF9833">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0" w:firstLineChars="0"/>
        <w:jc w:val="both"/>
        <w:textAlignment w:val="auto"/>
        <w:outlineLvl w:val="9"/>
        <w:rPr>
          <w:rFonts w:hint="eastAsia" w:ascii="宋体" w:hAnsi="宋体" w:eastAsia="宋体" w:cs="宋体"/>
          <w:highlight w:val="none"/>
        </w:rPr>
      </w:pPr>
      <w:r>
        <w:rPr>
          <w:rFonts w:hint="eastAsia" w:ascii="宋体" w:hAnsi="宋体" w:eastAsia="宋体" w:cs="宋体"/>
          <w:highlight w:val="none"/>
          <w:lang w:val="en-US" w:eastAsia="zh-CN"/>
        </w:rPr>
        <w:t xml:space="preserve">    </w:t>
      </w:r>
      <w:r>
        <w:rPr>
          <w:rFonts w:hint="eastAsia" w:ascii="宋体" w:hAnsi="宋体" w:eastAsia="宋体" w:cs="宋体"/>
          <w:highlight w:val="none"/>
        </w:rPr>
        <w:t>（</w:t>
      </w:r>
      <w:r>
        <w:rPr>
          <w:rFonts w:hint="eastAsia" w:ascii="宋体" w:hAnsi="宋体" w:eastAsia="宋体" w:cs="宋体"/>
          <w:highlight w:val="none"/>
          <w:lang w:val="en-US" w:eastAsia="zh-CN"/>
        </w:rPr>
        <w:t>4</w:t>
      </w:r>
      <w:r>
        <w:rPr>
          <w:rFonts w:hint="eastAsia" w:ascii="宋体" w:hAnsi="宋体" w:eastAsia="宋体" w:cs="宋体"/>
          <w:highlight w:val="none"/>
        </w:rPr>
        <w:t>）有隶属关系的两个公司或有控股关系的两个公司不能同时参加同一项目的投标；</w:t>
      </w:r>
      <w:r>
        <w:rPr>
          <w:rFonts w:hint="eastAsia" w:ascii="宋体" w:hAnsi="宋体" w:eastAsia="宋体" w:cs="宋体"/>
          <w:highlight w:val="none"/>
          <w:lang w:val="en-US" w:eastAsia="zh-CN"/>
        </w:rPr>
        <w:t xml:space="preserve"> </w:t>
      </w:r>
    </w:p>
    <w:p w14:paraId="791190F7">
      <w:pPr>
        <w:pageBreakBefore w:val="0"/>
        <w:tabs>
          <w:tab w:val="left" w:pos="7665"/>
        </w:tabs>
        <w:kinsoku/>
        <w:wordWrap/>
        <w:overflowPunct/>
        <w:topLinePunct w:val="0"/>
        <w:bidi w:val="0"/>
        <w:snapToGrid/>
        <w:spacing w:line="500" w:lineRule="exact"/>
        <w:ind w:right="0" w:rightChars="0"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lang w:eastAsia="zh-CN"/>
        </w:rPr>
        <w:t>）参加政府采购活动前三年内，在经营活动中没有重大违法纪录；</w:t>
      </w:r>
    </w:p>
    <w:p w14:paraId="27F6A0E3">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420" w:firstLineChars="200"/>
        <w:jc w:val="both"/>
        <w:textAlignment w:val="auto"/>
        <w:outlineLvl w:val="9"/>
        <w:rPr>
          <w:rFonts w:hint="eastAsia" w:ascii="宋体" w:hAnsi="宋体" w:eastAsia="宋体" w:cs="宋体"/>
          <w:highlight w:val="none"/>
        </w:rPr>
      </w:pPr>
      <w:r>
        <w:rPr>
          <w:rFonts w:hint="eastAsia" w:ascii="宋体" w:hAnsi="宋体" w:eastAsia="宋体" w:cs="宋体"/>
          <w:highlight w:val="none"/>
        </w:rPr>
        <w:t>（</w:t>
      </w:r>
      <w:r>
        <w:rPr>
          <w:rFonts w:hint="eastAsia" w:ascii="宋体" w:hAnsi="宋体" w:eastAsia="宋体" w:cs="宋体"/>
          <w:highlight w:val="none"/>
          <w:lang w:val="en-US" w:eastAsia="zh-CN"/>
        </w:rPr>
        <w:t>6</w:t>
      </w:r>
      <w:r>
        <w:rPr>
          <w:rFonts w:hint="eastAsia" w:ascii="宋体" w:hAnsi="宋体" w:eastAsia="宋体" w:cs="宋体"/>
          <w:highlight w:val="none"/>
        </w:rPr>
        <w:t>）中华人民共和国法律、行政法规规定的其他条件（见投标人须知前附表）；</w:t>
      </w:r>
    </w:p>
    <w:p w14:paraId="23BF0A56">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0" w:firstLineChars="0"/>
        <w:jc w:val="both"/>
        <w:textAlignment w:val="auto"/>
        <w:outlineLvl w:val="9"/>
        <w:rPr>
          <w:rFonts w:hint="eastAsia" w:ascii="宋体" w:hAnsi="宋体" w:eastAsia="宋体" w:cs="宋体"/>
          <w:b w:val="0"/>
          <w:bCs w:val="0"/>
          <w:highlight w:val="none"/>
        </w:rPr>
      </w:pPr>
      <w:r>
        <w:rPr>
          <w:rFonts w:hint="eastAsia" w:ascii="宋体" w:hAnsi="宋体" w:eastAsia="宋体" w:cs="宋体"/>
          <w:highlight w:val="none"/>
          <w:lang w:val="en-US" w:eastAsia="zh-CN"/>
        </w:rPr>
        <w:t xml:space="preserve">    </w:t>
      </w:r>
      <w:r>
        <w:rPr>
          <w:rFonts w:hint="eastAsia" w:ascii="宋体" w:hAnsi="宋体" w:eastAsia="宋体" w:cs="宋体"/>
          <w:highlight w:val="none"/>
        </w:rPr>
        <w:t>（</w:t>
      </w:r>
      <w:r>
        <w:rPr>
          <w:rFonts w:hint="eastAsia" w:ascii="宋体" w:hAnsi="宋体" w:eastAsia="宋体" w:cs="宋体"/>
          <w:highlight w:val="none"/>
          <w:lang w:val="en-US" w:eastAsia="zh-CN"/>
        </w:rPr>
        <w:t>7</w:t>
      </w:r>
      <w:r>
        <w:rPr>
          <w:rFonts w:hint="eastAsia" w:ascii="宋体" w:hAnsi="宋体" w:eastAsia="宋体" w:cs="宋体"/>
          <w:highlight w:val="none"/>
        </w:rPr>
        <w:t>）招标文件和法律、行政法规规定的其他条件。</w:t>
      </w:r>
    </w:p>
    <w:p w14:paraId="37E83BC2">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0" w:firstLineChars="0"/>
        <w:jc w:val="both"/>
        <w:textAlignment w:val="auto"/>
        <w:outlineLvl w:val="9"/>
        <w:rPr>
          <w:rFonts w:hint="eastAsia" w:ascii="宋体" w:hAnsi="宋体" w:eastAsia="宋体" w:cs="宋体"/>
          <w:highlight w:val="none"/>
        </w:rPr>
      </w:pPr>
      <w:r>
        <w:rPr>
          <w:rFonts w:hint="eastAsia" w:ascii="宋体" w:hAnsi="宋体" w:eastAsia="宋体" w:cs="宋体"/>
          <w:highlight w:val="none"/>
        </w:rPr>
        <w:t xml:space="preserve">    3.</w:t>
      </w:r>
      <w:r>
        <w:rPr>
          <w:rFonts w:hint="eastAsia" w:ascii="宋体" w:hAnsi="宋体" w:eastAsia="宋体" w:cs="宋体"/>
          <w:highlight w:val="none"/>
          <w:lang w:val="en-US" w:eastAsia="zh-CN"/>
        </w:rPr>
        <w:t>2</w:t>
      </w:r>
      <w:r>
        <w:rPr>
          <w:rFonts w:hint="eastAsia" w:ascii="宋体" w:hAnsi="宋体" w:eastAsia="宋体" w:cs="宋体"/>
          <w:highlight w:val="none"/>
        </w:rPr>
        <w:t xml:space="preserve"> </w:t>
      </w:r>
      <w:r>
        <w:rPr>
          <w:rFonts w:hint="eastAsia" w:ascii="宋体" w:hAnsi="宋体" w:eastAsia="宋体" w:cs="宋体"/>
          <w:highlight w:val="none"/>
          <w:lang w:val="en-US" w:eastAsia="zh-CN"/>
        </w:rPr>
        <w:t xml:space="preserve"> </w:t>
      </w:r>
      <w:r>
        <w:rPr>
          <w:rFonts w:hint="eastAsia" w:ascii="宋体" w:hAnsi="宋体" w:eastAsia="宋体" w:cs="宋体"/>
          <w:highlight w:val="none"/>
        </w:rPr>
        <w:t>单位负责人为同一人或者存在直接控股、管理关系的不同</w:t>
      </w:r>
      <w:r>
        <w:rPr>
          <w:rFonts w:hint="eastAsia" w:ascii="宋体" w:hAnsi="宋体" w:eastAsia="宋体" w:cs="宋体"/>
          <w:highlight w:val="none"/>
          <w:lang w:eastAsia="zh-CN"/>
        </w:rPr>
        <w:t>投标人</w:t>
      </w:r>
      <w:r>
        <w:rPr>
          <w:rFonts w:hint="eastAsia" w:ascii="宋体" w:hAnsi="宋体" w:eastAsia="宋体" w:cs="宋体"/>
          <w:highlight w:val="none"/>
        </w:rPr>
        <w:t>，不得参加本项目同一合同项下的投标。如果投标人在投标中隐瞒了上述关系，则该投标无效。</w:t>
      </w:r>
    </w:p>
    <w:p w14:paraId="30B319AC">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0" w:firstLineChars="0"/>
        <w:jc w:val="both"/>
        <w:textAlignment w:val="auto"/>
        <w:outlineLvl w:val="9"/>
        <w:rPr>
          <w:rFonts w:hint="eastAsia" w:ascii="宋体" w:hAnsi="宋体" w:eastAsia="宋体" w:cs="宋体"/>
          <w:highlight w:val="none"/>
        </w:rPr>
      </w:pPr>
      <w:r>
        <w:rPr>
          <w:rFonts w:hint="eastAsia" w:ascii="宋体" w:hAnsi="宋体" w:eastAsia="宋体" w:cs="宋体"/>
          <w:highlight w:val="none"/>
        </w:rPr>
        <w:t xml:space="preserve">    3.</w:t>
      </w:r>
      <w:r>
        <w:rPr>
          <w:rFonts w:hint="eastAsia" w:ascii="宋体" w:hAnsi="宋体" w:eastAsia="宋体" w:cs="宋体"/>
          <w:highlight w:val="none"/>
          <w:lang w:val="en-US" w:eastAsia="zh-CN"/>
        </w:rPr>
        <w:t>3</w:t>
      </w:r>
      <w:r>
        <w:rPr>
          <w:rFonts w:hint="eastAsia" w:ascii="宋体" w:hAnsi="宋体" w:eastAsia="宋体" w:cs="宋体"/>
          <w:highlight w:val="none"/>
        </w:rPr>
        <w:t xml:space="preserve"> </w:t>
      </w:r>
      <w:r>
        <w:rPr>
          <w:rFonts w:hint="eastAsia" w:ascii="宋体" w:hAnsi="宋体" w:eastAsia="宋体" w:cs="宋体"/>
          <w:highlight w:val="none"/>
          <w:lang w:val="en-US" w:eastAsia="zh-CN"/>
        </w:rPr>
        <w:t xml:space="preserve"> </w:t>
      </w:r>
      <w:r>
        <w:rPr>
          <w:rFonts w:hint="eastAsia" w:ascii="宋体" w:hAnsi="宋体" w:eastAsia="宋体" w:cs="宋体"/>
          <w:highlight w:val="none"/>
        </w:rPr>
        <w:t>为本采购项目提供整体设计、规范编制或者项目管理、监理、检测等服务的</w:t>
      </w:r>
      <w:r>
        <w:rPr>
          <w:rFonts w:hint="eastAsia" w:ascii="宋体" w:hAnsi="宋体" w:eastAsia="宋体" w:cs="宋体"/>
          <w:highlight w:val="none"/>
          <w:lang w:eastAsia="zh-CN"/>
        </w:rPr>
        <w:t>投标人</w:t>
      </w:r>
      <w:r>
        <w:rPr>
          <w:rFonts w:hint="eastAsia" w:ascii="宋体" w:hAnsi="宋体" w:eastAsia="宋体" w:cs="宋体"/>
          <w:highlight w:val="none"/>
        </w:rPr>
        <w:t>，不得再参加本采购项目的投标。如果投标人在投标中隐瞒了上述事实，则该投标无效。</w:t>
      </w:r>
    </w:p>
    <w:p w14:paraId="43B39E73">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0" w:firstLineChars="0"/>
        <w:jc w:val="both"/>
        <w:textAlignment w:val="auto"/>
        <w:outlineLvl w:val="9"/>
        <w:rPr>
          <w:rFonts w:hint="eastAsia" w:ascii="宋体" w:hAnsi="宋体" w:eastAsia="宋体" w:cs="宋体"/>
          <w:highlight w:val="none"/>
        </w:rPr>
      </w:pPr>
      <w:r>
        <w:rPr>
          <w:rFonts w:hint="eastAsia" w:ascii="宋体" w:hAnsi="宋体" w:eastAsia="宋体" w:cs="宋体"/>
          <w:highlight w:val="none"/>
        </w:rPr>
        <w:t xml:space="preserve">    3.</w:t>
      </w:r>
      <w:r>
        <w:rPr>
          <w:rFonts w:hint="eastAsia" w:ascii="宋体" w:hAnsi="宋体" w:eastAsia="宋体" w:cs="宋体"/>
          <w:highlight w:val="none"/>
          <w:lang w:val="en-US" w:eastAsia="zh-CN"/>
        </w:rPr>
        <w:t>4</w:t>
      </w:r>
      <w:r>
        <w:rPr>
          <w:rFonts w:hint="eastAsia" w:ascii="宋体" w:hAnsi="宋体" w:eastAsia="宋体" w:cs="宋体"/>
          <w:highlight w:val="none"/>
        </w:rPr>
        <w:t xml:space="preserve"> </w:t>
      </w:r>
      <w:r>
        <w:rPr>
          <w:rFonts w:hint="eastAsia" w:ascii="宋体" w:hAnsi="宋体" w:eastAsia="宋体" w:cs="宋体"/>
          <w:highlight w:val="none"/>
          <w:lang w:val="en-US" w:eastAsia="zh-CN"/>
        </w:rPr>
        <w:t xml:space="preserve"> </w:t>
      </w:r>
      <w:r>
        <w:rPr>
          <w:rFonts w:hint="eastAsia" w:ascii="宋体" w:hAnsi="宋体" w:eastAsia="宋体" w:cs="宋体"/>
          <w:highlight w:val="none"/>
        </w:rPr>
        <w:t>如果在招标文件中接受联合体投标（见投标人须知前附表），则两个以上</w:t>
      </w:r>
      <w:r>
        <w:rPr>
          <w:rFonts w:hint="eastAsia" w:ascii="宋体" w:hAnsi="宋体" w:eastAsia="宋体" w:cs="宋体"/>
          <w:highlight w:val="none"/>
          <w:lang w:eastAsia="zh-CN"/>
        </w:rPr>
        <w:t>投标人</w:t>
      </w:r>
      <w:r>
        <w:rPr>
          <w:rFonts w:hint="eastAsia" w:ascii="宋体" w:hAnsi="宋体" w:eastAsia="宋体" w:cs="宋体"/>
          <w:highlight w:val="none"/>
        </w:rPr>
        <w:t>可以组成一个投标联合体，以一个投标人的身份投标。以联合体形式参加投标的，联合体各方均应当符合政府采购法第二十二条第一款规定的条件。采购人根据采购项目的特殊要求规定投标人特定条件的，联合体各方中至少应当有一方符合采购人规定的特定条件。联合体中有同类资质的</w:t>
      </w:r>
      <w:r>
        <w:rPr>
          <w:rFonts w:hint="eastAsia" w:ascii="宋体" w:hAnsi="宋体" w:eastAsia="宋体" w:cs="宋体"/>
          <w:highlight w:val="none"/>
          <w:lang w:eastAsia="zh-CN"/>
        </w:rPr>
        <w:t>投标人</w:t>
      </w:r>
      <w:r>
        <w:rPr>
          <w:rFonts w:hint="eastAsia" w:ascii="宋体" w:hAnsi="宋体" w:eastAsia="宋体" w:cs="宋体"/>
          <w:highlight w:val="none"/>
        </w:rPr>
        <w:t>按照联合体分工承担相同工作的，按照资质等级较低的</w:t>
      </w:r>
      <w:r>
        <w:rPr>
          <w:rFonts w:hint="eastAsia" w:ascii="宋体" w:hAnsi="宋体" w:eastAsia="宋体" w:cs="宋体"/>
          <w:highlight w:val="none"/>
          <w:lang w:eastAsia="zh-CN"/>
        </w:rPr>
        <w:t>投标人</w:t>
      </w:r>
      <w:r>
        <w:rPr>
          <w:rFonts w:hint="eastAsia" w:ascii="宋体" w:hAnsi="宋体" w:eastAsia="宋体" w:cs="宋体"/>
          <w:highlight w:val="none"/>
        </w:rPr>
        <w:t>确定资质等级</w:t>
      </w:r>
      <w:r>
        <w:rPr>
          <w:rFonts w:hint="eastAsia" w:ascii="宋体" w:hAnsi="宋体" w:eastAsia="宋体" w:cs="宋体"/>
          <w:highlight w:val="none"/>
          <w:lang w:eastAsia="zh-CN"/>
        </w:rPr>
        <w:t>。</w:t>
      </w:r>
    </w:p>
    <w:p w14:paraId="4325DA20">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420" w:firstLineChars="0"/>
        <w:jc w:val="both"/>
        <w:textAlignment w:val="auto"/>
        <w:outlineLvl w:val="9"/>
        <w:rPr>
          <w:rFonts w:hint="eastAsia" w:ascii="宋体" w:hAnsi="宋体" w:eastAsia="宋体" w:cs="宋体"/>
          <w:highlight w:val="none"/>
          <w:lang w:eastAsia="zh-CN"/>
        </w:rPr>
      </w:pPr>
      <w:r>
        <w:rPr>
          <w:rFonts w:hint="eastAsia" w:ascii="宋体" w:hAnsi="宋体" w:eastAsia="宋体" w:cs="宋体"/>
          <w:highlight w:val="none"/>
        </w:rPr>
        <w:t>联合体各方之间应当签订共同投标协议，明确约定联合体各方承担的工作和相应的责任，并将共同投标协议附在投标文件中一并提交。联合体各方签订共同投标协议后，不得再以自己名义单独在同一项目中投标，也不得组成新的联合体参加同一项目投标</w:t>
      </w:r>
      <w:r>
        <w:rPr>
          <w:rFonts w:hint="eastAsia" w:ascii="宋体" w:hAnsi="宋体" w:eastAsia="宋体" w:cs="宋体"/>
          <w:highlight w:val="none"/>
          <w:lang w:eastAsia="zh-CN"/>
        </w:rPr>
        <w:t>，否则，其相关投标均为无效。</w:t>
      </w:r>
    </w:p>
    <w:p w14:paraId="639D5F93">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420" w:firstLineChars="0"/>
        <w:jc w:val="both"/>
        <w:textAlignment w:val="auto"/>
        <w:outlineLvl w:val="9"/>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3.5 </w:t>
      </w:r>
      <w:r>
        <w:rPr>
          <w:rFonts w:hint="eastAsia" w:ascii="宋体" w:hAnsi="宋体" w:eastAsia="宋体" w:cs="宋体"/>
          <w:highlight w:val="none"/>
          <w:lang w:val="en-US" w:eastAsia="zh-CN"/>
        </w:rPr>
        <w:t>“信用中国”（www.creditchina.gov.cn）及“中国政府采购网”（www.ccgp.gov.cn）为供应商信用信息查询渠道，如果</w:t>
      </w:r>
      <w:r>
        <w:rPr>
          <w:rFonts w:hint="eastAsia" w:ascii="宋体" w:hAnsi="宋体" w:cs="宋体"/>
          <w:highlight w:val="none"/>
          <w:lang w:val="en-US" w:eastAsia="zh-CN"/>
        </w:rPr>
        <w:t>投标人</w:t>
      </w:r>
      <w:r>
        <w:rPr>
          <w:rFonts w:hint="eastAsia" w:ascii="宋体" w:hAnsi="宋体" w:eastAsia="宋体" w:cs="宋体"/>
          <w:highlight w:val="none"/>
          <w:lang w:val="en-US" w:eastAsia="zh-CN"/>
        </w:rPr>
        <w:t>被查实在</w:t>
      </w:r>
      <w:r>
        <w:rPr>
          <w:rFonts w:hint="eastAsia" w:ascii="宋体" w:hAnsi="宋体" w:cs="宋体"/>
          <w:highlight w:val="none"/>
          <w:lang w:val="en-US" w:eastAsia="zh-CN"/>
        </w:rPr>
        <w:t>投标</w:t>
      </w:r>
      <w:r>
        <w:rPr>
          <w:rFonts w:hint="eastAsia" w:ascii="宋体" w:hAnsi="宋体" w:eastAsia="宋体" w:cs="宋体"/>
          <w:highlight w:val="none"/>
          <w:lang w:val="en-US" w:eastAsia="zh-CN"/>
        </w:rPr>
        <w:t>截止到日前已列入失信被执行人，重大税收违法案件当事人名单、政府采购严重违法失信行为记录名单，</w:t>
      </w:r>
      <w:r>
        <w:rPr>
          <w:rFonts w:hint="eastAsia" w:ascii="宋体" w:hAnsi="宋体" w:eastAsia="宋体" w:cs="宋体"/>
          <w:b/>
          <w:bCs/>
          <w:color w:val="auto"/>
          <w:highlight w:val="none"/>
          <w:lang w:val="en-US" w:eastAsia="zh-CN"/>
        </w:rPr>
        <w:t>其投标为无效。</w:t>
      </w:r>
    </w:p>
    <w:p w14:paraId="1C068B44">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0" w:firstLineChars="0"/>
        <w:jc w:val="both"/>
        <w:textAlignment w:val="auto"/>
        <w:outlineLvl w:val="9"/>
        <w:rPr>
          <w:rFonts w:hint="eastAsia"/>
          <w:highlight w:val="none"/>
        </w:rPr>
      </w:pPr>
      <w:r>
        <w:rPr>
          <w:rFonts w:hint="eastAsia" w:ascii="宋体" w:hAnsi="宋体" w:cs="宋体"/>
          <w:b/>
          <w:bCs/>
          <w:kern w:val="0"/>
          <w:sz w:val="24"/>
          <w:highlight w:val="none"/>
        </w:rPr>
        <w:t>4、投标货物和服务的合格性和合法性</w:t>
      </w:r>
    </w:p>
    <w:p w14:paraId="14079F0F">
      <w:pPr>
        <w:autoSpaceDE w:val="0"/>
        <w:autoSpaceDN w:val="0"/>
        <w:adjustRightInd w:val="0"/>
        <w:spacing w:line="500" w:lineRule="exact"/>
        <w:ind w:right="6" w:firstLine="420"/>
        <w:rPr>
          <w:rFonts w:hint="eastAsia" w:ascii="宋体" w:hAnsi="宋体" w:eastAsia="宋体" w:cs="宋体"/>
          <w:sz w:val="21"/>
          <w:szCs w:val="21"/>
          <w:highlight w:val="none"/>
        </w:rPr>
      </w:pPr>
      <w:r>
        <w:rPr>
          <w:rFonts w:hint="eastAsia" w:ascii="宋体" w:hAnsi="宋体" w:eastAsia="宋体" w:cs="宋体"/>
          <w:sz w:val="21"/>
          <w:szCs w:val="21"/>
          <w:highlight w:val="none"/>
        </w:rPr>
        <w:t>4.1  投标货物和服务应满足招标文件的要求，并应符合国家法律法规、行业管理部门所要求的其他强制性标准。</w:t>
      </w:r>
    </w:p>
    <w:p w14:paraId="4FE22738">
      <w:pPr>
        <w:autoSpaceDE w:val="0"/>
        <w:autoSpaceDN w:val="0"/>
        <w:adjustRightInd w:val="0"/>
        <w:spacing w:line="500" w:lineRule="exact"/>
        <w:ind w:right="6" w:firstLine="420"/>
        <w:rPr>
          <w:rFonts w:hint="eastAsia" w:ascii="宋体" w:hAnsi="宋体" w:eastAsia="宋体" w:cs="宋体"/>
          <w:sz w:val="21"/>
          <w:szCs w:val="21"/>
          <w:highlight w:val="none"/>
        </w:rPr>
      </w:pPr>
      <w:r>
        <w:rPr>
          <w:rFonts w:hint="eastAsia" w:ascii="宋体" w:hAnsi="宋体" w:eastAsia="宋体" w:cs="宋体"/>
          <w:sz w:val="21"/>
          <w:szCs w:val="21"/>
          <w:highlight w:val="none"/>
        </w:rPr>
        <w:t>4.2 合同中提供的货物及其有关服务的原产地，均应来自国家有关政府采购规定的工程、货物和服务的合法来源国，本合同的支付也仅限于这些货物和服务；</w:t>
      </w:r>
    </w:p>
    <w:p w14:paraId="565D06E7">
      <w:pPr>
        <w:autoSpaceDE w:val="0"/>
        <w:autoSpaceDN w:val="0"/>
        <w:adjustRightInd w:val="0"/>
        <w:spacing w:line="500" w:lineRule="exact"/>
        <w:ind w:right="6" w:firstLine="420"/>
        <w:rPr>
          <w:rFonts w:hint="eastAsia" w:ascii="宋体" w:hAnsi="宋体" w:eastAsia="宋体" w:cs="宋体"/>
          <w:sz w:val="21"/>
          <w:szCs w:val="21"/>
          <w:highlight w:val="none"/>
        </w:rPr>
      </w:pPr>
      <w:r>
        <w:rPr>
          <w:rFonts w:hint="eastAsia" w:ascii="宋体" w:hAnsi="宋体" w:eastAsia="宋体" w:cs="宋体"/>
          <w:sz w:val="21"/>
          <w:szCs w:val="21"/>
          <w:highlight w:val="none"/>
        </w:rPr>
        <w:t>4.3 本款所述的“原产地”是指货物设计、生产和提供有关服务的来源地。所述的“货物”是指制造、加工或实质上装配了主要部件而形成的货物，商业上公认的产品是指在基本特征、性能或功能上与部件有着实质性区别的产品；</w:t>
      </w:r>
    </w:p>
    <w:p w14:paraId="5BCFC947">
      <w:pPr>
        <w:autoSpaceDE w:val="0"/>
        <w:autoSpaceDN w:val="0"/>
        <w:adjustRightInd w:val="0"/>
        <w:spacing w:line="500" w:lineRule="exact"/>
        <w:ind w:right="6" w:firstLine="420"/>
        <w:rPr>
          <w:rFonts w:hint="eastAsia" w:ascii="宋体" w:hAnsi="宋体" w:eastAsia="宋体" w:cs="宋体"/>
          <w:sz w:val="21"/>
          <w:szCs w:val="21"/>
          <w:highlight w:val="none"/>
        </w:rPr>
      </w:pPr>
      <w:r>
        <w:rPr>
          <w:rFonts w:hint="eastAsia" w:ascii="宋体" w:hAnsi="宋体" w:eastAsia="宋体" w:cs="宋体"/>
          <w:sz w:val="21"/>
          <w:szCs w:val="21"/>
          <w:highlight w:val="none"/>
        </w:rPr>
        <w:t>4.4  通过签署投标文件，投标人应确认其为所供货物和服务的知识产权的合法所有人，或已经从其所有人那里得到了适当的授权。在此方面恶意地提供错误事实，将导致投标被拒绝。</w:t>
      </w:r>
    </w:p>
    <w:p w14:paraId="29E65568">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0" w:firstLineChars="0"/>
        <w:jc w:val="both"/>
        <w:textAlignment w:val="auto"/>
        <w:outlineLvl w:val="9"/>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5、投标文件内容的真实性</w:t>
      </w:r>
    </w:p>
    <w:p w14:paraId="46B9029D">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0" w:firstLineChars="0"/>
        <w:jc w:val="both"/>
        <w:textAlignment w:val="auto"/>
        <w:outlineLvl w:val="9"/>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投标人应保证其投标文件中所提供的所有有关投标的资料、信息是真实的，并且来源于合法的渠道。因投标文件中所提供的有关投标的资料、信息不真实，或者其来源不合法而导致的所有法律责任，由投标人自行承担。</w:t>
      </w:r>
    </w:p>
    <w:p w14:paraId="693BE593">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0" w:firstLineChars="0"/>
        <w:jc w:val="both"/>
        <w:textAlignment w:val="auto"/>
        <w:outlineLvl w:val="9"/>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6、招标过程的监督和管理</w:t>
      </w:r>
    </w:p>
    <w:p w14:paraId="2E93CD73">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0" w:firstLineChars="0"/>
        <w:jc w:val="both"/>
        <w:textAlignment w:val="auto"/>
        <w:outlineLvl w:val="9"/>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同级人民政府财政部门及有关部门依法履行对招标过程的监督管理职责。</w:t>
      </w:r>
    </w:p>
    <w:p w14:paraId="40D912A1">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0" w:firstLineChars="0"/>
        <w:jc w:val="both"/>
        <w:textAlignment w:val="auto"/>
        <w:outlineLvl w:val="9"/>
        <w:rPr>
          <w:rFonts w:hint="eastAsia" w:ascii="宋体" w:hAnsi="宋体" w:cs="宋体"/>
          <w:b/>
          <w:bCs/>
          <w:kern w:val="0"/>
          <w:sz w:val="24"/>
          <w:highlight w:val="none"/>
        </w:rPr>
      </w:pPr>
      <w:r>
        <w:rPr>
          <w:rFonts w:hint="eastAsia" w:ascii="宋体" w:hAnsi="宋体" w:cs="宋体"/>
          <w:b/>
          <w:bCs/>
          <w:kern w:val="0"/>
          <w:sz w:val="24"/>
          <w:highlight w:val="none"/>
        </w:rPr>
        <w:t>7、费用</w:t>
      </w:r>
    </w:p>
    <w:p w14:paraId="33DA2A7F">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0" w:firstLineChars="0"/>
        <w:jc w:val="both"/>
        <w:textAlignment w:val="auto"/>
        <w:outlineLvl w:val="9"/>
        <w:rPr>
          <w:rFonts w:hint="eastAsia"/>
          <w:highlight w:val="none"/>
        </w:rPr>
      </w:pPr>
      <w:r>
        <w:rPr>
          <w:rFonts w:hint="eastAsia"/>
          <w:highlight w:val="none"/>
        </w:rPr>
        <w:t xml:space="preserve">    7.1</w:t>
      </w:r>
      <w:r>
        <w:rPr>
          <w:rFonts w:hint="eastAsia"/>
          <w:highlight w:val="none"/>
          <w:lang w:val="en-US" w:eastAsia="zh-CN"/>
        </w:rPr>
        <w:t xml:space="preserve">  </w:t>
      </w:r>
      <w:r>
        <w:rPr>
          <w:rFonts w:hint="eastAsia"/>
          <w:highlight w:val="none"/>
        </w:rPr>
        <w:t>投标人应承担所有与编写和提交投标文件有关的费用，无论投标过程中的做法和结果如何，采购人和采购代理机构在任何情况下均无义务和责任承担这些费用。</w:t>
      </w:r>
    </w:p>
    <w:p w14:paraId="30FB96DA">
      <w:pPr>
        <w:numPr>
          <w:ilvl w:val="0"/>
          <w:numId w:val="0"/>
        </w:numPr>
        <w:spacing w:before="240" w:after="120"/>
        <w:jc w:val="center"/>
        <w:outlineLvl w:val="2"/>
        <w:rPr>
          <w:rFonts w:hint="eastAsia" w:ascii="宋体" w:hAnsi="宋体" w:cs="宋体"/>
          <w:b/>
          <w:bCs/>
          <w:sz w:val="28"/>
          <w:highlight w:val="none"/>
        </w:rPr>
      </w:pPr>
      <w:r>
        <w:rPr>
          <w:rFonts w:hint="eastAsia" w:ascii="宋体" w:hAnsi="宋体" w:cs="宋体"/>
          <w:b/>
          <w:bCs/>
          <w:sz w:val="28"/>
          <w:highlight w:val="none"/>
        </w:rPr>
        <w:t>二、招标文件</w:t>
      </w:r>
    </w:p>
    <w:p w14:paraId="3981FE9E">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0" w:firstLineChars="0"/>
        <w:jc w:val="both"/>
        <w:textAlignment w:val="auto"/>
        <w:outlineLvl w:val="9"/>
        <w:rPr>
          <w:rFonts w:hint="eastAsia" w:ascii="宋体" w:hAnsi="宋体" w:cs="宋体"/>
          <w:b/>
          <w:bCs/>
          <w:kern w:val="0"/>
          <w:sz w:val="24"/>
          <w:highlight w:val="none"/>
        </w:rPr>
      </w:pPr>
      <w:r>
        <w:rPr>
          <w:rFonts w:hint="eastAsia" w:ascii="宋体" w:hAnsi="宋体" w:cs="宋体"/>
          <w:b/>
          <w:bCs/>
          <w:kern w:val="0"/>
          <w:sz w:val="24"/>
          <w:highlight w:val="none"/>
          <w:lang w:val="en-US" w:eastAsia="zh-CN"/>
        </w:rPr>
        <w:t>8</w:t>
      </w:r>
      <w:r>
        <w:rPr>
          <w:rFonts w:hint="eastAsia" w:ascii="宋体" w:hAnsi="宋体" w:cs="宋体"/>
          <w:b/>
          <w:bCs/>
          <w:kern w:val="0"/>
          <w:sz w:val="24"/>
          <w:highlight w:val="none"/>
        </w:rPr>
        <w:t>、招标文件的构成</w:t>
      </w:r>
    </w:p>
    <w:p w14:paraId="02AFBA65">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420" w:firstLineChars="0"/>
        <w:jc w:val="both"/>
        <w:textAlignment w:val="auto"/>
        <w:outlineLvl w:val="9"/>
        <w:rPr>
          <w:rFonts w:hint="eastAsia"/>
          <w:highlight w:val="none"/>
        </w:rPr>
      </w:pPr>
      <w:r>
        <w:rPr>
          <w:rFonts w:hint="eastAsia"/>
          <w:highlight w:val="none"/>
          <w:lang w:val="en-US" w:eastAsia="zh-CN"/>
        </w:rPr>
        <w:t>8</w:t>
      </w:r>
      <w:r>
        <w:rPr>
          <w:rFonts w:hint="eastAsia"/>
          <w:highlight w:val="none"/>
        </w:rPr>
        <w:t>.1</w:t>
      </w:r>
      <w:r>
        <w:rPr>
          <w:rFonts w:hint="eastAsia"/>
          <w:highlight w:val="none"/>
          <w:lang w:val="en-US" w:eastAsia="zh-CN"/>
        </w:rPr>
        <w:t xml:space="preserve">  </w:t>
      </w:r>
      <w:r>
        <w:rPr>
          <w:rFonts w:hint="eastAsia"/>
          <w:highlight w:val="none"/>
        </w:rPr>
        <w:t>招标文件是投标人准备投标文件和参加开标会议的依据，同时也是评标的重要依据。招标文件用以阐明采购项目所需的资质、技术、服务及报价等要求、招标投标程序、评标办法与标准、有关规定和注意事项以及合同主要条款等。本招标文件包括以下内容：</w:t>
      </w:r>
    </w:p>
    <w:p w14:paraId="09F301D0">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0" w:firstLineChars="0"/>
        <w:jc w:val="both"/>
        <w:textAlignment w:val="auto"/>
        <w:outlineLvl w:val="9"/>
        <w:rPr>
          <w:rFonts w:hint="eastAsia"/>
          <w:highlight w:val="none"/>
        </w:rPr>
      </w:pPr>
      <w:r>
        <w:rPr>
          <w:rFonts w:hint="eastAsia"/>
          <w:highlight w:val="none"/>
          <w:lang w:val="en-US" w:eastAsia="zh-CN"/>
        </w:rPr>
        <w:t xml:space="preserve">    </w:t>
      </w:r>
      <w:r>
        <w:rPr>
          <w:rFonts w:hint="eastAsia"/>
          <w:highlight w:val="none"/>
        </w:rPr>
        <w:t>（1）招标公告；</w:t>
      </w:r>
    </w:p>
    <w:p w14:paraId="2B959862">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0" w:firstLineChars="0"/>
        <w:jc w:val="both"/>
        <w:textAlignment w:val="auto"/>
        <w:outlineLvl w:val="9"/>
        <w:rPr>
          <w:rFonts w:hint="eastAsia"/>
          <w:highlight w:val="none"/>
        </w:rPr>
      </w:pPr>
      <w:r>
        <w:rPr>
          <w:rFonts w:hint="eastAsia"/>
          <w:highlight w:val="none"/>
          <w:lang w:val="en-US" w:eastAsia="zh-CN"/>
        </w:rPr>
        <w:t xml:space="preserve">    </w:t>
      </w:r>
      <w:r>
        <w:rPr>
          <w:rFonts w:hint="eastAsia"/>
          <w:highlight w:val="none"/>
        </w:rPr>
        <w:t>（2）投标人须知；</w:t>
      </w:r>
    </w:p>
    <w:p w14:paraId="38C832B7">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0" w:firstLineChars="0"/>
        <w:jc w:val="both"/>
        <w:textAlignment w:val="auto"/>
        <w:outlineLvl w:val="9"/>
        <w:rPr>
          <w:rFonts w:hint="eastAsia"/>
          <w:highlight w:val="none"/>
        </w:rPr>
      </w:pPr>
      <w:r>
        <w:rPr>
          <w:rFonts w:hint="eastAsia"/>
          <w:highlight w:val="none"/>
          <w:lang w:val="en-US" w:eastAsia="zh-CN"/>
        </w:rPr>
        <w:t xml:space="preserve">    </w:t>
      </w:r>
      <w:r>
        <w:rPr>
          <w:rFonts w:hint="eastAsia"/>
          <w:highlight w:val="none"/>
        </w:rPr>
        <w:t>（3）评标办法；</w:t>
      </w:r>
    </w:p>
    <w:p w14:paraId="19CA11FB">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0" w:firstLineChars="0"/>
        <w:jc w:val="both"/>
        <w:textAlignment w:val="auto"/>
        <w:outlineLvl w:val="9"/>
        <w:rPr>
          <w:rFonts w:hint="eastAsia"/>
          <w:highlight w:val="none"/>
        </w:rPr>
      </w:pPr>
      <w:r>
        <w:rPr>
          <w:rFonts w:hint="eastAsia"/>
          <w:highlight w:val="none"/>
          <w:lang w:val="en-US" w:eastAsia="zh-CN"/>
        </w:rPr>
        <w:t xml:space="preserve">    </w:t>
      </w:r>
      <w:r>
        <w:rPr>
          <w:rFonts w:hint="eastAsia"/>
          <w:highlight w:val="none"/>
        </w:rPr>
        <w:t>（4）</w:t>
      </w:r>
      <w:r>
        <w:rPr>
          <w:rFonts w:hint="eastAsia"/>
          <w:highlight w:val="none"/>
          <w:lang w:val="en-US" w:eastAsia="zh-CN"/>
        </w:rPr>
        <w:t>采购</w:t>
      </w:r>
      <w:r>
        <w:rPr>
          <w:rFonts w:hint="eastAsia"/>
          <w:highlight w:val="none"/>
        </w:rPr>
        <w:t>内容及要求；</w:t>
      </w:r>
    </w:p>
    <w:p w14:paraId="6E19FB05">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0" w:firstLineChars="0"/>
        <w:jc w:val="both"/>
        <w:textAlignment w:val="auto"/>
        <w:outlineLvl w:val="9"/>
        <w:rPr>
          <w:rFonts w:hint="eastAsia"/>
          <w:highlight w:val="none"/>
        </w:rPr>
      </w:pPr>
      <w:r>
        <w:rPr>
          <w:rFonts w:hint="eastAsia"/>
          <w:highlight w:val="none"/>
          <w:lang w:val="en-US" w:eastAsia="zh-CN"/>
        </w:rPr>
        <w:t xml:space="preserve">    </w:t>
      </w:r>
      <w:r>
        <w:rPr>
          <w:rFonts w:hint="eastAsia"/>
          <w:highlight w:val="none"/>
        </w:rPr>
        <w:t>（5）</w:t>
      </w:r>
      <w:r>
        <w:rPr>
          <w:rFonts w:hint="eastAsia"/>
          <w:highlight w:val="none"/>
          <w:lang w:eastAsia="zh-CN"/>
        </w:rPr>
        <w:t>主要合同条款</w:t>
      </w:r>
      <w:r>
        <w:rPr>
          <w:rFonts w:hint="eastAsia"/>
          <w:highlight w:val="none"/>
        </w:rPr>
        <w:t>；</w:t>
      </w:r>
    </w:p>
    <w:p w14:paraId="3E6B3E46">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0" w:firstLineChars="0"/>
        <w:jc w:val="both"/>
        <w:textAlignment w:val="auto"/>
        <w:outlineLvl w:val="9"/>
        <w:rPr>
          <w:rFonts w:hint="eastAsia"/>
          <w:highlight w:val="none"/>
        </w:rPr>
      </w:pPr>
      <w:r>
        <w:rPr>
          <w:rFonts w:hint="eastAsia"/>
          <w:highlight w:val="none"/>
          <w:lang w:val="en-US" w:eastAsia="zh-CN"/>
        </w:rPr>
        <w:t xml:space="preserve">    </w:t>
      </w:r>
      <w:r>
        <w:rPr>
          <w:rFonts w:hint="eastAsia"/>
          <w:highlight w:val="none"/>
        </w:rPr>
        <w:t>（6）投标文件格式</w:t>
      </w:r>
      <w:r>
        <w:rPr>
          <w:rFonts w:hint="eastAsia"/>
          <w:highlight w:val="none"/>
          <w:lang w:eastAsia="zh-CN"/>
        </w:rPr>
        <w:t>。</w:t>
      </w:r>
    </w:p>
    <w:p w14:paraId="3A52A300">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420" w:firstLineChars="0"/>
        <w:jc w:val="both"/>
        <w:textAlignment w:val="auto"/>
        <w:outlineLvl w:val="9"/>
        <w:rPr>
          <w:rFonts w:hint="eastAsia"/>
          <w:highlight w:val="none"/>
        </w:rPr>
      </w:pPr>
      <w:r>
        <w:rPr>
          <w:rFonts w:hint="eastAsia"/>
          <w:highlight w:val="none"/>
          <w:lang w:val="en-US" w:eastAsia="zh-CN"/>
        </w:rPr>
        <w:t>8</w:t>
      </w:r>
      <w:r>
        <w:rPr>
          <w:rFonts w:hint="eastAsia"/>
          <w:highlight w:val="none"/>
        </w:rPr>
        <w:t>.2</w:t>
      </w:r>
      <w:r>
        <w:rPr>
          <w:rFonts w:hint="eastAsia"/>
          <w:highlight w:val="none"/>
          <w:lang w:val="en-US" w:eastAsia="zh-CN"/>
        </w:rPr>
        <w:t xml:space="preserve">  </w:t>
      </w:r>
      <w:r>
        <w:rPr>
          <w:rFonts w:hint="eastAsia"/>
          <w:highlight w:val="none"/>
        </w:rPr>
        <w:t>投标人应认真阅读和充分理解招标文件中所有的事项、格式条款和规范要求。如果投标人没有按照招标文件要求提交全部资料，或者投标文件没有对招标文件在各方面都做出实质性响应，由此带来的不利于投标人的评标结果，其风险由投标人承担。</w:t>
      </w:r>
    </w:p>
    <w:p w14:paraId="1A9C7DBE">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420" w:firstLineChars="0"/>
        <w:jc w:val="both"/>
        <w:textAlignment w:val="auto"/>
        <w:outlineLvl w:val="9"/>
        <w:rPr>
          <w:rFonts w:hint="eastAsia"/>
          <w:highlight w:val="none"/>
        </w:rPr>
      </w:pPr>
      <w:r>
        <w:rPr>
          <w:rFonts w:hint="eastAsia"/>
          <w:highlight w:val="none"/>
          <w:lang w:val="en-US" w:eastAsia="zh-CN"/>
        </w:rPr>
        <w:t xml:space="preserve">8.3  </w:t>
      </w:r>
      <w:r>
        <w:rPr>
          <w:rFonts w:hint="eastAsia"/>
          <w:highlight w:val="none"/>
        </w:rPr>
        <w:t>本招标文件的解释权归</w:t>
      </w:r>
      <w:r>
        <w:rPr>
          <w:rFonts w:hint="eastAsia"/>
          <w:color w:val="auto"/>
          <w:highlight w:val="none"/>
          <w:lang w:eastAsia="zh-CN"/>
        </w:rPr>
        <w:t>瑞恒项目管理有限公司</w:t>
      </w:r>
      <w:r>
        <w:rPr>
          <w:rFonts w:hint="eastAsia"/>
          <w:highlight w:val="none"/>
        </w:rPr>
        <w:t>。</w:t>
      </w:r>
    </w:p>
    <w:p w14:paraId="3AA7F060">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0" w:firstLineChars="0"/>
        <w:jc w:val="both"/>
        <w:textAlignment w:val="auto"/>
        <w:outlineLvl w:val="9"/>
        <w:rPr>
          <w:rFonts w:hint="eastAsia" w:ascii="宋体" w:hAnsi="宋体" w:cs="宋体"/>
          <w:b/>
          <w:bCs/>
          <w:kern w:val="0"/>
          <w:sz w:val="24"/>
          <w:highlight w:val="none"/>
        </w:rPr>
      </w:pPr>
      <w:r>
        <w:rPr>
          <w:rFonts w:hint="eastAsia" w:ascii="宋体" w:hAnsi="宋体" w:cs="宋体"/>
          <w:b/>
          <w:bCs/>
          <w:kern w:val="0"/>
          <w:sz w:val="24"/>
          <w:highlight w:val="none"/>
          <w:lang w:val="en-US" w:eastAsia="zh-CN"/>
        </w:rPr>
        <w:t>9</w:t>
      </w:r>
      <w:r>
        <w:rPr>
          <w:rFonts w:hint="eastAsia" w:ascii="宋体" w:hAnsi="宋体" w:cs="宋体"/>
          <w:b/>
          <w:bCs/>
          <w:kern w:val="0"/>
          <w:sz w:val="24"/>
          <w:highlight w:val="none"/>
        </w:rPr>
        <w:t>、招标文件的澄清和修改</w:t>
      </w:r>
    </w:p>
    <w:p w14:paraId="07D2EC85">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0" w:firstLineChars="0"/>
        <w:jc w:val="both"/>
        <w:textAlignment w:val="auto"/>
        <w:outlineLvl w:val="9"/>
        <w:rPr>
          <w:rFonts w:hint="eastAsia"/>
          <w:highlight w:val="none"/>
        </w:rPr>
      </w:pPr>
      <w:r>
        <w:rPr>
          <w:rFonts w:hint="eastAsia"/>
          <w:highlight w:val="none"/>
          <w:lang w:val="en-US" w:eastAsia="zh-CN"/>
        </w:rPr>
        <w:t xml:space="preserve">    9</w:t>
      </w:r>
      <w:r>
        <w:rPr>
          <w:rFonts w:hint="eastAsia"/>
          <w:highlight w:val="none"/>
        </w:rPr>
        <w:t xml:space="preserve">.1 </w:t>
      </w:r>
      <w:r>
        <w:rPr>
          <w:rFonts w:hint="eastAsia"/>
          <w:highlight w:val="none"/>
          <w:lang w:val="en-US" w:eastAsia="zh-CN"/>
        </w:rPr>
        <w:t xml:space="preserve"> </w:t>
      </w:r>
      <w:r>
        <w:rPr>
          <w:rFonts w:hint="eastAsia"/>
          <w:highlight w:val="none"/>
        </w:rPr>
        <w:t>在投标截止时间前，采购人或者采购代理机构无论出于何种原因，可以对招标文件进行澄清或者修改。</w:t>
      </w:r>
    </w:p>
    <w:p w14:paraId="74856588">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420" w:firstLineChars="0"/>
        <w:jc w:val="both"/>
        <w:textAlignment w:val="auto"/>
        <w:outlineLvl w:val="9"/>
        <w:rPr>
          <w:rFonts w:hint="eastAsia"/>
          <w:highlight w:val="none"/>
        </w:rPr>
      </w:pPr>
      <w:r>
        <w:rPr>
          <w:rFonts w:hint="eastAsia"/>
          <w:highlight w:val="none"/>
          <w:lang w:val="en-US" w:eastAsia="zh-CN"/>
        </w:rPr>
        <w:t>9</w:t>
      </w:r>
      <w:r>
        <w:rPr>
          <w:rFonts w:hint="eastAsia"/>
          <w:highlight w:val="none"/>
        </w:rPr>
        <w:t xml:space="preserve">.2 </w:t>
      </w:r>
      <w:r>
        <w:rPr>
          <w:rFonts w:hint="eastAsia"/>
          <w:highlight w:val="none"/>
          <w:lang w:val="en-US" w:eastAsia="zh-CN"/>
        </w:rPr>
        <w:t xml:space="preserve"> </w:t>
      </w:r>
      <w:r>
        <w:rPr>
          <w:rFonts w:hint="eastAsia"/>
          <w:highlight w:val="none"/>
        </w:rPr>
        <w:t>采购人或者采购代理机构</w:t>
      </w:r>
      <w:r>
        <w:rPr>
          <w:rFonts w:hint="eastAsia"/>
          <w:highlight w:val="none"/>
          <w:lang w:eastAsia="zh-CN"/>
        </w:rPr>
        <w:t>如果</w:t>
      </w:r>
      <w:r>
        <w:rPr>
          <w:rFonts w:hint="eastAsia"/>
          <w:highlight w:val="none"/>
        </w:rPr>
        <w:t>对已发出的招标文件进行澄清或者修改，将在招标文件要求提交投标文件截止时间15日前，以书面形式将澄清或者修改的内容通知所有</w:t>
      </w:r>
      <w:r>
        <w:rPr>
          <w:rFonts w:hint="eastAsia"/>
          <w:highlight w:val="none"/>
          <w:lang w:val="en-US" w:eastAsia="zh-CN"/>
        </w:rPr>
        <w:t>下载</w:t>
      </w:r>
      <w:r>
        <w:rPr>
          <w:rFonts w:hint="eastAsia"/>
          <w:highlight w:val="none"/>
        </w:rPr>
        <w:t>了招标文件的投标人，同时在原信息发布媒体上发布更正公告。该澄清或者修改的内容为招标文件的组成部分。投标人在收到上述通知后，应立即以书面形式（传真或邮件）向采购代理机构确认。</w:t>
      </w:r>
    </w:p>
    <w:p w14:paraId="0B7F2DBA">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0" w:firstLineChars="0"/>
        <w:jc w:val="both"/>
        <w:textAlignment w:val="auto"/>
        <w:outlineLvl w:val="9"/>
        <w:rPr>
          <w:rFonts w:hint="eastAsia"/>
          <w:highlight w:val="none"/>
        </w:rPr>
      </w:pPr>
      <w:r>
        <w:rPr>
          <w:rFonts w:hint="eastAsia"/>
          <w:highlight w:val="none"/>
          <w:lang w:val="en-US" w:eastAsia="zh-CN"/>
        </w:rPr>
        <w:t xml:space="preserve">    9</w:t>
      </w:r>
      <w:r>
        <w:rPr>
          <w:rFonts w:hint="eastAsia"/>
          <w:highlight w:val="none"/>
        </w:rPr>
        <w:t>.</w:t>
      </w:r>
      <w:r>
        <w:rPr>
          <w:rFonts w:hint="eastAsia"/>
          <w:highlight w:val="none"/>
          <w:lang w:val="en-US" w:eastAsia="zh-CN"/>
        </w:rPr>
        <w:t xml:space="preserve">3  </w:t>
      </w:r>
      <w:r>
        <w:rPr>
          <w:rFonts w:hint="eastAsia"/>
          <w:highlight w:val="none"/>
        </w:rPr>
        <w:t>招标文件的澄清或修改内容均以书面形式明确的内容为准。当招标文件的澄清、修改、补充等在同一内容的表述上不一致时，以最后发出的书面文件为准。所有补充文件将作为招标文件的组成部分，对所有投标人具有约束力。</w:t>
      </w:r>
    </w:p>
    <w:p w14:paraId="5AA60CA8">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420" w:firstLineChars="0"/>
        <w:jc w:val="both"/>
        <w:textAlignment w:val="auto"/>
        <w:outlineLvl w:val="9"/>
        <w:rPr>
          <w:rFonts w:hint="eastAsia"/>
          <w:highlight w:val="none"/>
        </w:rPr>
      </w:pPr>
      <w:r>
        <w:rPr>
          <w:rFonts w:hint="eastAsia"/>
          <w:highlight w:val="none"/>
          <w:lang w:val="en-US" w:eastAsia="zh-CN"/>
        </w:rPr>
        <w:t>9</w:t>
      </w:r>
      <w:r>
        <w:rPr>
          <w:rFonts w:hint="eastAsia"/>
          <w:highlight w:val="none"/>
        </w:rPr>
        <w:t>.</w:t>
      </w:r>
      <w:r>
        <w:rPr>
          <w:rFonts w:hint="eastAsia"/>
          <w:highlight w:val="none"/>
          <w:lang w:val="en-US" w:eastAsia="zh-CN"/>
        </w:rPr>
        <w:t>4</w:t>
      </w:r>
      <w:r>
        <w:rPr>
          <w:rFonts w:hint="eastAsia"/>
          <w:highlight w:val="none"/>
        </w:rPr>
        <w:t xml:space="preserve"> </w:t>
      </w:r>
      <w:r>
        <w:rPr>
          <w:rFonts w:hint="eastAsia"/>
          <w:highlight w:val="none"/>
          <w:lang w:val="en-US" w:eastAsia="zh-CN"/>
        </w:rPr>
        <w:t xml:space="preserve"> 投标截止时间和开标时间的延长：</w:t>
      </w:r>
      <w:r>
        <w:rPr>
          <w:rFonts w:hint="eastAsia"/>
          <w:highlight w:val="none"/>
        </w:rPr>
        <w:t>在投标截止时间</w:t>
      </w:r>
      <w:r>
        <w:rPr>
          <w:rFonts w:hint="eastAsia"/>
          <w:highlight w:val="none"/>
          <w:lang w:val="en-US" w:eastAsia="zh-CN"/>
        </w:rPr>
        <w:t>3</w:t>
      </w:r>
      <w:r>
        <w:rPr>
          <w:rFonts w:hint="eastAsia"/>
          <w:highlight w:val="none"/>
        </w:rPr>
        <w:t>日前，采购代理机构可以视采购具体情况，延长投标截止时间和开标时间。延长投标截止时间和开标时间将在财政部门指定的媒体上发布变更公告，同时将变更时间书面通知所有</w:t>
      </w:r>
      <w:r>
        <w:rPr>
          <w:rFonts w:hint="eastAsia"/>
          <w:highlight w:val="none"/>
          <w:lang w:val="en-US" w:eastAsia="zh-CN"/>
        </w:rPr>
        <w:t>下载</w:t>
      </w:r>
      <w:r>
        <w:rPr>
          <w:rFonts w:hint="eastAsia"/>
          <w:highlight w:val="none"/>
        </w:rPr>
        <w:t>招标文件的单位。</w:t>
      </w:r>
    </w:p>
    <w:p w14:paraId="439CB485">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0" w:firstLineChars="0"/>
        <w:jc w:val="both"/>
        <w:textAlignment w:val="auto"/>
        <w:outlineLvl w:val="9"/>
        <w:rPr>
          <w:rFonts w:hint="eastAsia" w:ascii="宋体" w:hAnsi="宋体" w:cs="宋体"/>
          <w:b/>
          <w:bCs/>
          <w:kern w:val="0"/>
          <w:sz w:val="24"/>
          <w:highlight w:val="none"/>
        </w:rPr>
      </w:pPr>
      <w:r>
        <w:rPr>
          <w:rFonts w:hint="eastAsia" w:ascii="宋体" w:hAnsi="宋体" w:cs="宋体"/>
          <w:b/>
          <w:bCs/>
          <w:kern w:val="0"/>
          <w:sz w:val="24"/>
          <w:highlight w:val="none"/>
        </w:rPr>
        <w:t>1</w:t>
      </w:r>
      <w:r>
        <w:rPr>
          <w:rFonts w:hint="eastAsia" w:ascii="宋体" w:hAnsi="宋体" w:cs="宋体"/>
          <w:b/>
          <w:bCs/>
          <w:kern w:val="0"/>
          <w:sz w:val="24"/>
          <w:highlight w:val="none"/>
          <w:lang w:val="en-US" w:eastAsia="zh-CN"/>
        </w:rPr>
        <w:t>0</w:t>
      </w:r>
      <w:r>
        <w:rPr>
          <w:rFonts w:hint="eastAsia" w:ascii="宋体" w:hAnsi="宋体" w:cs="宋体"/>
          <w:b/>
          <w:bCs/>
          <w:kern w:val="0"/>
          <w:sz w:val="24"/>
          <w:highlight w:val="none"/>
        </w:rPr>
        <w:t>、答疑会和现场考察（视项目具体情况而定）</w:t>
      </w:r>
    </w:p>
    <w:p w14:paraId="667AB431">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0" w:firstLineChars="0"/>
        <w:jc w:val="both"/>
        <w:textAlignment w:val="auto"/>
        <w:outlineLvl w:val="9"/>
        <w:rPr>
          <w:rFonts w:hint="eastAsia"/>
          <w:highlight w:val="none"/>
        </w:rPr>
      </w:pPr>
      <w:r>
        <w:rPr>
          <w:rFonts w:hint="eastAsia"/>
          <w:highlight w:val="none"/>
          <w:lang w:val="en-US" w:eastAsia="zh-CN"/>
        </w:rPr>
        <w:t xml:space="preserve">    </w:t>
      </w:r>
      <w:r>
        <w:rPr>
          <w:rFonts w:hint="eastAsia"/>
          <w:highlight w:val="none"/>
        </w:rPr>
        <w:t>1</w:t>
      </w:r>
      <w:r>
        <w:rPr>
          <w:rFonts w:hint="eastAsia"/>
          <w:highlight w:val="none"/>
          <w:lang w:val="en-US" w:eastAsia="zh-CN"/>
        </w:rPr>
        <w:t>0</w:t>
      </w:r>
      <w:r>
        <w:rPr>
          <w:rFonts w:hint="eastAsia"/>
          <w:highlight w:val="none"/>
        </w:rPr>
        <w:t xml:space="preserve">.1 </w:t>
      </w:r>
      <w:r>
        <w:rPr>
          <w:rFonts w:hint="eastAsia"/>
          <w:highlight w:val="none"/>
          <w:lang w:val="en-US" w:eastAsia="zh-CN"/>
        </w:rPr>
        <w:t xml:space="preserve"> </w:t>
      </w:r>
      <w:r>
        <w:rPr>
          <w:rFonts w:hint="eastAsia"/>
          <w:highlight w:val="none"/>
        </w:rPr>
        <w:t>根据采购项目和具体情况，采购代理机构认为有必要，可以组织召开标前答疑会，或投标单位可根据自身情况及需要，自行组织踏勘。答疑会或进行现场踏勘的时间，采购人将以书面形式通知所有</w:t>
      </w:r>
      <w:r>
        <w:rPr>
          <w:rFonts w:hint="eastAsia"/>
          <w:highlight w:val="none"/>
          <w:lang w:val="en-US" w:eastAsia="zh-CN"/>
        </w:rPr>
        <w:t>下载</w:t>
      </w:r>
      <w:r>
        <w:rPr>
          <w:rFonts w:hint="eastAsia"/>
          <w:highlight w:val="none"/>
        </w:rPr>
        <w:t>了招标文件的投标人。</w:t>
      </w:r>
    </w:p>
    <w:p w14:paraId="0D597D56">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0" w:firstLineChars="0"/>
        <w:jc w:val="both"/>
        <w:textAlignment w:val="auto"/>
        <w:outlineLvl w:val="9"/>
        <w:rPr>
          <w:rFonts w:hint="eastAsia"/>
          <w:highlight w:val="none"/>
        </w:rPr>
      </w:pPr>
      <w:r>
        <w:rPr>
          <w:rFonts w:hint="eastAsia"/>
          <w:highlight w:val="none"/>
          <w:lang w:val="en-US" w:eastAsia="zh-CN"/>
        </w:rPr>
        <w:t xml:space="preserve">    </w:t>
      </w:r>
      <w:r>
        <w:rPr>
          <w:rFonts w:hint="eastAsia"/>
          <w:highlight w:val="none"/>
        </w:rPr>
        <w:t>1</w:t>
      </w:r>
      <w:r>
        <w:rPr>
          <w:rFonts w:hint="eastAsia"/>
          <w:highlight w:val="none"/>
          <w:lang w:val="en-US" w:eastAsia="zh-CN"/>
        </w:rPr>
        <w:t>0</w:t>
      </w:r>
      <w:r>
        <w:rPr>
          <w:rFonts w:hint="eastAsia"/>
          <w:highlight w:val="none"/>
        </w:rPr>
        <w:t xml:space="preserve">.2 </w:t>
      </w:r>
      <w:r>
        <w:rPr>
          <w:rFonts w:hint="eastAsia"/>
          <w:highlight w:val="none"/>
          <w:lang w:val="en-US" w:eastAsia="zh-CN"/>
        </w:rPr>
        <w:t xml:space="preserve"> </w:t>
      </w:r>
      <w:r>
        <w:rPr>
          <w:rFonts w:hint="eastAsia"/>
          <w:highlight w:val="none"/>
        </w:rPr>
        <w:t>投标人踏勘现场所发生的一切费用由投标人自己承担。</w:t>
      </w:r>
    </w:p>
    <w:p w14:paraId="201C3C0B">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0" w:firstLineChars="0"/>
        <w:jc w:val="both"/>
        <w:textAlignment w:val="auto"/>
        <w:outlineLvl w:val="9"/>
        <w:rPr>
          <w:rFonts w:hint="eastAsia"/>
          <w:highlight w:val="none"/>
        </w:rPr>
      </w:pPr>
      <w:r>
        <w:rPr>
          <w:rFonts w:hint="eastAsia"/>
          <w:highlight w:val="none"/>
          <w:lang w:val="en-US" w:eastAsia="zh-CN"/>
        </w:rPr>
        <w:t xml:space="preserve">    </w:t>
      </w:r>
      <w:r>
        <w:rPr>
          <w:rFonts w:hint="eastAsia"/>
          <w:highlight w:val="none"/>
        </w:rPr>
        <w:t>1</w:t>
      </w:r>
      <w:r>
        <w:rPr>
          <w:rFonts w:hint="eastAsia"/>
          <w:highlight w:val="none"/>
          <w:lang w:val="en-US" w:eastAsia="zh-CN"/>
        </w:rPr>
        <w:t>0</w:t>
      </w:r>
      <w:r>
        <w:rPr>
          <w:rFonts w:hint="eastAsia"/>
          <w:highlight w:val="none"/>
        </w:rPr>
        <w:t xml:space="preserve">.3 </w:t>
      </w:r>
      <w:r>
        <w:rPr>
          <w:rFonts w:hint="eastAsia"/>
          <w:highlight w:val="none"/>
          <w:lang w:val="en-US" w:eastAsia="zh-CN"/>
        </w:rPr>
        <w:t xml:space="preserve"> </w:t>
      </w:r>
      <w:r>
        <w:rPr>
          <w:rFonts w:hint="eastAsia"/>
          <w:highlight w:val="none"/>
        </w:rPr>
        <w:t>采购人向投标人提供的有关现场的数据和资料，是采购人现有的能被投标人利用的资料，采购人对投标人做出的任何推论、理解和结论均不负责任。一旦中标，中标</w:t>
      </w:r>
      <w:r>
        <w:rPr>
          <w:rFonts w:hint="eastAsia"/>
          <w:highlight w:val="none"/>
          <w:lang w:eastAsia="zh-CN"/>
        </w:rPr>
        <w:t>人</w:t>
      </w:r>
      <w:r>
        <w:rPr>
          <w:rFonts w:hint="eastAsia"/>
          <w:highlight w:val="none"/>
        </w:rPr>
        <w:t>不得以任何借口，提出额外补偿，或延长合同期限的要求。</w:t>
      </w:r>
    </w:p>
    <w:p w14:paraId="36C50813">
      <w:pPr>
        <w:numPr>
          <w:ilvl w:val="0"/>
          <w:numId w:val="0"/>
        </w:numPr>
        <w:spacing w:before="240" w:after="120"/>
        <w:jc w:val="center"/>
        <w:outlineLvl w:val="2"/>
        <w:rPr>
          <w:rFonts w:hint="eastAsia" w:ascii="宋体" w:hAnsi="宋体" w:cs="宋体"/>
          <w:b/>
          <w:bCs/>
          <w:sz w:val="28"/>
          <w:highlight w:val="none"/>
        </w:rPr>
      </w:pPr>
      <w:r>
        <w:rPr>
          <w:rFonts w:hint="eastAsia" w:ascii="宋体" w:hAnsi="宋体" w:cs="宋体"/>
          <w:b/>
          <w:bCs/>
          <w:sz w:val="28"/>
          <w:highlight w:val="none"/>
        </w:rPr>
        <w:t>三、投标文件</w:t>
      </w:r>
    </w:p>
    <w:p w14:paraId="0ADD1FB7">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0" w:firstLineChars="0"/>
        <w:jc w:val="both"/>
        <w:textAlignment w:val="auto"/>
        <w:outlineLvl w:val="9"/>
        <w:rPr>
          <w:rFonts w:hint="eastAsia" w:ascii="宋体" w:hAnsi="宋体" w:cs="宋体"/>
          <w:b/>
          <w:bCs/>
          <w:kern w:val="0"/>
          <w:sz w:val="24"/>
          <w:highlight w:val="none"/>
        </w:rPr>
      </w:pPr>
      <w:r>
        <w:rPr>
          <w:rFonts w:hint="eastAsia" w:ascii="宋体" w:hAnsi="宋体" w:cs="宋体"/>
          <w:b/>
          <w:bCs/>
          <w:kern w:val="0"/>
          <w:sz w:val="24"/>
          <w:highlight w:val="none"/>
        </w:rPr>
        <w:t>1</w:t>
      </w:r>
      <w:r>
        <w:rPr>
          <w:rFonts w:hint="eastAsia" w:ascii="宋体" w:hAnsi="宋体" w:cs="宋体"/>
          <w:b/>
          <w:bCs/>
          <w:kern w:val="0"/>
          <w:sz w:val="24"/>
          <w:highlight w:val="none"/>
          <w:lang w:val="en-US" w:eastAsia="zh-CN"/>
        </w:rPr>
        <w:t>1</w:t>
      </w:r>
      <w:r>
        <w:rPr>
          <w:rFonts w:hint="eastAsia" w:ascii="宋体" w:hAnsi="宋体" w:cs="宋体"/>
          <w:b/>
          <w:bCs/>
          <w:kern w:val="0"/>
          <w:sz w:val="24"/>
          <w:highlight w:val="none"/>
        </w:rPr>
        <w:t>、投标文件编制的原则</w:t>
      </w:r>
    </w:p>
    <w:p w14:paraId="77A54EA5">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0" w:firstLineChars="0"/>
        <w:jc w:val="both"/>
        <w:textAlignment w:val="auto"/>
        <w:outlineLvl w:val="9"/>
        <w:rPr>
          <w:rFonts w:hint="eastAsia"/>
          <w:highlight w:val="none"/>
        </w:rPr>
      </w:pPr>
      <w:r>
        <w:rPr>
          <w:rFonts w:hint="eastAsia"/>
          <w:highlight w:val="none"/>
          <w:lang w:val="en-US" w:eastAsia="zh-CN"/>
        </w:rPr>
        <w:t xml:space="preserve">    </w:t>
      </w:r>
      <w:r>
        <w:rPr>
          <w:rFonts w:hint="eastAsia"/>
          <w:highlight w:val="none"/>
        </w:rPr>
        <w:t>1</w:t>
      </w:r>
      <w:r>
        <w:rPr>
          <w:rFonts w:hint="eastAsia"/>
          <w:highlight w:val="none"/>
          <w:lang w:val="en-US" w:eastAsia="zh-CN"/>
        </w:rPr>
        <w:t>1</w:t>
      </w:r>
      <w:r>
        <w:rPr>
          <w:rFonts w:hint="eastAsia"/>
          <w:highlight w:val="none"/>
        </w:rPr>
        <w:t>.1</w:t>
      </w:r>
      <w:r>
        <w:rPr>
          <w:rFonts w:hint="eastAsia"/>
          <w:highlight w:val="none"/>
          <w:lang w:val="en-US" w:eastAsia="zh-CN"/>
        </w:rPr>
        <w:t xml:space="preserve">  </w:t>
      </w:r>
      <w:r>
        <w:rPr>
          <w:rFonts w:hint="eastAsia"/>
          <w:highlight w:val="none"/>
        </w:rPr>
        <w:t>投标人应在认真阅读招标文件所有内容的基础上，按照招标文件的要求编制完整的投标文件。</w:t>
      </w:r>
      <w:r>
        <w:rPr>
          <w:rFonts w:hint="eastAsia"/>
          <w:color w:val="000000"/>
          <w:highlight w:val="none"/>
        </w:rPr>
        <w:t>招标文件中</w:t>
      </w:r>
      <w:r>
        <w:rPr>
          <w:rFonts w:hint="eastAsia"/>
          <w:color w:val="000000"/>
          <w:highlight w:val="none"/>
          <w:lang w:eastAsia="zh-CN"/>
        </w:rPr>
        <w:t>除</w:t>
      </w:r>
      <w:r>
        <w:rPr>
          <w:rFonts w:hint="eastAsia"/>
          <w:color w:val="000000"/>
          <w:highlight w:val="none"/>
        </w:rPr>
        <w:t>对投标文件格式有要求的，</w:t>
      </w:r>
      <w:r>
        <w:rPr>
          <w:rFonts w:hint="eastAsia"/>
          <w:color w:val="000000"/>
          <w:highlight w:val="none"/>
          <w:lang w:eastAsia="zh-CN"/>
        </w:rPr>
        <w:t>其余内容均按招标文件要求填写</w:t>
      </w:r>
      <w:r>
        <w:rPr>
          <w:rFonts w:hint="eastAsia"/>
          <w:color w:val="000000"/>
          <w:highlight w:val="none"/>
        </w:rPr>
        <w:t>，无相应内容可填的项应填写</w:t>
      </w:r>
      <w:r>
        <w:rPr>
          <w:rFonts w:hint="eastAsia"/>
          <w:color w:val="000000"/>
          <w:highlight w:val="none"/>
          <w:lang w:eastAsia="zh-CN"/>
        </w:rPr>
        <w:t>“</w:t>
      </w:r>
      <w:r>
        <w:rPr>
          <w:rFonts w:hint="eastAsia"/>
          <w:color w:val="000000"/>
          <w:highlight w:val="none"/>
        </w:rPr>
        <w:t>无</w:t>
      </w:r>
      <w:r>
        <w:rPr>
          <w:rFonts w:hint="eastAsia"/>
          <w:color w:val="000000"/>
          <w:highlight w:val="none"/>
          <w:lang w:eastAsia="zh-CN"/>
        </w:rPr>
        <w:t>”</w:t>
      </w:r>
      <w:r>
        <w:rPr>
          <w:rFonts w:hint="eastAsia"/>
          <w:color w:val="000000"/>
          <w:highlight w:val="none"/>
        </w:rPr>
        <w:t>、</w:t>
      </w:r>
      <w:r>
        <w:rPr>
          <w:rFonts w:hint="eastAsia"/>
          <w:color w:val="000000"/>
          <w:highlight w:val="none"/>
          <w:lang w:eastAsia="zh-CN"/>
        </w:rPr>
        <w:t>“</w:t>
      </w:r>
      <w:r>
        <w:rPr>
          <w:rFonts w:hint="eastAsia"/>
          <w:color w:val="000000"/>
          <w:highlight w:val="none"/>
        </w:rPr>
        <w:t>没有相应指标</w:t>
      </w:r>
      <w:r>
        <w:rPr>
          <w:rFonts w:hint="eastAsia"/>
          <w:color w:val="000000"/>
          <w:highlight w:val="none"/>
          <w:lang w:eastAsia="zh-CN"/>
        </w:rPr>
        <w:t>”</w:t>
      </w:r>
      <w:r>
        <w:rPr>
          <w:rFonts w:hint="eastAsia"/>
          <w:color w:val="000000"/>
          <w:highlight w:val="none"/>
        </w:rPr>
        <w:t>等明确的回答文字。投标文件中</w:t>
      </w:r>
      <w:r>
        <w:rPr>
          <w:rFonts w:hint="eastAsia"/>
          <w:color w:val="000000"/>
          <w:highlight w:val="none"/>
          <w:lang w:eastAsia="zh-CN"/>
        </w:rPr>
        <w:t>未按招标文件要求</w:t>
      </w:r>
      <w:r>
        <w:rPr>
          <w:rFonts w:hint="eastAsia"/>
          <w:color w:val="000000"/>
          <w:highlight w:val="none"/>
        </w:rPr>
        <w:t>的，将被视为不完整响应的投标文件，其投标将有可能被拒绝。</w:t>
      </w:r>
    </w:p>
    <w:p w14:paraId="6BADC7D1">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420" w:firstLineChars="0"/>
        <w:jc w:val="both"/>
        <w:textAlignment w:val="auto"/>
        <w:outlineLvl w:val="9"/>
        <w:rPr>
          <w:rFonts w:hint="eastAsia"/>
          <w:highlight w:val="none"/>
        </w:rPr>
      </w:pPr>
      <w:r>
        <w:rPr>
          <w:rFonts w:hint="eastAsia"/>
          <w:highlight w:val="none"/>
        </w:rPr>
        <w:t>1</w:t>
      </w:r>
      <w:r>
        <w:rPr>
          <w:rFonts w:hint="eastAsia"/>
          <w:highlight w:val="none"/>
          <w:lang w:val="en-US" w:eastAsia="zh-CN"/>
        </w:rPr>
        <w:t>1</w:t>
      </w:r>
      <w:r>
        <w:rPr>
          <w:rFonts w:hint="eastAsia"/>
          <w:highlight w:val="none"/>
        </w:rPr>
        <w:t>.2</w:t>
      </w:r>
      <w:r>
        <w:rPr>
          <w:rFonts w:hint="eastAsia"/>
          <w:highlight w:val="none"/>
          <w:lang w:val="en-US" w:eastAsia="zh-CN"/>
        </w:rPr>
        <w:t xml:space="preserve">  </w:t>
      </w:r>
      <w:r>
        <w:rPr>
          <w:rFonts w:hint="eastAsia"/>
          <w:highlight w:val="none"/>
        </w:rPr>
        <w:t>投标人必须保证投标文件所提供的全部资料真实可靠，并接受对其中任何资料进一步审查的要求。投标人在政府采购过程中提供不真实的材料，无论其材料是否重要，采购人均有权拒绝，并取消其投标资格，投标人需承担相应的后果及法律责任。</w:t>
      </w:r>
    </w:p>
    <w:p w14:paraId="51052DC6">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0" w:firstLineChars="0"/>
        <w:jc w:val="both"/>
        <w:textAlignment w:val="auto"/>
        <w:outlineLvl w:val="9"/>
        <w:rPr>
          <w:rFonts w:hint="eastAsia"/>
          <w:highlight w:val="none"/>
        </w:rPr>
      </w:pPr>
      <w:r>
        <w:rPr>
          <w:rFonts w:hint="eastAsia"/>
          <w:highlight w:val="none"/>
          <w:lang w:val="en-US" w:eastAsia="zh-CN"/>
        </w:rPr>
        <w:t xml:space="preserve">    </w:t>
      </w:r>
      <w:r>
        <w:rPr>
          <w:rFonts w:hint="eastAsia"/>
          <w:highlight w:val="none"/>
        </w:rPr>
        <w:t>1</w:t>
      </w:r>
      <w:r>
        <w:rPr>
          <w:rFonts w:hint="eastAsia"/>
          <w:highlight w:val="none"/>
          <w:lang w:val="en-US" w:eastAsia="zh-CN"/>
        </w:rPr>
        <w:t>1</w:t>
      </w:r>
      <w:r>
        <w:rPr>
          <w:rFonts w:hint="eastAsia"/>
          <w:highlight w:val="none"/>
        </w:rPr>
        <w:t>.3</w:t>
      </w:r>
      <w:r>
        <w:rPr>
          <w:rFonts w:hint="eastAsia"/>
          <w:highlight w:val="none"/>
          <w:lang w:val="en-US" w:eastAsia="zh-CN"/>
        </w:rPr>
        <w:t xml:space="preserve">  </w:t>
      </w:r>
      <w:r>
        <w:rPr>
          <w:rFonts w:hint="eastAsia"/>
          <w:highlight w:val="none"/>
        </w:rPr>
        <w:t>投标文件须对招标文件中的内容做出实质性和完整的响应，否则其投标将被拒绝。</w:t>
      </w:r>
    </w:p>
    <w:p w14:paraId="0FE2BB6D">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0" w:firstLineChars="0"/>
        <w:jc w:val="both"/>
        <w:textAlignment w:val="auto"/>
        <w:outlineLvl w:val="9"/>
        <w:rPr>
          <w:rFonts w:hint="eastAsia" w:ascii="宋体" w:hAnsi="宋体" w:cs="宋体"/>
          <w:b/>
          <w:bCs/>
          <w:kern w:val="0"/>
          <w:sz w:val="24"/>
          <w:highlight w:val="none"/>
        </w:rPr>
      </w:pPr>
      <w:r>
        <w:rPr>
          <w:rFonts w:hint="eastAsia" w:ascii="宋体" w:hAnsi="宋体" w:cs="宋体"/>
          <w:b/>
          <w:bCs/>
          <w:kern w:val="0"/>
          <w:sz w:val="24"/>
          <w:highlight w:val="none"/>
        </w:rPr>
        <w:t>1</w:t>
      </w:r>
      <w:r>
        <w:rPr>
          <w:rFonts w:hint="eastAsia" w:ascii="宋体" w:hAnsi="宋体" w:cs="宋体"/>
          <w:b/>
          <w:bCs/>
          <w:kern w:val="0"/>
          <w:sz w:val="24"/>
          <w:highlight w:val="none"/>
          <w:lang w:val="en-US" w:eastAsia="zh-CN"/>
        </w:rPr>
        <w:t>2</w:t>
      </w:r>
      <w:r>
        <w:rPr>
          <w:rFonts w:hint="eastAsia" w:ascii="宋体" w:hAnsi="宋体" w:cs="宋体"/>
          <w:b/>
          <w:bCs/>
          <w:kern w:val="0"/>
          <w:sz w:val="24"/>
          <w:highlight w:val="none"/>
        </w:rPr>
        <w:t>、投标文件的语言</w:t>
      </w:r>
    </w:p>
    <w:p w14:paraId="3D34C791">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0" w:firstLineChars="0"/>
        <w:jc w:val="both"/>
        <w:textAlignment w:val="auto"/>
        <w:outlineLvl w:val="9"/>
        <w:rPr>
          <w:rFonts w:hint="eastAsia"/>
          <w:highlight w:val="none"/>
        </w:rPr>
      </w:pPr>
      <w:r>
        <w:rPr>
          <w:rFonts w:hint="eastAsia"/>
          <w:highlight w:val="none"/>
          <w:lang w:val="en-US" w:eastAsia="zh-CN"/>
        </w:rPr>
        <w:t xml:space="preserve">    </w:t>
      </w:r>
      <w:r>
        <w:rPr>
          <w:rFonts w:hint="eastAsia"/>
          <w:highlight w:val="none"/>
        </w:rPr>
        <w:t>1</w:t>
      </w:r>
      <w:r>
        <w:rPr>
          <w:rFonts w:hint="eastAsia"/>
          <w:highlight w:val="none"/>
          <w:lang w:val="en-US" w:eastAsia="zh-CN"/>
        </w:rPr>
        <w:t>2</w:t>
      </w:r>
      <w:r>
        <w:rPr>
          <w:rFonts w:hint="eastAsia"/>
          <w:highlight w:val="none"/>
        </w:rPr>
        <w:t xml:space="preserve">.1 </w:t>
      </w:r>
      <w:r>
        <w:rPr>
          <w:rFonts w:hint="eastAsia"/>
          <w:highlight w:val="none"/>
          <w:lang w:val="en-US" w:eastAsia="zh-CN"/>
        </w:rPr>
        <w:t xml:space="preserve"> </w:t>
      </w:r>
      <w:r>
        <w:rPr>
          <w:rFonts w:hint="eastAsia"/>
          <w:highlight w:val="none"/>
        </w:rPr>
        <w:t>投标人提交的投标文件和往来信件均须使用中文书写。投标文件中如附有外文资料，必须逐一对应翻译成中文并加盖投标人</w:t>
      </w:r>
      <w:r>
        <w:rPr>
          <w:rFonts w:hint="eastAsia"/>
          <w:highlight w:val="none"/>
          <w:lang w:eastAsia="zh-CN"/>
        </w:rPr>
        <w:t>盖章</w:t>
      </w:r>
      <w:r>
        <w:rPr>
          <w:rFonts w:hint="eastAsia"/>
          <w:highlight w:val="none"/>
        </w:rPr>
        <w:t>后附在相关外文资料后面，否则，投标人的投标文件将作为无效投标</w:t>
      </w:r>
      <w:r>
        <w:rPr>
          <w:rFonts w:hint="eastAsia"/>
          <w:highlight w:val="none"/>
          <w:lang w:eastAsia="zh-CN"/>
        </w:rPr>
        <w:t>文件</w:t>
      </w:r>
      <w:r>
        <w:rPr>
          <w:rFonts w:hint="eastAsia"/>
          <w:highlight w:val="none"/>
        </w:rPr>
        <w:t>处理。</w:t>
      </w:r>
    </w:p>
    <w:p w14:paraId="5CC3432D">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0" w:firstLineChars="0"/>
        <w:jc w:val="both"/>
        <w:textAlignment w:val="auto"/>
        <w:outlineLvl w:val="9"/>
        <w:rPr>
          <w:rFonts w:hint="eastAsia"/>
          <w:highlight w:val="none"/>
        </w:rPr>
      </w:pPr>
      <w:r>
        <w:rPr>
          <w:rFonts w:hint="eastAsia"/>
          <w:highlight w:val="none"/>
          <w:lang w:val="en-US" w:eastAsia="zh-CN"/>
        </w:rPr>
        <w:t xml:space="preserve">    </w:t>
      </w:r>
      <w:r>
        <w:rPr>
          <w:rFonts w:hint="eastAsia"/>
          <w:highlight w:val="none"/>
        </w:rPr>
        <w:t>1</w:t>
      </w:r>
      <w:r>
        <w:rPr>
          <w:rFonts w:hint="eastAsia"/>
          <w:highlight w:val="none"/>
          <w:lang w:val="en-US" w:eastAsia="zh-CN"/>
        </w:rPr>
        <w:t>2</w:t>
      </w:r>
      <w:r>
        <w:rPr>
          <w:rFonts w:hint="eastAsia"/>
          <w:highlight w:val="none"/>
        </w:rPr>
        <w:t>.2</w:t>
      </w:r>
      <w:r>
        <w:rPr>
          <w:rFonts w:hint="eastAsia"/>
          <w:highlight w:val="none"/>
          <w:lang w:val="en-US" w:eastAsia="zh-CN"/>
        </w:rPr>
        <w:t xml:space="preserve"> </w:t>
      </w:r>
      <w:r>
        <w:rPr>
          <w:rFonts w:hint="eastAsia"/>
          <w:highlight w:val="none"/>
        </w:rPr>
        <w:t xml:space="preserve"> 翻译的中文资料与外文资料如果出现差异和矛盾时，以中文为准。但不能故意错误翻译，否则，投标人的投标文件将作为无效投标处理。必要时采购人可以要求投标人提供附有公证书的中文翻译文件或者与原版文件签章相一致的中文翻译文件。</w:t>
      </w:r>
    </w:p>
    <w:p w14:paraId="46C1C821">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0" w:firstLineChars="0"/>
        <w:jc w:val="both"/>
        <w:textAlignment w:val="auto"/>
        <w:outlineLvl w:val="9"/>
        <w:rPr>
          <w:rFonts w:hint="eastAsia" w:ascii="宋体" w:hAnsi="宋体" w:cs="宋体"/>
          <w:b/>
          <w:bCs/>
          <w:kern w:val="0"/>
          <w:sz w:val="24"/>
          <w:highlight w:val="none"/>
        </w:rPr>
      </w:pPr>
      <w:r>
        <w:rPr>
          <w:rFonts w:hint="eastAsia" w:ascii="宋体" w:hAnsi="宋体" w:cs="宋体"/>
          <w:b/>
          <w:bCs/>
          <w:kern w:val="0"/>
          <w:sz w:val="24"/>
          <w:highlight w:val="none"/>
        </w:rPr>
        <w:t>1</w:t>
      </w:r>
      <w:r>
        <w:rPr>
          <w:rFonts w:hint="eastAsia" w:ascii="宋体" w:hAnsi="宋体" w:cs="宋体"/>
          <w:b/>
          <w:bCs/>
          <w:kern w:val="0"/>
          <w:sz w:val="24"/>
          <w:highlight w:val="none"/>
          <w:lang w:val="en-US" w:eastAsia="zh-CN"/>
        </w:rPr>
        <w:t>3</w:t>
      </w:r>
      <w:r>
        <w:rPr>
          <w:rFonts w:hint="eastAsia" w:ascii="宋体" w:hAnsi="宋体" w:cs="宋体"/>
          <w:b/>
          <w:bCs/>
          <w:kern w:val="0"/>
          <w:sz w:val="24"/>
          <w:highlight w:val="none"/>
        </w:rPr>
        <w:t>、计量单位</w:t>
      </w:r>
    </w:p>
    <w:p w14:paraId="6C93CB0D">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0" w:firstLineChars="0"/>
        <w:jc w:val="both"/>
        <w:textAlignment w:val="auto"/>
        <w:outlineLvl w:val="9"/>
        <w:rPr>
          <w:rFonts w:hint="eastAsia"/>
          <w:highlight w:val="none"/>
        </w:rPr>
      </w:pPr>
      <w:r>
        <w:rPr>
          <w:rFonts w:hint="eastAsia"/>
          <w:highlight w:val="none"/>
          <w:lang w:val="en-US" w:eastAsia="zh-CN"/>
        </w:rPr>
        <w:t xml:space="preserve">    </w:t>
      </w:r>
      <w:r>
        <w:rPr>
          <w:rFonts w:hint="eastAsia"/>
          <w:highlight w:val="none"/>
        </w:rPr>
        <w:t>除技术规格及要求中另有规定外，本</w:t>
      </w:r>
      <w:r>
        <w:rPr>
          <w:rFonts w:hint="eastAsia"/>
          <w:highlight w:val="none"/>
          <w:lang w:eastAsia="zh-CN"/>
        </w:rPr>
        <w:t>次</w:t>
      </w:r>
      <w:r>
        <w:rPr>
          <w:rFonts w:hint="eastAsia"/>
          <w:highlight w:val="none"/>
        </w:rPr>
        <w:t>采购项目下的投标均采用国家法定的计量单位。</w:t>
      </w:r>
    </w:p>
    <w:p w14:paraId="37439257">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0" w:firstLineChars="0"/>
        <w:jc w:val="both"/>
        <w:textAlignment w:val="auto"/>
        <w:outlineLvl w:val="9"/>
        <w:rPr>
          <w:rFonts w:hint="eastAsia" w:ascii="宋体" w:hAnsi="宋体" w:cs="宋体"/>
          <w:b/>
          <w:bCs/>
          <w:kern w:val="0"/>
          <w:sz w:val="24"/>
          <w:highlight w:val="none"/>
        </w:rPr>
      </w:pPr>
      <w:r>
        <w:rPr>
          <w:rFonts w:hint="eastAsia" w:ascii="宋体" w:hAnsi="宋体" w:cs="宋体"/>
          <w:b/>
          <w:bCs/>
          <w:kern w:val="0"/>
          <w:sz w:val="24"/>
          <w:highlight w:val="none"/>
        </w:rPr>
        <w:t>1</w:t>
      </w:r>
      <w:r>
        <w:rPr>
          <w:rFonts w:hint="eastAsia" w:ascii="宋体" w:hAnsi="宋体" w:cs="宋体"/>
          <w:b/>
          <w:bCs/>
          <w:kern w:val="0"/>
          <w:sz w:val="24"/>
          <w:highlight w:val="none"/>
          <w:lang w:val="en-US" w:eastAsia="zh-CN"/>
        </w:rPr>
        <w:t>4</w:t>
      </w:r>
      <w:r>
        <w:rPr>
          <w:rFonts w:hint="eastAsia" w:ascii="宋体" w:hAnsi="宋体" w:cs="宋体"/>
          <w:b/>
          <w:bCs/>
          <w:kern w:val="0"/>
          <w:sz w:val="24"/>
          <w:highlight w:val="none"/>
        </w:rPr>
        <w:t>、投标货币</w:t>
      </w:r>
    </w:p>
    <w:p w14:paraId="4CA619F4">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0" w:firstLineChars="0"/>
        <w:jc w:val="both"/>
        <w:textAlignment w:val="auto"/>
        <w:outlineLvl w:val="9"/>
        <w:rPr>
          <w:rFonts w:hint="eastAsia"/>
          <w:highlight w:val="none"/>
        </w:rPr>
      </w:pPr>
      <w:r>
        <w:rPr>
          <w:rFonts w:hint="eastAsia"/>
          <w:highlight w:val="none"/>
          <w:lang w:val="en-US" w:eastAsia="zh-CN"/>
        </w:rPr>
        <w:t xml:space="preserve">    </w:t>
      </w:r>
      <w:r>
        <w:rPr>
          <w:rFonts w:hint="eastAsia"/>
          <w:highlight w:val="none"/>
        </w:rPr>
        <w:t>本次</w:t>
      </w:r>
      <w:r>
        <w:rPr>
          <w:rFonts w:hint="eastAsia"/>
          <w:highlight w:val="none"/>
          <w:lang w:eastAsia="zh-CN"/>
        </w:rPr>
        <w:t>采购</w:t>
      </w:r>
      <w:r>
        <w:rPr>
          <w:rFonts w:hint="eastAsia"/>
          <w:highlight w:val="none"/>
        </w:rPr>
        <w:t>项目的投标均以人民币报价，单位：元。任何包含非人民币报价的</w:t>
      </w:r>
      <w:r>
        <w:rPr>
          <w:rFonts w:hint="eastAsia"/>
          <w:highlight w:val="none"/>
          <w:lang w:eastAsia="zh-CN"/>
        </w:rPr>
        <w:t>投标</w:t>
      </w:r>
      <w:r>
        <w:rPr>
          <w:rFonts w:hint="eastAsia"/>
          <w:highlight w:val="none"/>
        </w:rPr>
        <w:t>文件均按无效处理。</w:t>
      </w:r>
    </w:p>
    <w:p w14:paraId="0958BC72">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0" w:firstLineChars="0"/>
        <w:jc w:val="both"/>
        <w:textAlignment w:val="auto"/>
        <w:outlineLvl w:val="9"/>
        <w:rPr>
          <w:rFonts w:hint="eastAsia" w:ascii="宋体" w:hAnsi="宋体" w:cs="宋体"/>
          <w:b/>
          <w:bCs/>
          <w:kern w:val="0"/>
          <w:sz w:val="24"/>
          <w:highlight w:val="none"/>
        </w:rPr>
      </w:pPr>
      <w:r>
        <w:rPr>
          <w:rFonts w:hint="eastAsia" w:ascii="宋体" w:hAnsi="宋体" w:cs="宋体"/>
          <w:b/>
          <w:bCs/>
          <w:kern w:val="0"/>
          <w:sz w:val="24"/>
          <w:highlight w:val="none"/>
        </w:rPr>
        <w:t>1</w:t>
      </w:r>
      <w:r>
        <w:rPr>
          <w:rFonts w:hint="eastAsia" w:ascii="宋体" w:hAnsi="宋体" w:cs="宋体"/>
          <w:b/>
          <w:bCs/>
          <w:kern w:val="0"/>
          <w:sz w:val="24"/>
          <w:highlight w:val="none"/>
          <w:lang w:val="en-US" w:eastAsia="zh-CN"/>
        </w:rPr>
        <w:t>5</w:t>
      </w:r>
      <w:r>
        <w:rPr>
          <w:rFonts w:hint="eastAsia" w:ascii="宋体" w:hAnsi="宋体" w:cs="宋体"/>
          <w:b/>
          <w:bCs/>
          <w:kern w:val="0"/>
          <w:sz w:val="24"/>
          <w:highlight w:val="none"/>
        </w:rPr>
        <w:t>、知识产权</w:t>
      </w:r>
    </w:p>
    <w:p w14:paraId="6502A797">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0" w:firstLineChars="0"/>
        <w:jc w:val="both"/>
        <w:textAlignment w:val="auto"/>
        <w:outlineLvl w:val="9"/>
        <w:rPr>
          <w:rFonts w:hint="eastAsia"/>
          <w:highlight w:val="none"/>
        </w:rPr>
      </w:pPr>
      <w:r>
        <w:rPr>
          <w:rFonts w:hint="eastAsia"/>
          <w:highlight w:val="none"/>
          <w:lang w:val="en-US" w:eastAsia="zh-CN"/>
        </w:rPr>
        <w:t xml:space="preserve">    15</w:t>
      </w:r>
      <w:r>
        <w:rPr>
          <w:rFonts w:hint="eastAsia"/>
          <w:highlight w:val="none"/>
        </w:rPr>
        <w:t>.1</w:t>
      </w:r>
      <w:r>
        <w:rPr>
          <w:rFonts w:hint="eastAsia"/>
          <w:highlight w:val="none"/>
          <w:lang w:val="en-US" w:eastAsia="zh-CN"/>
        </w:rPr>
        <w:t xml:space="preserve">  </w:t>
      </w:r>
      <w:r>
        <w:rPr>
          <w:rFonts w:hint="eastAsia"/>
          <w:highlight w:val="none"/>
        </w:rPr>
        <w:t>投标人应保证在本项目使用的任何产品和服务（包括部分使用）时，不会产生因第三方提出侵犯其专利权、商标权或其它知识产权而引起的法律和经济纠纷，如因专利权、商标权或其它知识产权而引起法律和经济纠纷，由投标人承担所有相关责任。</w:t>
      </w:r>
    </w:p>
    <w:p w14:paraId="399BFF62">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0" w:firstLineChars="0"/>
        <w:jc w:val="both"/>
        <w:textAlignment w:val="auto"/>
        <w:outlineLvl w:val="9"/>
        <w:rPr>
          <w:rFonts w:hint="eastAsia"/>
          <w:highlight w:val="none"/>
        </w:rPr>
      </w:pPr>
      <w:r>
        <w:rPr>
          <w:rFonts w:hint="eastAsia"/>
          <w:highlight w:val="none"/>
          <w:lang w:val="en-US" w:eastAsia="zh-CN"/>
        </w:rPr>
        <w:t xml:space="preserve">    15</w:t>
      </w:r>
      <w:r>
        <w:rPr>
          <w:rFonts w:hint="eastAsia"/>
          <w:highlight w:val="none"/>
        </w:rPr>
        <w:t xml:space="preserve">.2 </w:t>
      </w:r>
      <w:r>
        <w:rPr>
          <w:rFonts w:hint="eastAsia"/>
          <w:highlight w:val="none"/>
          <w:lang w:val="en-US" w:eastAsia="zh-CN"/>
        </w:rPr>
        <w:t xml:space="preserve"> </w:t>
      </w:r>
      <w:r>
        <w:rPr>
          <w:rFonts w:hint="eastAsia"/>
          <w:highlight w:val="none"/>
        </w:rPr>
        <w:t>采购人享有本项目实施过程中产生的知识成果及知识产权。</w:t>
      </w:r>
    </w:p>
    <w:p w14:paraId="4AF857BE">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0" w:firstLineChars="0"/>
        <w:jc w:val="both"/>
        <w:textAlignment w:val="auto"/>
        <w:outlineLvl w:val="9"/>
        <w:rPr>
          <w:rFonts w:hint="eastAsia"/>
          <w:highlight w:val="none"/>
        </w:rPr>
      </w:pPr>
      <w:r>
        <w:rPr>
          <w:rFonts w:hint="eastAsia"/>
          <w:highlight w:val="none"/>
          <w:lang w:val="en-US" w:eastAsia="zh-CN"/>
        </w:rPr>
        <w:t xml:space="preserve">    </w:t>
      </w:r>
      <w:r>
        <w:rPr>
          <w:rFonts w:hint="eastAsia"/>
          <w:highlight w:val="none"/>
        </w:rPr>
        <w:t>1</w:t>
      </w:r>
      <w:r>
        <w:rPr>
          <w:rFonts w:hint="eastAsia"/>
          <w:highlight w:val="none"/>
          <w:lang w:val="en-US" w:eastAsia="zh-CN"/>
        </w:rPr>
        <w:t>5</w:t>
      </w:r>
      <w:r>
        <w:rPr>
          <w:rFonts w:hint="eastAsia"/>
          <w:highlight w:val="none"/>
        </w:rPr>
        <w:t xml:space="preserve">.3 </w:t>
      </w:r>
      <w:r>
        <w:rPr>
          <w:rFonts w:hint="eastAsia"/>
          <w:highlight w:val="none"/>
          <w:lang w:val="en-US" w:eastAsia="zh-CN"/>
        </w:rPr>
        <w:t xml:space="preserve"> </w:t>
      </w:r>
      <w:r>
        <w:rPr>
          <w:rFonts w:hint="eastAsia"/>
          <w:highlight w:val="none"/>
        </w:rPr>
        <w:t>投标</w:t>
      </w:r>
      <w:r>
        <w:rPr>
          <w:rFonts w:hint="eastAsia"/>
          <w:highlight w:val="none"/>
          <w:lang w:eastAsia="zh-CN"/>
        </w:rPr>
        <w:t>人</w:t>
      </w:r>
      <w:r>
        <w:rPr>
          <w:rFonts w:hint="eastAsia"/>
          <w:highlight w:val="none"/>
        </w:rPr>
        <w:t>如欲在项目实施过程中采用自有知识成果，需在投标文件中声明，并提供相关知识产权证明文件。使用该知识成果后，投标</w:t>
      </w:r>
      <w:r>
        <w:rPr>
          <w:rFonts w:hint="eastAsia"/>
          <w:highlight w:val="none"/>
          <w:lang w:eastAsia="zh-CN"/>
        </w:rPr>
        <w:t>人</w:t>
      </w:r>
      <w:r>
        <w:rPr>
          <w:rFonts w:hint="eastAsia"/>
          <w:highlight w:val="none"/>
        </w:rPr>
        <w:t>需提供开发接口和开发手册等技术文档，并承诺提供无限期技术支持，采购人享有永久使用权。</w:t>
      </w:r>
    </w:p>
    <w:p w14:paraId="3E790AE0">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0" w:firstLineChars="0"/>
        <w:jc w:val="both"/>
        <w:textAlignment w:val="auto"/>
        <w:outlineLvl w:val="9"/>
        <w:rPr>
          <w:rFonts w:hint="eastAsia"/>
          <w:highlight w:val="none"/>
        </w:rPr>
      </w:pPr>
      <w:r>
        <w:rPr>
          <w:rFonts w:hint="eastAsia"/>
          <w:highlight w:val="none"/>
          <w:lang w:val="en-US" w:eastAsia="zh-CN"/>
        </w:rPr>
        <w:t xml:space="preserve">    </w:t>
      </w:r>
      <w:r>
        <w:rPr>
          <w:rFonts w:hint="eastAsia"/>
          <w:highlight w:val="none"/>
        </w:rPr>
        <w:t>1</w:t>
      </w:r>
      <w:r>
        <w:rPr>
          <w:rFonts w:hint="eastAsia"/>
          <w:highlight w:val="none"/>
          <w:lang w:val="en-US" w:eastAsia="zh-CN"/>
        </w:rPr>
        <w:t>5</w:t>
      </w:r>
      <w:r>
        <w:rPr>
          <w:rFonts w:hint="eastAsia"/>
          <w:highlight w:val="none"/>
        </w:rPr>
        <w:t xml:space="preserve">.4 </w:t>
      </w:r>
      <w:r>
        <w:rPr>
          <w:rFonts w:hint="eastAsia"/>
          <w:highlight w:val="none"/>
          <w:lang w:val="en-US" w:eastAsia="zh-CN"/>
        </w:rPr>
        <w:t xml:space="preserve"> </w:t>
      </w:r>
      <w:r>
        <w:rPr>
          <w:rFonts w:hint="eastAsia"/>
          <w:highlight w:val="none"/>
        </w:rPr>
        <w:t>如采用投标</w:t>
      </w:r>
      <w:r>
        <w:rPr>
          <w:rFonts w:hint="eastAsia"/>
          <w:highlight w:val="none"/>
          <w:lang w:eastAsia="zh-CN"/>
        </w:rPr>
        <w:t>人</w:t>
      </w:r>
      <w:r>
        <w:rPr>
          <w:rFonts w:hint="eastAsia"/>
          <w:highlight w:val="none"/>
        </w:rPr>
        <w:t>所不拥有的知识产权，则在投标报价中必须包括合法获取该知识产权的相关费用。</w:t>
      </w:r>
    </w:p>
    <w:p w14:paraId="6D6ED26F">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0" w:firstLineChars="0"/>
        <w:jc w:val="both"/>
        <w:textAlignment w:val="auto"/>
        <w:outlineLvl w:val="9"/>
        <w:rPr>
          <w:rFonts w:hint="eastAsia" w:ascii="宋体" w:hAnsi="宋体" w:cs="宋体"/>
          <w:b/>
          <w:bCs/>
          <w:color w:val="000000"/>
          <w:kern w:val="0"/>
          <w:sz w:val="24"/>
          <w:highlight w:val="none"/>
        </w:rPr>
      </w:pPr>
      <w:r>
        <w:rPr>
          <w:rFonts w:hint="eastAsia" w:ascii="宋体" w:hAnsi="宋体" w:cs="宋体"/>
          <w:b/>
          <w:bCs/>
          <w:color w:val="000000"/>
          <w:kern w:val="0"/>
          <w:sz w:val="24"/>
          <w:highlight w:val="none"/>
        </w:rPr>
        <w:t>1</w:t>
      </w:r>
      <w:r>
        <w:rPr>
          <w:rFonts w:hint="eastAsia" w:ascii="宋体" w:hAnsi="宋体" w:cs="宋体"/>
          <w:b/>
          <w:bCs/>
          <w:color w:val="000000"/>
          <w:kern w:val="0"/>
          <w:sz w:val="24"/>
          <w:highlight w:val="none"/>
          <w:lang w:val="en-US" w:eastAsia="zh-CN"/>
        </w:rPr>
        <w:t>6</w:t>
      </w:r>
      <w:r>
        <w:rPr>
          <w:rFonts w:hint="eastAsia" w:ascii="宋体" w:hAnsi="宋体" w:cs="宋体"/>
          <w:b/>
          <w:bCs/>
          <w:color w:val="000000"/>
          <w:kern w:val="0"/>
          <w:sz w:val="24"/>
          <w:highlight w:val="none"/>
        </w:rPr>
        <w:t>、投标文件的组成</w:t>
      </w:r>
    </w:p>
    <w:p w14:paraId="44D0D2B7">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420" w:firstLineChars="0"/>
        <w:jc w:val="both"/>
        <w:textAlignment w:val="auto"/>
        <w:outlineLvl w:val="9"/>
        <w:rPr>
          <w:rFonts w:hint="eastAsia"/>
          <w:highlight w:val="none"/>
        </w:rPr>
      </w:pPr>
      <w:r>
        <w:rPr>
          <w:rFonts w:hint="eastAsia"/>
          <w:highlight w:val="none"/>
        </w:rPr>
        <w:t>所有采购</w:t>
      </w:r>
      <w:r>
        <w:rPr>
          <w:rFonts w:hint="eastAsia"/>
          <w:highlight w:val="none"/>
          <w:lang w:eastAsia="zh-CN"/>
        </w:rPr>
        <w:t>服务</w:t>
      </w:r>
      <w:r>
        <w:rPr>
          <w:rFonts w:hint="eastAsia"/>
          <w:highlight w:val="none"/>
        </w:rPr>
        <w:t>只允许投标人有一个投标方案，不接受任何有选择的方案和报价（包括有条件的折扣）。投标人未按要求，提供了选择方案报价的，其投标将被拒绝。</w:t>
      </w:r>
    </w:p>
    <w:p w14:paraId="1201C75A">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420" w:firstLineChars="0"/>
        <w:jc w:val="both"/>
        <w:textAlignment w:val="auto"/>
        <w:outlineLvl w:val="9"/>
        <w:rPr>
          <w:rFonts w:hint="eastAsia"/>
          <w:color w:val="auto"/>
          <w:highlight w:val="none"/>
        </w:rPr>
      </w:pPr>
      <w:r>
        <w:rPr>
          <w:rFonts w:hint="eastAsia"/>
          <w:color w:val="auto"/>
          <w:highlight w:val="none"/>
        </w:rPr>
        <w:t>1</w:t>
      </w:r>
      <w:r>
        <w:rPr>
          <w:rFonts w:hint="eastAsia"/>
          <w:color w:val="auto"/>
          <w:highlight w:val="none"/>
          <w:lang w:val="en-US" w:eastAsia="zh-CN"/>
        </w:rPr>
        <w:t>6</w:t>
      </w:r>
      <w:r>
        <w:rPr>
          <w:rFonts w:hint="eastAsia"/>
          <w:color w:val="auto"/>
          <w:highlight w:val="none"/>
        </w:rPr>
        <w:t>.1</w:t>
      </w:r>
      <w:r>
        <w:rPr>
          <w:rFonts w:hint="eastAsia"/>
          <w:color w:val="auto"/>
          <w:highlight w:val="none"/>
          <w:lang w:val="en-US" w:eastAsia="zh-CN"/>
        </w:rPr>
        <w:t xml:space="preserve">  </w:t>
      </w:r>
      <w:r>
        <w:rPr>
          <w:rFonts w:hint="eastAsia"/>
          <w:color w:val="auto"/>
          <w:highlight w:val="none"/>
        </w:rPr>
        <w:t>商务部分。投标人按照招标文件要求做出完全响应，提供的有关资质证明文件。包括以下内容：</w:t>
      </w:r>
    </w:p>
    <w:p w14:paraId="74676953">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0" w:firstLineChars="0"/>
        <w:jc w:val="both"/>
        <w:textAlignment w:val="auto"/>
        <w:outlineLvl w:val="9"/>
        <w:rPr>
          <w:rFonts w:hint="eastAsia"/>
          <w:b/>
          <w:bCs/>
          <w:color w:val="auto"/>
          <w:highlight w:val="none"/>
        </w:rPr>
      </w:pPr>
      <w:r>
        <w:rPr>
          <w:rFonts w:hint="eastAsia"/>
          <w:color w:val="auto"/>
          <w:highlight w:val="none"/>
          <w:lang w:val="en-US" w:eastAsia="zh-CN"/>
        </w:rPr>
        <w:t xml:space="preserve">    </w:t>
      </w:r>
      <w:r>
        <w:rPr>
          <w:rFonts w:hint="eastAsia"/>
          <w:b/>
          <w:bCs/>
          <w:color w:val="auto"/>
          <w:highlight w:val="none"/>
        </w:rPr>
        <w:t>（1）投标函；</w:t>
      </w:r>
    </w:p>
    <w:p w14:paraId="5038FC64">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0" w:firstLineChars="0"/>
        <w:jc w:val="both"/>
        <w:textAlignment w:val="auto"/>
        <w:outlineLvl w:val="9"/>
        <w:rPr>
          <w:rFonts w:hint="eastAsia"/>
          <w:b/>
          <w:bCs/>
          <w:color w:val="auto"/>
          <w:highlight w:val="none"/>
        </w:rPr>
      </w:pPr>
      <w:r>
        <w:rPr>
          <w:rFonts w:hint="eastAsia"/>
          <w:b/>
          <w:bCs/>
          <w:color w:val="auto"/>
          <w:highlight w:val="none"/>
        </w:rPr>
        <w:t xml:space="preserve">    （2）</w:t>
      </w:r>
      <w:r>
        <w:rPr>
          <w:rFonts w:hint="eastAsia"/>
          <w:b/>
          <w:bCs/>
          <w:color w:val="auto"/>
          <w:highlight w:val="none"/>
          <w:lang w:eastAsia="zh-CN"/>
        </w:rPr>
        <w:t>开标一览表</w:t>
      </w:r>
      <w:r>
        <w:rPr>
          <w:rFonts w:hint="eastAsia"/>
          <w:b/>
          <w:bCs/>
          <w:color w:val="auto"/>
          <w:highlight w:val="none"/>
        </w:rPr>
        <w:t>；</w:t>
      </w:r>
    </w:p>
    <w:p w14:paraId="4235EC84">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422" w:firstLineChars="200"/>
        <w:jc w:val="both"/>
        <w:textAlignment w:val="auto"/>
        <w:outlineLvl w:val="9"/>
        <w:rPr>
          <w:rFonts w:hint="eastAsia" w:ascii="Times New Roman" w:hAnsi="Times New Roman" w:eastAsia="宋体" w:cs="Times New Roman"/>
          <w:b/>
          <w:bCs/>
          <w:color w:val="auto"/>
          <w:highlight w:val="none"/>
          <w:lang w:eastAsia="zh-CN"/>
        </w:rPr>
      </w:pPr>
      <w:r>
        <w:rPr>
          <w:rFonts w:hint="eastAsia" w:ascii="Times New Roman" w:hAnsi="Times New Roman" w:eastAsia="宋体" w:cs="Times New Roman"/>
          <w:b/>
          <w:bCs/>
          <w:color w:val="auto"/>
          <w:highlight w:val="none"/>
          <w:lang w:eastAsia="zh-CN"/>
        </w:rPr>
        <w:t>（</w:t>
      </w:r>
      <w:r>
        <w:rPr>
          <w:rFonts w:hint="eastAsia" w:cs="Times New Roman"/>
          <w:b/>
          <w:bCs/>
          <w:color w:val="auto"/>
          <w:highlight w:val="none"/>
          <w:lang w:val="en-US" w:eastAsia="zh-CN"/>
        </w:rPr>
        <w:t>3</w:t>
      </w:r>
      <w:r>
        <w:rPr>
          <w:rFonts w:hint="eastAsia" w:ascii="Times New Roman" w:hAnsi="Times New Roman" w:eastAsia="宋体" w:cs="Times New Roman"/>
          <w:b/>
          <w:bCs/>
          <w:color w:val="auto"/>
          <w:highlight w:val="none"/>
          <w:lang w:eastAsia="zh-CN"/>
        </w:rPr>
        <w:t>）资格文件；</w:t>
      </w:r>
    </w:p>
    <w:p w14:paraId="768DB76A">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422" w:firstLineChars="200"/>
        <w:jc w:val="both"/>
        <w:textAlignment w:val="auto"/>
        <w:outlineLvl w:val="9"/>
        <w:rPr>
          <w:rFonts w:hint="eastAsia" w:ascii="Times New Roman" w:hAnsi="Times New Roman" w:eastAsia="宋体" w:cs="Times New Roman"/>
          <w:b/>
          <w:bCs/>
          <w:color w:val="auto"/>
          <w:highlight w:val="none"/>
        </w:rPr>
      </w:pPr>
      <w:r>
        <w:rPr>
          <w:rFonts w:hint="eastAsia" w:ascii="Times New Roman" w:hAnsi="Times New Roman" w:eastAsia="宋体" w:cs="Times New Roman"/>
          <w:b/>
          <w:bCs/>
          <w:color w:val="auto"/>
          <w:highlight w:val="none"/>
          <w:lang w:eastAsia="zh-CN"/>
        </w:rPr>
        <w:t>（</w:t>
      </w:r>
      <w:r>
        <w:rPr>
          <w:rFonts w:hint="eastAsia" w:cs="Times New Roman"/>
          <w:b/>
          <w:bCs/>
          <w:color w:val="auto"/>
          <w:highlight w:val="none"/>
          <w:lang w:val="en-US" w:eastAsia="zh-CN"/>
        </w:rPr>
        <w:t>4</w:t>
      </w:r>
      <w:r>
        <w:rPr>
          <w:rFonts w:hint="eastAsia" w:ascii="Times New Roman" w:hAnsi="Times New Roman" w:eastAsia="宋体" w:cs="Times New Roman"/>
          <w:b/>
          <w:bCs/>
          <w:color w:val="auto"/>
          <w:highlight w:val="none"/>
          <w:lang w:eastAsia="zh-CN"/>
        </w:rPr>
        <w:t>）</w:t>
      </w:r>
      <w:r>
        <w:rPr>
          <w:rFonts w:hint="eastAsia" w:cs="Times New Roman"/>
          <w:b/>
          <w:bCs/>
          <w:color w:val="auto"/>
          <w:highlight w:val="none"/>
          <w:lang w:val="en-US" w:eastAsia="zh-CN"/>
        </w:rPr>
        <w:t>投标</w:t>
      </w:r>
      <w:r>
        <w:rPr>
          <w:rFonts w:hint="eastAsia" w:cs="Times New Roman"/>
          <w:b/>
          <w:bCs/>
          <w:color w:val="auto"/>
          <w:highlight w:val="none"/>
          <w:lang w:eastAsia="zh-CN"/>
        </w:rPr>
        <w:t>方案</w:t>
      </w:r>
      <w:r>
        <w:rPr>
          <w:rFonts w:hint="eastAsia" w:ascii="Times New Roman" w:hAnsi="Times New Roman" w:eastAsia="宋体" w:cs="Times New Roman"/>
          <w:b/>
          <w:bCs/>
          <w:color w:val="auto"/>
          <w:highlight w:val="none"/>
          <w:lang w:eastAsia="zh-CN"/>
        </w:rPr>
        <w:t>说明书</w:t>
      </w:r>
      <w:r>
        <w:rPr>
          <w:rFonts w:hint="eastAsia" w:ascii="Times New Roman" w:hAnsi="Times New Roman" w:eastAsia="宋体" w:cs="Times New Roman"/>
          <w:b/>
          <w:bCs/>
          <w:color w:val="auto"/>
          <w:highlight w:val="none"/>
        </w:rPr>
        <w:t>；</w:t>
      </w:r>
    </w:p>
    <w:p w14:paraId="633E7205">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0" w:firstLineChars="0"/>
        <w:jc w:val="both"/>
        <w:textAlignment w:val="auto"/>
        <w:outlineLvl w:val="9"/>
        <w:rPr>
          <w:rFonts w:hint="eastAsia"/>
          <w:b/>
          <w:bCs/>
          <w:color w:val="auto"/>
          <w:highlight w:val="none"/>
        </w:rPr>
      </w:pPr>
      <w:r>
        <w:rPr>
          <w:rFonts w:hint="eastAsia"/>
          <w:b/>
          <w:bCs/>
          <w:color w:val="auto"/>
          <w:highlight w:val="none"/>
        </w:rPr>
        <w:t xml:space="preserve">    （</w:t>
      </w:r>
      <w:r>
        <w:rPr>
          <w:rFonts w:hint="eastAsia"/>
          <w:b/>
          <w:bCs/>
          <w:color w:val="auto"/>
          <w:highlight w:val="none"/>
          <w:lang w:val="en-US" w:eastAsia="zh-CN"/>
        </w:rPr>
        <w:t>5</w:t>
      </w:r>
      <w:r>
        <w:rPr>
          <w:rFonts w:hint="eastAsia"/>
          <w:b/>
          <w:bCs/>
          <w:color w:val="auto"/>
          <w:highlight w:val="none"/>
        </w:rPr>
        <w:t>）投标人认为有必要补充说明的事宜。</w:t>
      </w:r>
    </w:p>
    <w:p w14:paraId="119DC50B">
      <w:pPr>
        <w:keepNext w:val="0"/>
        <w:keepLines w:val="0"/>
        <w:pageBreakBefore w:val="0"/>
        <w:widowControl w:val="0"/>
        <w:kinsoku/>
        <w:wordWrap/>
        <w:overflowPunct/>
        <w:topLinePunct w:val="0"/>
        <w:autoSpaceDE w:val="0"/>
        <w:autoSpaceDN w:val="0"/>
        <w:bidi w:val="0"/>
        <w:adjustRightInd w:val="0"/>
        <w:snapToGrid/>
        <w:spacing w:line="500" w:lineRule="exact"/>
        <w:ind w:right="6" w:rightChars="0"/>
        <w:jc w:val="both"/>
        <w:textAlignment w:val="auto"/>
        <w:outlineLvl w:val="9"/>
        <w:rPr>
          <w:rFonts w:hint="eastAsia"/>
          <w:highlight w:val="none"/>
          <w:lang w:eastAsia="zh-CN"/>
        </w:rPr>
      </w:pPr>
      <w:r>
        <w:rPr>
          <w:rFonts w:hint="eastAsia"/>
          <w:color w:val="000000"/>
          <w:highlight w:val="none"/>
        </w:rPr>
        <w:t xml:space="preserve">    1</w:t>
      </w:r>
      <w:r>
        <w:rPr>
          <w:rFonts w:hint="eastAsia"/>
          <w:color w:val="000000"/>
          <w:highlight w:val="none"/>
          <w:lang w:val="en-US" w:eastAsia="zh-CN"/>
        </w:rPr>
        <w:t>6</w:t>
      </w:r>
      <w:r>
        <w:rPr>
          <w:rFonts w:hint="eastAsia"/>
          <w:color w:val="000000"/>
          <w:highlight w:val="none"/>
        </w:rPr>
        <w:t>.2</w:t>
      </w:r>
      <w:r>
        <w:rPr>
          <w:rFonts w:hint="eastAsia"/>
          <w:color w:val="000000"/>
          <w:highlight w:val="none"/>
          <w:lang w:val="en-US" w:eastAsia="zh-CN"/>
        </w:rPr>
        <w:t xml:space="preserve">  </w:t>
      </w:r>
      <w:r>
        <w:rPr>
          <w:rFonts w:hint="eastAsia"/>
          <w:highlight w:val="none"/>
          <w:lang w:eastAsia="zh-CN"/>
        </w:rPr>
        <w:t>技术部分（</w:t>
      </w:r>
      <w:r>
        <w:rPr>
          <w:rFonts w:hint="eastAsia"/>
          <w:highlight w:val="none"/>
          <w:lang w:val="en-US" w:eastAsia="zh-CN"/>
        </w:rPr>
        <w:t>投标</w:t>
      </w:r>
      <w:r>
        <w:rPr>
          <w:rFonts w:hint="eastAsia"/>
          <w:highlight w:val="none"/>
          <w:lang w:eastAsia="zh-CN"/>
        </w:rPr>
        <w:t>方案说明书）：主要内容详见第四章</w:t>
      </w:r>
      <w:r>
        <w:rPr>
          <w:rFonts w:hint="eastAsia"/>
          <w:highlight w:val="none"/>
          <w:lang w:val="en-US" w:eastAsia="zh-CN"/>
        </w:rPr>
        <w:t>采购</w:t>
      </w:r>
      <w:r>
        <w:rPr>
          <w:rFonts w:hint="eastAsia"/>
          <w:highlight w:val="none"/>
          <w:lang w:eastAsia="zh-CN"/>
        </w:rPr>
        <w:t>内容及</w:t>
      </w:r>
      <w:r>
        <w:rPr>
          <w:rFonts w:hint="eastAsia"/>
          <w:highlight w:val="none"/>
          <w:lang w:val="en-US" w:eastAsia="zh-CN"/>
        </w:rPr>
        <w:t>要求</w:t>
      </w:r>
      <w:r>
        <w:rPr>
          <w:rFonts w:hint="eastAsia"/>
          <w:highlight w:val="none"/>
          <w:lang w:eastAsia="zh-CN"/>
        </w:rPr>
        <w:t>。</w:t>
      </w:r>
    </w:p>
    <w:p w14:paraId="2A565607">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420" w:firstLineChars="0"/>
        <w:jc w:val="both"/>
        <w:textAlignment w:val="auto"/>
        <w:outlineLvl w:val="9"/>
        <w:rPr>
          <w:rFonts w:hint="eastAsia"/>
          <w:color w:val="auto"/>
          <w:highlight w:val="none"/>
        </w:rPr>
      </w:pPr>
      <w:r>
        <w:rPr>
          <w:rFonts w:hint="eastAsia"/>
          <w:highlight w:val="none"/>
          <w:lang w:eastAsia="zh-CN"/>
        </w:rPr>
        <w:t>投标人按照招标文件要求做出完全响应，主要是针对</w:t>
      </w:r>
      <w:r>
        <w:rPr>
          <w:rFonts w:hint="eastAsia"/>
          <w:highlight w:val="none"/>
          <w:lang w:val="en-US" w:eastAsia="zh-CN"/>
        </w:rPr>
        <w:t>招标</w:t>
      </w:r>
      <w:r>
        <w:rPr>
          <w:rFonts w:hint="eastAsia"/>
          <w:highlight w:val="none"/>
          <w:lang w:eastAsia="zh-CN"/>
        </w:rPr>
        <w:t>项目服务内容的详细说明，合同履行期限、实施方案，质量保证和后续服务承诺等做出的实质性响应和满足。</w:t>
      </w:r>
    </w:p>
    <w:p w14:paraId="541B3818">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0" w:firstLineChars="0"/>
        <w:jc w:val="both"/>
        <w:textAlignment w:val="auto"/>
        <w:outlineLvl w:val="9"/>
        <w:rPr>
          <w:rFonts w:hint="eastAsia"/>
          <w:highlight w:val="none"/>
        </w:rPr>
      </w:pPr>
      <w:r>
        <w:rPr>
          <w:rFonts w:hint="eastAsia"/>
          <w:highlight w:val="none"/>
          <w:lang w:val="en-US" w:eastAsia="zh-CN"/>
        </w:rPr>
        <w:t xml:space="preserve">    </w:t>
      </w:r>
      <w:r>
        <w:rPr>
          <w:rFonts w:hint="eastAsia"/>
          <w:highlight w:val="none"/>
        </w:rPr>
        <w:t>1</w:t>
      </w:r>
      <w:r>
        <w:rPr>
          <w:rFonts w:hint="eastAsia"/>
          <w:highlight w:val="none"/>
          <w:lang w:val="en-US" w:eastAsia="zh-CN"/>
        </w:rPr>
        <w:t xml:space="preserve">6.3 </w:t>
      </w:r>
      <w:r>
        <w:rPr>
          <w:rFonts w:hint="eastAsia"/>
          <w:highlight w:val="none"/>
        </w:rPr>
        <w:t>投标文件填写说明</w:t>
      </w:r>
    </w:p>
    <w:p w14:paraId="6DC3721B">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0" w:firstLineChars="0"/>
        <w:jc w:val="both"/>
        <w:textAlignment w:val="auto"/>
        <w:outlineLvl w:val="9"/>
        <w:rPr>
          <w:rFonts w:hint="eastAsia"/>
          <w:highlight w:val="none"/>
        </w:rPr>
      </w:pPr>
      <w:r>
        <w:rPr>
          <w:rFonts w:hint="eastAsia"/>
          <w:highlight w:val="none"/>
          <w:lang w:val="en-US" w:eastAsia="zh-CN"/>
        </w:rPr>
        <w:t xml:space="preserve">    </w:t>
      </w:r>
      <w:r>
        <w:rPr>
          <w:rFonts w:hint="eastAsia"/>
          <w:highlight w:val="none"/>
        </w:rPr>
        <w:t>（1）投标文件格式：投标人提交的投标文件应当使用招标文件规定的全部格式（表格可以按同样格式扩展）编写。</w:t>
      </w:r>
    </w:p>
    <w:p w14:paraId="62FB9BBC">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420" w:firstLineChars="0"/>
        <w:jc w:val="both"/>
        <w:textAlignment w:val="auto"/>
        <w:outlineLvl w:val="9"/>
        <w:rPr>
          <w:rFonts w:hint="eastAsia"/>
          <w:highlight w:val="none"/>
        </w:rPr>
      </w:pPr>
      <w:r>
        <w:rPr>
          <w:rFonts w:hint="eastAsia"/>
          <w:highlight w:val="none"/>
        </w:rPr>
        <w:t>（2）投标人应按招标文件中提供的投标文件格式填写</w:t>
      </w:r>
      <w:r>
        <w:rPr>
          <w:rFonts w:hint="eastAsia"/>
          <w:highlight w:val="none"/>
          <w:lang w:eastAsia="zh-CN"/>
        </w:rPr>
        <w:t>“</w:t>
      </w:r>
      <w:r>
        <w:rPr>
          <w:rFonts w:hint="eastAsia"/>
          <w:highlight w:val="none"/>
        </w:rPr>
        <w:t>投标</w:t>
      </w:r>
      <w:r>
        <w:rPr>
          <w:rFonts w:hint="eastAsia"/>
          <w:highlight w:val="none"/>
          <w:lang w:eastAsia="zh-CN"/>
        </w:rPr>
        <w:t>函”</w:t>
      </w:r>
      <w:r>
        <w:rPr>
          <w:rFonts w:hint="eastAsia"/>
          <w:highlight w:val="none"/>
        </w:rPr>
        <w:t>、</w:t>
      </w:r>
      <w:r>
        <w:rPr>
          <w:rFonts w:hint="eastAsia"/>
          <w:highlight w:val="none"/>
          <w:lang w:eastAsia="zh-CN"/>
        </w:rPr>
        <w:t>“</w:t>
      </w:r>
      <w:r>
        <w:rPr>
          <w:rFonts w:hint="eastAsia"/>
          <w:highlight w:val="none"/>
        </w:rPr>
        <w:t>开标一览表</w:t>
      </w:r>
      <w:r>
        <w:rPr>
          <w:rFonts w:hint="eastAsia"/>
          <w:highlight w:val="none"/>
          <w:lang w:eastAsia="zh-CN"/>
        </w:rPr>
        <w:t>”</w:t>
      </w:r>
      <w:r>
        <w:rPr>
          <w:rFonts w:hint="eastAsia"/>
          <w:highlight w:val="none"/>
        </w:rPr>
        <w:t>以及其他相关文件。</w:t>
      </w:r>
    </w:p>
    <w:p w14:paraId="1CB53F2F">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0" w:firstLineChars="0"/>
        <w:jc w:val="both"/>
        <w:textAlignment w:val="auto"/>
        <w:outlineLvl w:val="9"/>
        <w:rPr>
          <w:rFonts w:hint="eastAsia" w:ascii="宋体" w:hAnsi="宋体" w:eastAsia="宋体" w:cs="宋体"/>
          <w:highlight w:val="none"/>
        </w:rPr>
      </w:pPr>
      <w:r>
        <w:rPr>
          <w:rFonts w:hint="eastAsia" w:ascii="宋体" w:hAnsi="宋体" w:eastAsia="宋体" w:cs="宋体"/>
          <w:b/>
          <w:bCs/>
          <w:kern w:val="0"/>
          <w:sz w:val="24"/>
          <w:highlight w:val="none"/>
        </w:rPr>
        <w:t>1</w:t>
      </w:r>
      <w:r>
        <w:rPr>
          <w:rFonts w:hint="eastAsia" w:ascii="宋体" w:hAnsi="宋体" w:eastAsia="宋体" w:cs="宋体"/>
          <w:b/>
          <w:bCs/>
          <w:kern w:val="0"/>
          <w:sz w:val="24"/>
          <w:highlight w:val="none"/>
          <w:lang w:val="en-US" w:eastAsia="zh-CN"/>
        </w:rPr>
        <w:t>7</w:t>
      </w:r>
      <w:r>
        <w:rPr>
          <w:rFonts w:hint="eastAsia" w:ascii="宋体" w:hAnsi="宋体" w:eastAsia="宋体" w:cs="宋体"/>
          <w:b/>
          <w:bCs/>
          <w:kern w:val="0"/>
          <w:sz w:val="24"/>
          <w:highlight w:val="none"/>
        </w:rPr>
        <w:t>、投标报价</w:t>
      </w:r>
    </w:p>
    <w:p w14:paraId="4E25A57C">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420" w:firstLineChars="0"/>
        <w:jc w:val="both"/>
        <w:textAlignment w:val="auto"/>
        <w:outlineLvl w:val="9"/>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17.1  </w:t>
      </w:r>
      <w:r>
        <w:rPr>
          <w:rFonts w:hint="eastAsia" w:ascii="宋体" w:hAnsi="宋体" w:eastAsia="宋体" w:cs="宋体"/>
          <w:color w:val="auto"/>
          <w:highlight w:val="none"/>
        </w:rPr>
        <w:t>投标人应按照“投标人须知前附表”中的规定和要求报价，</w:t>
      </w:r>
      <w:r>
        <w:rPr>
          <w:rFonts w:hint="eastAsia" w:ascii="宋体" w:hAnsi="宋体" w:eastAsia="宋体" w:cs="宋体"/>
          <w:b/>
          <w:bCs/>
          <w:i w:val="0"/>
          <w:caps w:val="0"/>
          <w:color w:val="000000"/>
          <w:spacing w:val="0"/>
          <w:sz w:val="21"/>
          <w:szCs w:val="21"/>
          <w:highlight w:val="none"/>
          <w:shd w:val="clear" w:color="auto" w:fill="FFFFFF"/>
        </w:rPr>
        <w:t>报价超过招标文件中规定的预算金额或者最高限价的</w:t>
      </w:r>
      <w:r>
        <w:rPr>
          <w:rFonts w:hint="eastAsia" w:ascii="宋体" w:hAnsi="宋体" w:eastAsia="宋体" w:cs="宋体"/>
          <w:b/>
          <w:bCs/>
          <w:color w:val="000000"/>
          <w:highlight w:val="none"/>
        </w:rPr>
        <w:t>将按照无效投标处理</w:t>
      </w:r>
      <w:r>
        <w:rPr>
          <w:rFonts w:hint="eastAsia" w:ascii="宋体" w:hAnsi="宋体" w:eastAsia="宋体" w:cs="宋体"/>
          <w:b/>
          <w:bCs/>
          <w:color w:val="auto"/>
          <w:highlight w:val="none"/>
        </w:rPr>
        <w:t>。</w:t>
      </w:r>
    </w:p>
    <w:p w14:paraId="5AC683AF">
      <w:pPr>
        <w:keepNext w:val="0"/>
        <w:keepLines w:val="0"/>
        <w:pageBreakBefore w:val="0"/>
        <w:widowControl w:val="0"/>
        <w:kinsoku/>
        <w:wordWrap/>
        <w:overflowPunct/>
        <w:topLinePunct w:val="0"/>
        <w:autoSpaceDE w:val="0"/>
        <w:autoSpaceDN w:val="0"/>
        <w:bidi w:val="0"/>
        <w:adjustRightInd w:val="0"/>
        <w:snapToGrid/>
        <w:spacing w:line="500" w:lineRule="exact"/>
        <w:ind w:right="6" w:rightChars="0" w:firstLine="420" w:firstLineChars="200"/>
        <w:jc w:val="both"/>
        <w:textAlignment w:val="auto"/>
        <w:outlineLvl w:val="9"/>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17.2  </w:t>
      </w:r>
      <w:r>
        <w:rPr>
          <w:rFonts w:hint="eastAsia" w:ascii="宋体" w:hAnsi="宋体" w:eastAsia="宋体" w:cs="宋体"/>
          <w:color w:val="auto"/>
          <w:highlight w:val="none"/>
        </w:rPr>
        <w:t>投标人应按照投标报价表的内容标明投标的所有单项价格和总价。投标报价是完成招标内容所需的全部费用。</w:t>
      </w:r>
      <w:r>
        <w:rPr>
          <w:rFonts w:hint="eastAsia" w:ascii="宋体" w:hAnsi="宋体" w:cs="宋体"/>
          <w:color w:val="auto"/>
          <w:highlight w:val="none"/>
          <w:lang w:val="en-US" w:eastAsia="zh-CN"/>
        </w:rPr>
        <w:t>未按照招标文件要求提交的报价</w:t>
      </w:r>
      <w:r>
        <w:rPr>
          <w:rFonts w:hint="eastAsia" w:ascii="宋体" w:hAnsi="宋体" w:eastAsia="宋体" w:cs="宋体"/>
          <w:color w:val="auto"/>
          <w:highlight w:val="none"/>
        </w:rPr>
        <w:t>均按照无效投标处理。</w:t>
      </w:r>
    </w:p>
    <w:p w14:paraId="5ADEFF53">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420" w:firstLineChars="0"/>
        <w:jc w:val="both"/>
        <w:textAlignment w:val="auto"/>
        <w:outlineLvl w:val="9"/>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17.3  </w:t>
      </w:r>
      <w:r>
        <w:rPr>
          <w:rFonts w:hint="eastAsia" w:ascii="宋体" w:hAnsi="宋体" w:eastAsia="宋体" w:cs="宋体"/>
          <w:color w:val="auto"/>
          <w:highlight w:val="none"/>
        </w:rPr>
        <w:t>如果在招标文件中没有允许提供备选方案，则每个投标人只允许提交一个投标方案，否则，其投标按照无效投标处理。如果允许提供备选方案，则按照评标方法中的规定对备选方案进行评审。</w:t>
      </w:r>
    </w:p>
    <w:p w14:paraId="77A25CC2">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420" w:firstLineChars="0"/>
        <w:jc w:val="both"/>
        <w:textAlignment w:val="auto"/>
        <w:outlineLvl w:val="9"/>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17.4  </w:t>
      </w:r>
      <w:r>
        <w:rPr>
          <w:rFonts w:hint="eastAsia" w:ascii="宋体" w:hAnsi="宋体" w:eastAsia="宋体" w:cs="宋体"/>
          <w:color w:val="auto"/>
          <w:highlight w:val="none"/>
        </w:rPr>
        <w:t>凡因投标人对招标文件阅读不深、理解不透、误解、疏漏、或因市场行情了解不清造成的后果和风险均由投标人自行负责。</w:t>
      </w:r>
    </w:p>
    <w:p w14:paraId="3B28DF6B">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420" w:firstLineChars="0"/>
        <w:jc w:val="both"/>
        <w:textAlignment w:val="auto"/>
        <w:outlineLvl w:val="9"/>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17.5  </w:t>
      </w:r>
      <w:r>
        <w:rPr>
          <w:rFonts w:hint="eastAsia" w:ascii="宋体" w:hAnsi="宋体" w:eastAsia="宋体" w:cs="宋体"/>
          <w:color w:val="auto"/>
          <w:highlight w:val="none"/>
        </w:rPr>
        <w:t>投标过程中所产生的一切费用由投标人自行承担。</w:t>
      </w:r>
    </w:p>
    <w:p w14:paraId="73F0C584">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0" w:firstLineChars="0"/>
        <w:jc w:val="both"/>
        <w:textAlignment w:val="auto"/>
        <w:outlineLvl w:val="9"/>
        <w:rPr>
          <w:rFonts w:hint="eastAsia" w:ascii="宋体" w:hAnsi="宋体" w:cs="宋体"/>
          <w:b/>
          <w:bCs/>
          <w:kern w:val="0"/>
          <w:sz w:val="24"/>
          <w:highlight w:val="none"/>
        </w:rPr>
      </w:pPr>
      <w:r>
        <w:rPr>
          <w:rFonts w:hint="eastAsia" w:ascii="宋体" w:hAnsi="宋体" w:cs="宋体"/>
          <w:b/>
          <w:bCs/>
          <w:kern w:val="0"/>
          <w:sz w:val="24"/>
          <w:highlight w:val="none"/>
        </w:rPr>
        <w:t>1</w:t>
      </w:r>
      <w:r>
        <w:rPr>
          <w:rFonts w:hint="eastAsia" w:ascii="宋体" w:hAnsi="宋体" w:cs="宋体"/>
          <w:b/>
          <w:bCs/>
          <w:kern w:val="0"/>
          <w:sz w:val="24"/>
          <w:highlight w:val="none"/>
          <w:lang w:val="en-US" w:eastAsia="zh-CN"/>
        </w:rPr>
        <w:t>8</w:t>
      </w:r>
      <w:r>
        <w:rPr>
          <w:rFonts w:hint="eastAsia" w:ascii="宋体" w:hAnsi="宋体" w:cs="宋体"/>
          <w:b/>
          <w:bCs/>
          <w:kern w:val="0"/>
          <w:sz w:val="24"/>
          <w:highlight w:val="none"/>
        </w:rPr>
        <w:t>、证明投标人资格的证明文件</w:t>
      </w:r>
    </w:p>
    <w:p w14:paraId="755C1A25">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420" w:firstLineChars="0"/>
        <w:jc w:val="both"/>
        <w:textAlignment w:val="auto"/>
        <w:outlineLvl w:val="9"/>
        <w:rPr>
          <w:rFonts w:hint="eastAsia" w:eastAsia="宋体"/>
          <w:color w:val="FF0000"/>
          <w:highlight w:val="none"/>
          <w:lang w:eastAsia="zh-CN"/>
        </w:rPr>
      </w:pPr>
      <w:r>
        <w:rPr>
          <w:rFonts w:hint="eastAsia"/>
          <w:highlight w:val="none"/>
        </w:rPr>
        <w:t>1</w:t>
      </w:r>
      <w:r>
        <w:rPr>
          <w:rFonts w:hint="eastAsia"/>
          <w:highlight w:val="none"/>
          <w:lang w:val="en-US" w:eastAsia="zh-CN"/>
        </w:rPr>
        <w:t>8</w:t>
      </w:r>
      <w:r>
        <w:rPr>
          <w:rFonts w:hint="eastAsia"/>
          <w:highlight w:val="none"/>
        </w:rPr>
        <w:t>.1</w:t>
      </w:r>
      <w:r>
        <w:rPr>
          <w:rFonts w:hint="eastAsia"/>
          <w:highlight w:val="none"/>
          <w:lang w:val="en-US" w:eastAsia="zh-CN"/>
        </w:rPr>
        <w:t xml:space="preserve"> </w:t>
      </w:r>
      <w:r>
        <w:rPr>
          <w:rFonts w:hint="eastAsia"/>
          <w:highlight w:val="none"/>
        </w:rPr>
        <w:t>投标人须按招标文件</w:t>
      </w:r>
      <w:r>
        <w:rPr>
          <w:rFonts w:hint="eastAsia"/>
          <w:highlight w:val="none"/>
          <w:lang w:eastAsia="zh-CN"/>
        </w:rPr>
        <w:t>“投标人须知前附表”</w:t>
      </w:r>
      <w:r>
        <w:rPr>
          <w:rFonts w:hint="eastAsia"/>
          <w:highlight w:val="none"/>
        </w:rPr>
        <w:t>的要求，提交证明文件（在投标文件中提交合格的资格证明文件加盖</w:t>
      </w:r>
      <w:r>
        <w:rPr>
          <w:rFonts w:hint="eastAsia"/>
          <w:highlight w:val="none"/>
          <w:lang w:eastAsia="zh-CN"/>
        </w:rPr>
        <w:t>盖章</w:t>
      </w:r>
      <w:r>
        <w:rPr>
          <w:rFonts w:hint="eastAsia"/>
          <w:highlight w:val="none"/>
        </w:rPr>
        <w:t>的复印件），以证明其有资格参加投标和中标后有履行合同的能力，并作为其投标文件的一部分。如果资格证明文件不全或不合格的，其投标将按无效投标</w:t>
      </w:r>
      <w:r>
        <w:rPr>
          <w:rFonts w:hint="eastAsia"/>
          <w:highlight w:val="none"/>
          <w:lang w:eastAsia="zh-CN"/>
        </w:rPr>
        <w:t>文件</w:t>
      </w:r>
      <w:r>
        <w:rPr>
          <w:rFonts w:hint="eastAsia"/>
          <w:highlight w:val="none"/>
        </w:rPr>
        <w:t>处理</w:t>
      </w:r>
      <w:r>
        <w:rPr>
          <w:rFonts w:hint="eastAsia"/>
          <w:highlight w:val="none"/>
          <w:lang w:eastAsia="zh-CN"/>
        </w:rPr>
        <w:t>。</w:t>
      </w:r>
    </w:p>
    <w:p w14:paraId="720747E3">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420" w:firstLineChars="0"/>
        <w:jc w:val="both"/>
        <w:textAlignment w:val="auto"/>
        <w:outlineLvl w:val="9"/>
        <w:rPr>
          <w:rFonts w:hint="eastAsia"/>
          <w:highlight w:val="none"/>
          <w:lang w:eastAsia="zh-CN"/>
        </w:rPr>
      </w:pPr>
      <w:r>
        <w:rPr>
          <w:rFonts w:hint="eastAsia"/>
          <w:highlight w:val="none"/>
        </w:rPr>
        <w:t>1</w:t>
      </w:r>
      <w:r>
        <w:rPr>
          <w:rFonts w:hint="eastAsia"/>
          <w:highlight w:val="none"/>
          <w:lang w:val="en-US" w:eastAsia="zh-CN"/>
        </w:rPr>
        <w:t>8</w:t>
      </w:r>
      <w:r>
        <w:rPr>
          <w:rFonts w:hint="eastAsia"/>
          <w:highlight w:val="none"/>
        </w:rPr>
        <w:t>.2</w:t>
      </w:r>
      <w:r>
        <w:rPr>
          <w:rFonts w:hint="eastAsia"/>
          <w:highlight w:val="none"/>
          <w:lang w:val="en-US" w:eastAsia="zh-CN"/>
        </w:rPr>
        <w:t xml:space="preserve"> </w:t>
      </w:r>
      <w:r>
        <w:rPr>
          <w:rFonts w:hint="eastAsia"/>
          <w:highlight w:val="none"/>
        </w:rPr>
        <w:t>投标人还应按照招标文件的要求，提交其他的证明其实力、信誉、业绩等的证明文件。</w:t>
      </w:r>
    </w:p>
    <w:p w14:paraId="620A96DC">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420" w:firstLineChars="0"/>
        <w:jc w:val="both"/>
        <w:textAlignment w:val="auto"/>
        <w:outlineLvl w:val="9"/>
        <w:rPr>
          <w:rFonts w:hint="eastAsia"/>
          <w:highlight w:val="none"/>
        </w:rPr>
      </w:pPr>
      <w:r>
        <w:rPr>
          <w:rFonts w:hint="eastAsia"/>
          <w:highlight w:val="none"/>
        </w:rPr>
        <w:t>1</w:t>
      </w:r>
      <w:r>
        <w:rPr>
          <w:rFonts w:hint="eastAsia"/>
          <w:highlight w:val="none"/>
          <w:lang w:val="en-US" w:eastAsia="zh-CN"/>
        </w:rPr>
        <w:t>8</w:t>
      </w:r>
      <w:r>
        <w:rPr>
          <w:rFonts w:hint="eastAsia"/>
          <w:highlight w:val="none"/>
        </w:rPr>
        <w:t>.3</w:t>
      </w:r>
      <w:r>
        <w:rPr>
          <w:rFonts w:hint="eastAsia"/>
          <w:highlight w:val="none"/>
          <w:lang w:val="en-US" w:eastAsia="zh-CN"/>
        </w:rPr>
        <w:t xml:space="preserve"> </w:t>
      </w:r>
      <w:r>
        <w:rPr>
          <w:rFonts w:hint="eastAsia"/>
          <w:highlight w:val="none"/>
        </w:rPr>
        <w:t>如果“投标人须知前附表”有要求，投标人还应按照要求提交资格或其他证明文件的原件。如果未能提供原件或者提供原件不全的，其投标按照无效投标处理。</w:t>
      </w:r>
    </w:p>
    <w:p w14:paraId="7E63681B">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0" w:firstLineChars="0"/>
        <w:jc w:val="both"/>
        <w:textAlignment w:val="auto"/>
        <w:outlineLvl w:val="9"/>
        <w:rPr>
          <w:rFonts w:hint="eastAsia" w:ascii="宋体" w:hAnsi="宋体" w:cs="宋体"/>
          <w:b/>
          <w:bCs/>
          <w:kern w:val="0"/>
          <w:sz w:val="24"/>
          <w:highlight w:val="none"/>
        </w:rPr>
      </w:pPr>
      <w:r>
        <w:rPr>
          <w:rFonts w:hint="eastAsia" w:ascii="宋体" w:hAnsi="宋体" w:cs="宋体"/>
          <w:b/>
          <w:bCs/>
          <w:kern w:val="0"/>
          <w:sz w:val="24"/>
          <w:highlight w:val="none"/>
          <w:lang w:val="en-US" w:eastAsia="zh-CN"/>
        </w:rPr>
        <w:t>19</w:t>
      </w:r>
      <w:r>
        <w:rPr>
          <w:rFonts w:hint="eastAsia" w:ascii="宋体" w:hAnsi="宋体" w:cs="宋体"/>
          <w:b/>
          <w:bCs/>
          <w:kern w:val="0"/>
          <w:sz w:val="24"/>
          <w:highlight w:val="none"/>
        </w:rPr>
        <w:t>、证明</w:t>
      </w:r>
      <w:r>
        <w:rPr>
          <w:rFonts w:hint="eastAsia" w:ascii="宋体" w:hAnsi="宋体" w:cs="宋体"/>
          <w:b/>
          <w:bCs/>
          <w:kern w:val="0"/>
          <w:sz w:val="24"/>
          <w:highlight w:val="none"/>
          <w:lang w:val="en-US" w:eastAsia="zh-CN"/>
        </w:rPr>
        <w:t>服务</w:t>
      </w:r>
      <w:r>
        <w:rPr>
          <w:rFonts w:hint="eastAsia" w:ascii="宋体" w:hAnsi="宋体" w:cs="宋体"/>
          <w:b/>
          <w:bCs/>
          <w:kern w:val="0"/>
          <w:sz w:val="24"/>
          <w:highlight w:val="none"/>
        </w:rPr>
        <w:t>的合格性和符合招标文件规定的文件</w:t>
      </w:r>
    </w:p>
    <w:p w14:paraId="28F9BFC7">
      <w:pPr>
        <w:autoSpaceDE w:val="0"/>
        <w:autoSpaceDN w:val="0"/>
        <w:adjustRightInd w:val="0"/>
        <w:spacing w:line="500" w:lineRule="exact"/>
        <w:ind w:right="6"/>
        <w:rPr>
          <w:rFonts w:hint="eastAsia" w:ascii="宋体" w:hAnsi="宋体" w:eastAsia="宋体" w:cs="宋体"/>
          <w:highlight w:val="none"/>
        </w:rPr>
      </w:pPr>
      <w:r>
        <w:rPr>
          <w:rFonts w:hint="eastAsia"/>
          <w:highlight w:val="none"/>
          <w:lang w:val="en-US" w:eastAsia="zh-CN"/>
        </w:rPr>
        <w:t xml:space="preserve">    </w:t>
      </w:r>
      <w:r>
        <w:rPr>
          <w:rFonts w:hint="eastAsia" w:ascii="宋体" w:hAnsi="宋体" w:eastAsia="宋体" w:cs="宋体"/>
          <w:highlight w:val="none"/>
        </w:rPr>
        <w:t xml:space="preserve"> </w:t>
      </w:r>
      <w:r>
        <w:rPr>
          <w:rFonts w:hint="eastAsia" w:ascii="宋体" w:hAnsi="宋体" w:cs="宋体"/>
          <w:highlight w:val="none"/>
          <w:lang w:val="en-US" w:eastAsia="zh-CN"/>
        </w:rPr>
        <w:t>19</w:t>
      </w:r>
      <w:r>
        <w:rPr>
          <w:rFonts w:hint="eastAsia" w:ascii="宋体" w:hAnsi="宋体" w:eastAsia="宋体" w:cs="宋体"/>
          <w:highlight w:val="none"/>
        </w:rPr>
        <w:t>.1 投标人应在投标文件中提交所提供服务满足招标文件要求并符合国家法律法规、行业管理部门要求的其他强制性标准的证明文件。缺少证明文件或证明文件不合格的响应文件，与招标文件要求有重大偏离的投标文件，不符合国家法律法规、行业管理部门要求的其他强制性标准的投标文件将按照无效处理。</w:t>
      </w:r>
    </w:p>
    <w:p w14:paraId="68524DEC">
      <w:pPr>
        <w:autoSpaceDE w:val="0"/>
        <w:autoSpaceDN w:val="0"/>
        <w:adjustRightInd w:val="0"/>
        <w:spacing w:line="500" w:lineRule="exact"/>
        <w:ind w:right="6" w:firstLine="420"/>
        <w:rPr>
          <w:rFonts w:hint="eastAsia" w:ascii="宋体" w:hAnsi="宋体" w:eastAsia="宋体" w:cs="宋体"/>
          <w:highlight w:val="none"/>
        </w:rPr>
      </w:pPr>
      <w:r>
        <w:rPr>
          <w:rFonts w:hint="eastAsia" w:ascii="宋体" w:hAnsi="宋体" w:cs="宋体"/>
          <w:highlight w:val="none"/>
          <w:lang w:val="en-US" w:eastAsia="zh-CN"/>
        </w:rPr>
        <w:t>19</w:t>
      </w:r>
      <w:r>
        <w:rPr>
          <w:rFonts w:hint="eastAsia" w:ascii="宋体" w:hAnsi="宋体" w:eastAsia="宋体" w:cs="宋体"/>
          <w:highlight w:val="none"/>
        </w:rPr>
        <w:t>.2 证明服务与招标文件的要求相一致的文件，它可以是文字资料、图表、数据、证书、业主证明等（支撑材料应能令</w:t>
      </w:r>
      <w:r>
        <w:rPr>
          <w:rFonts w:hint="eastAsia" w:ascii="宋体" w:hAnsi="宋体" w:cs="宋体"/>
          <w:highlight w:val="none"/>
          <w:lang w:val="en-US" w:eastAsia="zh-CN"/>
        </w:rPr>
        <w:t>采购</w:t>
      </w:r>
      <w:r>
        <w:rPr>
          <w:rFonts w:hint="eastAsia" w:ascii="宋体" w:hAnsi="宋体" w:eastAsia="宋体" w:cs="宋体"/>
          <w:highlight w:val="none"/>
        </w:rPr>
        <w:t>人相信投标产品或服务是全新未经使用且属于常规提供的，不是为了满足投标而临时定制的产品或服务），包括：</w:t>
      </w:r>
    </w:p>
    <w:p w14:paraId="07392215">
      <w:pPr>
        <w:autoSpaceDE w:val="0"/>
        <w:autoSpaceDN w:val="0"/>
        <w:adjustRightInd w:val="0"/>
        <w:spacing w:line="500" w:lineRule="exact"/>
        <w:ind w:right="6"/>
        <w:rPr>
          <w:rFonts w:hint="eastAsia" w:ascii="宋体" w:hAnsi="宋体" w:eastAsia="宋体" w:cs="宋体"/>
          <w:highlight w:val="none"/>
        </w:rPr>
      </w:pPr>
      <w:r>
        <w:rPr>
          <w:rFonts w:hint="eastAsia" w:ascii="宋体" w:hAnsi="宋体" w:eastAsia="宋体" w:cs="宋体"/>
          <w:highlight w:val="none"/>
        </w:rPr>
        <w:t xml:space="preserve">    （1）逐条对招标文件提出的技术要求和商务要求进行应答，说明所提供的服务对投标要求的技术和商务要求是否做出了实质性响应并提供支持文件；</w:t>
      </w:r>
    </w:p>
    <w:p w14:paraId="7DED42AF">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420" w:firstLineChars="0"/>
        <w:jc w:val="both"/>
        <w:textAlignment w:val="auto"/>
        <w:outlineLvl w:val="9"/>
        <w:rPr>
          <w:rFonts w:hint="eastAsia" w:eastAsia="宋体"/>
          <w:highlight w:val="none"/>
          <w:lang w:val="en-US" w:eastAsia="zh-CN"/>
        </w:rPr>
      </w:pPr>
      <w:r>
        <w:rPr>
          <w:rFonts w:hint="eastAsia" w:ascii="宋体" w:hAnsi="宋体" w:eastAsia="宋体" w:cs="宋体"/>
          <w:highlight w:val="none"/>
        </w:rPr>
        <w:t>（2）服务内容、服务程序设计和实施方案的详细说明。</w:t>
      </w:r>
    </w:p>
    <w:p w14:paraId="0364F9E3">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0" w:firstLineChars="0"/>
        <w:jc w:val="both"/>
        <w:textAlignment w:val="auto"/>
        <w:outlineLvl w:val="9"/>
        <w:rPr>
          <w:rFonts w:hint="eastAsia"/>
          <w:highlight w:val="none"/>
        </w:rPr>
      </w:pPr>
      <w:r>
        <w:rPr>
          <w:rFonts w:hint="eastAsia" w:ascii="宋体" w:hAnsi="宋体" w:cs="宋体"/>
          <w:b/>
          <w:bCs/>
          <w:color w:val="auto"/>
          <w:kern w:val="0"/>
          <w:sz w:val="24"/>
          <w:highlight w:val="none"/>
        </w:rPr>
        <w:t>2</w:t>
      </w:r>
      <w:r>
        <w:rPr>
          <w:rFonts w:hint="eastAsia" w:ascii="宋体" w:hAnsi="宋体" w:cs="宋体"/>
          <w:b/>
          <w:bCs/>
          <w:color w:val="auto"/>
          <w:kern w:val="0"/>
          <w:sz w:val="24"/>
          <w:highlight w:val="none"/>
          <w:lang w:val="en-US" w:eastAsia="zh-CN"/>
        </w:rPr>
        <w:t>0</w:t>
      </w:r>
      <w:r>
        <w:rPr>
          <w:rFonts w:hint="eastAsia" w:ascii="宋体" w:hAnsi="宋体" w:cs="宋体"/>
          <w:b/>
          <w:bCs/>
          <w:color w:val="auto"/>
          <w:kern w:val="0"/>
          <w:sz w:val="24"/>
          <w:highlight w:val="none"/>
        </w:rPr>
        <w:t>、投标保证金（本项目不收取投标保证金）</w:t>
      </w:r>
    </w:p>
    <w:p w14:paraId="6DCC2306">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0" w:firstLineChars="0"/>
        <w:jc w:val="both"/>
        <w:textAlignment w:val="auto"/>
        <w:outlineLvl w:val="9"/>
        <w:rPr>
          <w:rFonts w:hint="eastAsia" w:ascii="宋体" w:hAnsi="宋体" w:cs="宋体"/>
          <w:b/>
          <w:bCs/>
          <w:kern w:val="0"/>
          <w:sz w:val="24"/>
          <w:highlight w:val="none"/>
        </w:rPr>
      </w:pPr>
      <w:r>
        <w:rPr>
          <w:rFonts w:hint="eastAsia" w:ascii="宋体" w:hAnsi="宋体" w:cs="宋体"/>
          <w:b/>
          <w:bCs/>
          <w:kern w:val="0"/>
          <w:sz w:val="24"/>
          <w:highlight w:val="none"/>
        </w:rPr>
        <w:t>2</w:t>
      </w:r>
      <w:r>
        <w:rPr>
          <w:rFonts w:hint="eastAsia" w:ascii="宋体" w:hAnsi="宋体" w:cs="宋体"/>
          <w:b/>
          <w:bCs/>
          <w:kern w:val="0"/>
          <w:sz w:val="24"/>
          <w:highlight w:val="none"/>
          <w:lang w:val="en-US" w:eastAsia="zh-CN"/>
        </w:rPr>
        <w:t>1</w:t>
      </w:r>
      <w:r>
        <w:rPr>
          <w:rFonts w:hint="eastAsia" w:ascii="宋体" w:hAnsi="宋体" w:cs="宋体"/>
          <w:b/>
          <w:bCs/>
          <w:kern w:val="0"/>
          <w:sz w:val="24"/>
          <w:highlight w:val="none"/>
        </w:rPr>
        <w:t>、投标有效期</w:t>
      </w:r>
    </w:p>
    <w:p w14:paraId="08D9297C">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0" w:firstLineChars="0"/>
        <w:jc w:val="both"/>
        <w:textAlignment w:val="auto"/>
        <w:outlineLvl w:val="9"/>
        <w:rPr>
          <w:rFonts w:hint="eastAsia"/>
          <w:highlight w:val="none"/>
        </w:rPr>
      </w:pPr>
      <w:r>
        <w:rPr>
          <w:rFonts w:hint="eastAsia"/>
          <w:highlight w:val="none"/>
          <w:lang w:val="en-US" w:eastAsia="zh-CN"/>
        </w:rPr>
        <w:t xml:space="preserve">    </w:t>
      </w:r>
      <w:r>
        <w:rPr>
          <w:rFonts w:hint="eastAsia" w:ascii="宋体" w:hAnsi="宋体" w:eastAsia="宋体" w:cs="宋体"/>
          <w:highlight w:val="none"/>
          <w:lang w:val="en-US" w:eastAsia="zh-CN"/>
        </w:rPr>
        <w:t xml:space="preserve">21.1 </w:t>
      </w:r>
      <w:r>
        <w:rPr>
          <w:rFonts w:hint="eastAsia"/>
          <w:highlight w:val="none"/>
          <w:lang w:val="en-US" w:eastAsia="zh-CN"/>
        </w:rPr>
        <w:t xml:space="preserve"> </w:t>
      </w:r>
      <w:r>
        <w:rPr>
          <w:rFonts w:hint="eastAsia"/>
          <w:highlight w:val="none"/>
        </w:rPr>
        <w:t>投标有效期见投标人须知前附表。投标有效期短于此规定期限的投标，将被拒绝。在有效期内投标文件对投标人具有法律约束力，以保证采购人完成评标、定标以及合同签订事项。中标</w:t>
      </w:r>
      <w:r>
        <w:rPr>
          <w:rFonts w:hint="eastAsia"/>
          <w:highlight w:val="none"/>
          <w:lang w:eastAsia="zh-CN"/>
        </w:rPr>
        <w:t>单位</w:t>
      </w:r>
      <w:r>
        <w:rPr>
          <w:rFonts w:hint="eastAsia"/>
          <w:highlight w:val="none"/>
        </w:rPr>
        <w:t>的投标文件有效期自动延长至合同执行完毕。</w:t>
      </w:r>
    </w:p>
    <w:p w14:paraId="3ED5FEDC">
      <w:pPr>
        <w:spacing w:before="240" w:after="120"/>
        <w:jc w:val="left"/>
        <w:outlineLvl w:val="2"/>
        <w:rPr>
          <w:rFonts w:hint="eastAsia" w:ascii="宋体" w:hAnsi="宋体" w:eastAsia="宋体" w:cs="宋体"/>
          <w:b/>
          <w:bCs/>
          <w:kern w:val="0"/>
          <w:sz w:val="24"/>
          <w:highlight w:val="none"/>
          <w:lang w:val="en-US" w:eastAsia="zh-CN"/>
        </w:rPr>
      </w:pPr>
      <w:r>
        <w:rPr>
          <w:rFonts w:hint="eastAsia" w:ascii="宋体" w:hAnsi="宋体" w:eastAsia="宋体" w:cs="宋体"/>
          <w:b/>
          <w:bCs/>
          <w:kern w:val="0"/>
          <w:sz w:val="24"/>
          <w:highlight w:val="none"/>
          <w:lang w:val="en-US" w:eastAsia="zh-CN"/>
        </w:rPr>
        <w:t>2</w:t>
      </w:r>
      <w:r>
        <w:rPr>
          <w:rFonts w:hint="eastAsia" w:ascii="宋体" w:hAnsi="宋体" w:cs="宋体"/>
          <w:b/>
          <w:bCs/>
          <w:kern w:val="0"/>
          <w:sz w:val="24"/>
          <w:highlight w:val="none"/>
          <w:lang w:val="en-US" w:eastAsia="zh-CN"/>
        </w:rPr>
        <w:t>2</w:t>
      </w:r>
      <w:r>
        <w:rPr>
          <w:rFonts w:hint="eastAsia" w:ascii="宋体" w:hAnsi="宋体" w:eastAsia="宋体" w:cs="宋体"/>
          <w:b/>
          <w:bCs/>
          <w:kern w:val="0"/>
          <w:sz w:val="24"/>
          <w:highlight w:val="none"/>
          <w:lang w:val="en-US" w:eastAsia="zh-CN"/>
        </w:rPr>
        <w:t>、投标文件的编制要求</w:t>
      </w:r>
    </w:p>
    <w:p w14:paraId="2EE4B47A">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420" w:firstLineChars="200"/>
        <w:jc w:val="both"/>
        <w:textAlignment w:val="auto"/>
        <w:outlineLvl w:val="9"/>
        <w:rPr>
          <w:rFonts w:hint="eastAsia" w:ascii="宋体" w:hAnsi="宋体" w:eastAsia="宋体" w:cs="宋体"/>
          <w:highlight w:val="none"/>
          <w:lang w:val="en-US" w:eastAsia="zh-CN"/>
        </w:rPr>
      </w:pPr>
      <w:r>
        <w:rPr>
          <w:rFonts w:hint="eastAsia" w:ascii="宋体" w:hAnsi="宋体" w:eastAsia="宋体" w:cs="宋体"/>
          <w:highlight w:val="none"/>
          <w:lang w:val="en-US" w:eastAsia="zh-CN"/>
        </w:rPr>
        <w:t>2</w:t>
      </w:r>
      <w:r>
        <w:rPr>
          <w:rFonts w:hint="eastAsia" w:ascii="宋体" w:hAnsi="宋体" w:cs="宋体"/>
          <w:highlight w:val="none"/>
          <w:lang w:val="en-US" w:eastAsia="zh-CN"/>
        </w:rPr>
        <w:t>2</w:t>
      </w:r>
      <w:r>
        <w:rPr>
          <w:rFonts w:hint="eastAsia" w:ascii="宋体" w:hAnsi="宋体" w:eastAsia="宋体" w:cs="宋体"/>
          <w:highlight w:val="none"/>
          <w:lang w:val="en-US" w:eastAsia="zh-CN"/>
        </w:rPr>
        <w:t xml:space="preserve">.1 </w:t>
      </w:r>
      <w:r>
        <w:rPr>
          <w:rFonts w:hint="eastAsia" w:ascii="宋体" w:hAnsi="宋体" w:cs="宋体"/>
          <w:highlight w:val="none"/>
          <w:lang w:val="en-US" w:eastAsia="zh-CN"/>
        </w:rPr>
        <w:t>投标文件</w:t>
      </w:r>
      <w:r>
        <w:rPr>
          <w:rFonts w:hint="eastAsia" w:ascii="宋体" w:hAnsi="宋体" w:eastAsia="宋体" w:cs="宋体"/>
          <w:highlight w:val="none"/>
          <w:lang w:val="en-US" w:eastAsia="zh-CN"/>
        </w:rPr>
        <w:t>应按第六章“</w:t>
      </w:r>
      <w:r>
        <w:rPr>
          <w:rFonts w:hint="eastAsia" w:ascii="宋体" w:hAnsi="宋体" w:cs="宋体"/>
          <w:highlight w:val="none"/>
          <w:lang w:val="en-US" w:eastAsia="zh-CN"/>
        </w:rPr>
        <w:t>投标文件</w:t>
      </w:r>
      <w:r>
        <w:rPr>
          <w:rFonts w:hint="eastAsia" w:ascii="宋体" w:hAnsi="宋体" w:eastAsia="宋体" w:cs="宋体"/>
          <w:highlight w:val="none"/>
          <w:lang w:val="en-US" w:eastAsia="zh-CN"/>
        </w:rPr>
        <w:t>格式”进行编写，如有必要，可以增加附页，作为</w:t>
      </w:r>
      <w:r>
        <w:rPr>
          <w:rFonts w:hint="eastAsia" w:ascii="宋体" w:hAnsi="宋体" w:cs="宋体"/>
          <w:highlight w:val="none"/>
          <w:lang w:val="en-US" w:eastAsia="zh-CN"/>
        </w:rPr>
        <w:t>投标文件</w:t>
      </w:r>
      <w:r>
        <w:rPr>
          <w:rFonts w:hint="eastAsia" w:ascii="宋体" w:hAnsi="宋体" w:eastAsia="宋体" w:cs="宋体"/>
          <w:highlight w:val="none"/>
          <w:lang w:val="en-US" w:eastAsia="zh-CN"/>
        </w:rPr>
        <w:t xml:space="preserve">的组成部分。 </w:t>
      </w:r>
    </w:p>
    <w:p w14:paraId="630A2F80">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420" w:firstLineChars="200"/>
        <w:jc w:val="both"/>
        <w:textAlignment w:val="auto"/>
        <w:outlineLvl w:val="9"/>
        <w:rPr>
          <w:rFonts w:hint="eastAsia" w:ascii="宋体" w:hAnsi="宋体" w:eastAsia="宋体" w:cs="宋体"/>
          <w:highlight w:val="none"/>
          <w:lang w:val="en-US" w:eastAsia="zh-CN"/>
        </w:rPr>
      </w:pPr>
      <w:r>
        <w:rPr>
          <w:rFonts w:hint="eastAsia" w:ascii="宋体" w:hAnsi="宋体" w:eastAsia="宋体" w:cs="宋体"/>
          <w:highlight w:val="none"/>
          <w:lang w:val="en-US" w:eastAsia="zh-CN"/>
        </w:rPr>
        <w:t>2</w:t>
      </w:r>
      <w:r>
        <w:rPr>
          <w:rFonts w:hint="eastAsia" w:ascii="宋体" w:hAnsi="宋体" w:cs="宋体"/>
          <w:highlight w:val="none"/>
          <w:lang w:val="en-US" w:eastAsia="zh-CN"/>
        </w:rPr>
        <w:t>2</w:t>
      </w:r>
      <w:r>
        <w:rPr>
          <w:rFonts w:hint="eastAsia" w:ascii="宋体" w:hAnsi="宋体" w:eastAsia="宋体" w:cs="宋体"/>
          <w:highlight w:val="none"/>
          <w:lang w:val="en-US" w:eastAsia="zh-CN"/>
        </w:rPr>
        <w:t xml:space="preserve">.2 </w:t>
      </w:r>
      <w:r>
        <w:rPr>
          <w:rFonts w:hint="eastAsia" w:ascii="宋体" w:hAnsi="宋体" w:cs="宋体"/>
          <w:highlight w:val="none"/>
          <w:lang w:val="en-US" w:eastAsia="zh-CN"/>
        </w:rPr>
        <w:t>投标文件</w:t>
      </w:r>
      <w:r>
        <w:rPr>
          <w:rFonts w:hint="eastAsia" w:ascii="宋体" w:hAnsi="宋体" w:eastAsia="宋体" w:cs="宋体"/>
          <w:highlight w:val="none"/>
          <w:lang w:val="en-US" w:eastAsia="zh-CN"/>
        </w:rPr>
        <w:t>应当对</w:t>
      </w:r>
      <w:r>
        <w:rPr>
          <w:rFonts w:hint="eastAsia" w:ascii="宋体" w:hAnsi="宋体" w:cs="宋体"/>
          <w:highlight w:val="none"/>
          <w:lang w:val="en-US" w:eastAsia="zh-CN"/>
        </w:rPr>
        <w:t>招标文件</w:t>
      </w:r>
      <w:r>
        <w:rPr>
          <w:rFonts w:hint="eastAsia" w:ascii="宋体" w:hAnsi="宋体" w:eastAsia="宋体" w:cs="宋体"/>
          <w:highlight w:val="none"/>
          <w:lang w:val="en-US" w:eastAsia="zh-CN"/>
        </w:rPr>
        <w:t>有关服务期、</w:t>
      </w:r>
      <w:r>
        <w:rPr>
          <w:rFonts w:hint="eastAsia" w:ascii="宋体" w:hAnsi="宋体" w:cs="宋体"/>
          <w:highlight w:val="none"/>
          <w:lang w:val="en-US" w:eastAsia="zh-CN"/>
        </w:rPr>
        <w:t>投标</w:t>
      </w:r>
      <w:r>
        <w:rPr>
          <w:rFonts w:hint="eastAsia" w:ascii="宋体" w:hAnsi="宋体" w:eastAsia="宋体" w:cs="宋体"/>
          <w:highlight w:val="none"/>
          <w:lang w:val="en-US" w:eastAsia="zh-CN"/>
        </w:rPr>
        <w:t>有效期、服务要求、采购内容等实质性内容作出响应。</w:t>
      </w:r>
      <w:r>
        <w:rPr>
          <w:rFonts w:hint="eastAsia" w:ascii="宋体" w:hAnsi="宋体" w:cs="宋体"/>
          <w:highlight w:val="none"/>
          <w:lang w:val="en-US" w:eastAsia="zh-CN"/>
        </w:rPr>
        <w:t>投标文件</w:t>
      </w:r>
      <w:r>
        <w:rPr>
          <w:rFonts w:hint="eastAsia" w:ascii="宋体" w:hAnsi="宋体" w:eastAsia="宋体" w:cs="宋体"/>
          <w:highlight w:val="none"/>
          <w:lang w:val="en-US" w:eastAsia="zh-CN"/>
        </w:rPr>
        <w:t>在满足</w:t>
      </w:r>
      <w:r>
        <w:rPr>
          <w:rFonts w:hint="eastAsia" w:ascii="宋体" w:hAnsi="宋体" w:cs="宋体"/>
          <w:highlight w:val="none"/>
          <w:lang w:val="en-US" w:eastAsia="zh-CN"/>
        </w:rPr>
        <w:t>招标文件</w:t>
      </w:r>
      <w:r>
        <w:rPr>
          <w:rFonts w:hint="eastAsia" w:ascii="宋体" w:hAnsi="宋体" w:eastAsia="宋体" w:cs="宋体"/>
          <w:highlight w:val="none"/>
          <w:lang w:val="en-US" w:eastAsia="zh-CN"/>
        </w:rPr>
        <w:t>实质性要求的基础上，可以提出比</w:t>
      </w:r>
      <w:r>
        <w:rPr>
          <w:rFonts w:hint="eastAsia" w:ascii="宋体" w:hAnsi="宋体" w:cs="宋体"/>
          <w:highlight w:val="none"/>
          <w:lang w:val="en-US" w:eastAsia="zh-CN"/>
        </w:rPr>
        <w:t>招标文件</w:t>
      </w:r>
      <w:r>
        <w:rPr>
          <w:rFonts w:hint="eastAsia" w:ascii="宋体" w:hAnsi="宋体" w:eastAsia="宋体" w:cs="宋体"/>
          <w:highlight w:val="none"/>
          <w:lang w:val="en-US" w:eastAsia="zh-CN"/>
        </w:rPr>
        <w:t xml:space="preserve">要求更有利于采购人的承诺。 </w:t>
      </w:r>
    </w:p>
    <w:p w14:paraId="25847EB9">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420" w:firstLineChars="200"/>
        <w:jc w:val="both"/>
        <w:textAlignment w:val="auto"/>
        <w:outlineLvl w:val="9"/>
        <w:rPr>
          <w:rFonts w:hint="eastAsia" w:ascii="宋体" w:hAnsi="宋体" w:eastAsia="宋体" w:cs="宋体"/>
          <w:highlight w:val="none"/>
          <w:lang w:val="en-US" w:eastAsia="zh-CN"/>
        </w:rPr>
      </w:pPr>
      <w:r>
        <w:rPr>
          <w:rFonts w:hint="eastAsia" w:ascii="宋体" w:hAnsi="宋体" w:eastAsia="宋体" w:cs="宋体"/>
          <w:highlight w:val="none"/>
          <w:lang w:val="en-US" w:eastAsia="zh-CN"/>
        </w:rPr>
        <w:t>2</w:t>
      </w:r>
      <w:r>
        <w:rPr>
          <w:rFonts w:hint="eastAsia" w:ascii="宋体" w:hAnsi="宋体" w:cs="宋体"/>
          <w:highlight w:val="none"/>
          <w:lang w:val="en-US" w:eastAsia="zh-CN"/>
        </w:rPr>
        <w:t>2</w:t>
      </w:r>
      <w:r>
        <w:rPr>
          <w:rFonts w:hint="eastAsia" w:ascii="宋体" w:hAnsi="宋体" w:eastAsia="宋体" w:cs="宋体"/>
          <w:highlight w:val="none"/>
          <w:lang w:val="en-US" w:eastAsia="zh-CN"/>
        </w:rPr>
        <w:t>.3 本项目采用不见面开标模式，采用电子化</w:t>
      </w:r>
      <w:r>
        <w:rPr>
          <w:rFonts w:hint="eastAsia" w:ascii="宋体" w:hAnsi="宋体" w:cs="宋体"/>
          <w:highlight w:val="none"/>
          <w:lang w:val="en-US" w:eastAsia="zh-CN"/>
        </w:rPr>
        <w:t>投标文件</w:t>
      </w:r>
      <w:r>
        <w:rPr>
          <w:rFonts w:hint="eastAsia" w:ascii="宋体" w:hAnsi="宋体" w:eastAsia="宋体" w:cs="宋体"/>
          <w:highlight w:val="none"/>
          <w:lang w:val="en-US" w:eastAsia="zh-CN"/>
        </w:rPr>
        <w:t>，供应商不需要提供纸质</w:t>
      </w:r>
      <w:r>
        <w:rPr>
          <w:rFonts w:hint="eastAsia" w:ascii="宋体" w:hAnsi="宋体" w:cs="宋体"/>
          <w:highlight w:val="none"/>
          <w:lang w:val="en-US" w:eastAsia="zh-CN"/>
        </w:rPr>
        <w:t>投标文件</w:t>
      </w:r>
      <w:r>
        <w:rPr>
          <w:rFonts w:hint="eastAsia" w:ascii="宋体" w:hAnsi="宋体" w:eastAsia="宋体" w:cs="宋体"/>
          <w:highlight w:val="none"/>
          <w:lang w:val="en-US" w:eastAsia="zh-CN"/>
        </w:rPr>
        <w:t>。供应商应在投标截止时间前登录</w:t>
      </w:r>
      <w:r>
        <w:rPr>
          <w:rFonts w:hint="eastAsia" w:ascii="宋体" w:hAnsi="宋体" w:cs="宋体"/>
          <w:highlight w:val="none"/>
          <w:lang w:val="en-US" w:eastAsia="zh-CN"/>
        </w:rPr>
        <w:t>招标文件</w:t>
      </w:r>
      <w:r>
        <w:rPr>
          <w:rFonts w:hint="eastAsia" w:ascii="宋体" w:hAnsi="宋体" w:eastAsia="宋体" w:cs="宋体"/>
          <w:highlight w:val="none"/>
          <w:lang w:val="en-US" w:eastAsia="zh-CN"/>
        </w:rPr>
        <w:t>载明的“不见面开标大厅”（http://bjmkb.akggzyjy.cn/BidOpeningHall/bidopeninghallaction/hall/login）网址，按系统提示完成开标流程。因</w:t>
      </w:r>
      <w:r>
        <w:rPr>
          <w:rFonts w:hint="eastAsia" w:ascii="宋体" w:hAnsi="宋体" w:cs="宋体"/>
          <w:highlight w:val="none"/>
          <w:lang w:val="en-US" w:eastAsia="zh-CN"/>
        </w:rPr>
        <w:t>投标人</w:t>
      </w:r>
      <w:r>
        <w:rPr>
          <w:rFonts w:hint="eastAsia" w:ascii="宋体" w:hAnsi="宋体" w:eastAsia="宋体" w:cs="宋体"/>
          <w:highlight w:val="none"/>
          <w:lang w:val="en-US" w:eastAsia="zh-CN"/>
        </w:rPr>
        <w:t>自身设施故障或自身原因导致无法完成投标的，由</w:t>
      </w:r>
      <w:r>
        <w:rPr>
          <w:rFonts w:hint="eastAsia" w:ascii="宋体" w:hAnsi="宋体" w:cs="宋体"/>
          <w:highlight w:val="none"/>
          <w:lang w:val="en-US" w:eastAsia="zh-CN"/>
        </w:rPr>
        <w:t>投标人</w:t>
      </w:r>
      <w:r>
        <w:rPr>
          <w:rFonts w:hint="eastAsia" w:ascii="宋体" w:hAnsi="宋体" w:eastAsia="宋体" w:cs="宋体"/>
          <w:highlight w:val="none"/>
          <w:lang w:val="en-US" w:eastAsia="zh-CN"/>
        </w:rPr>
        <w:t xml:space="preserve">自行承担后果。 </w:t>
      </w:r>
    </w:p>
    <w:p w14:paraId="0913AC28">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420" w:firstLineChars="200"/>
        <w:jc w:val="both"/>
        <w:textAlignment w:val="auto"/>
        <w:outlineLvl w:val="9"/>
        <w:rPr>
          <w:rFonts w:hint="eastAsia" w:ascii="宋体" w:hAnsi="宋体" w:eastAsia="宋体" w:cs="宋体"/>
          <w:highlight w:val="none"/>
          <w:lang w:val="en-US" w:eastAsia="zh-CN"/>
        </w:rPr>
      </w:pPr>
      <w:r>
        <w:rPr>
          <w:rFonts w:hint="eastAsia" w:ascii="宋体" w:hAnsi="宋体" w:eastAsia="宋体" w:cs="宋体"/>
          <w:highlight w:val="none"/>
          <w:lang w:val="en-US" w:eastAsia="zh-CN"/>
        </w:rPr>
        <w:t>2</w:t>
      </w:r>
      <w:r>
        <w:rPr>
          <w:rFonts w:hint="eastAsia" w:ascii="宋体" w:hAnsi="宋体" w:cs="宋体"/>
          <w:highlight w:val="none"/>
          <w:lang w:val="en-US" w:eastAsia="zh-CN"/>
        </w:rPr>
        <w:t>2</w:t>
      </w:r>
      <w:r>
        <w:rPr>
          <w:rFonts w:hint="eastAsia" w:ascii="宋体" w:hAnsi="宋体" w:eastAsia="宋体" w:cs="宋体"/>
          <w:highlight w:val="none"/>
          <w:lang w:val="en-US" w:eastAsia="zh-CN"/>
        </w:rPr>
        <w:t xml:space="preserve">.4 </w:t>
      </w:r>
      <w:r>
        <w:rPr>
          <w:rFonts w:hint="eastAsia" w:ascii="宋体" w:hAnsi="宋体" w:cs="宋体"/>
          <w:highlight w:val="none"/>
          <w:lang w:val="en-US" w:eastAsia="zh-CN"/>
        </w:rPr>
        <w:t>投标人</w:t>
      </w:r>
      <w:r>
        <w:rPr>
          <w:rFonts w:hint="eastAsia" w:ascii="宋体" w:hAnsi="宋体" w:eastAsia="宋体" w:cs="宋体"/>
          <w:highlight w:val="none"/>
          <w:lang w:val="en-US" w:eastAsia="zh-CN"/>
        </w:rPr>
        <w:t>须在全国公共资源交易平台（陕西省·</w:t>
      </w:r>
      <w:r>
        <w:rPr>
          <w:rFonts w:hint="eastAsia" w:ascii="宋体" w:hAnsi="宋体" w:cs="宋体"/>
          <w:highlight w:val="none"/>
          <w:lang w:val="en-US" w:eastAsia="zh-CN"/>
        </w:rPr>
        <w:t>安康市</w:t>
      </w:r>
      <w:r>
        <w:rPr>
          <w:rFonts w:hint="eastAsia" w:ascii="宋体" w:hAnsi="宋体" w:eastAsia="宋体" w:cs="宋体"/>
          <w:highlight w:val="none"/>
          <w:lang w:val="en-US" w:eastAsia="zh-CN"/>
        </w:rPr>
        <w:t>）</w:t>
      </w:r>
      <w:r>
        <w:rPr>
          <w:rFonts w:hint="eastAsia" w:ascii="宋体" w:hAnsi="宋体" w:cs="宋体"/>
          <w:highlight w:val="none"/>
          <w:lang w:val="en-US" w:eastAsia="zh-CN"/>
        </w:rPr>
        <w:t>安康市</w:t>
      </w:r>
      <w:r>
        <w:rPr>
          <w:rFonts w:hint="eastAsia" w:ascii="宋体" w:hAnsi="宋体" w:eastAsia="宋体" w:cs="宋体"/>
          <w:highlight w:val="none"/>
          <w:lang w:val="en-US" w:eastAsia="zh-CN"/>
        </w:rPr>
        <w:t>公共资源交易平台登记企业信息，然后使用数字认证 CA 锁获取</w:t>
      </w:r>
      <w:r>
        <w:rPr>
          <w:rFonts w:hint="eastAsia" w:ascii="宋体" w:hAnsi="宋体" w:cs="宋体"/>
          <w:highlight w:val="none"/>
          <w:lang w:val="en-US" w:eastAsia="zh-CN"/>
        </w:rPr>
        <w:t>招标文件</w:t>
      </w:r>
      <w:r>
        <w:rPr>
          <w:rFonts w:hint="eastAsia" w:ascii="宋体" w:hAnsi="宋体" w:eastAsia="宋体" w:cs="宋体"/>
          <w:highlight w:val="none"/>
          <w:lang w:val="en-US" w:eastAsia="zh-CN"/>
        </w:rPr>
        <w:t>及其他文件。</w:t>
      </w:r>
      <w:r>
        <w:rPr>
          <w:rFonts w:hint="eastAsia" w:ascii="宋体" w:hAnsi="宋体" w:cs="宋体"/>
          <w:highlight w:val="none"/>
          <w:lang w:val="en-US" w:eastAsia="zh-CN"/>
        </w:rPr>
        <w:t>投标人</w:t>
      </w:r>
      <w:r>
        <w:rPr>
          <w:rFonts w:hint="eastAsia" w:ascii="宋体" w:hAnsi="宋体" w:eastAsia="宋体" w:cs="宋体"/>
          <w:highlight w:val="none"/>
          <w:lang w:val="en-US" w:eastAsia="zh-CN"/>
        </w:rPr>
        <w:t>应使用电子投标书制作工具制作、加密</w:t>
      </w:r>
      <w:r>
        <w:rPr>
          <w:rFonts w:hint="eastAsia" w:ascii="宋体" w:hAnsi="宋体" w:cs="宋体"/>
          <w:highlight w:val="none"/>
          <w:lang w:val="en-US" w:eastAsia="zh-CN"/>
        </w:rPr>
        <w:t>投标文件</w:t>
      </w:r>
      <w:r>
        <w:rPr>
          <w:rFonts w:hint="eastAsia" w:ascii="宋体" w:hAnsi="宋体" w:eastAsia="宋体" w:cs="宋体"/>
          <w:highlight w:val="none"/>
          <w:lang w:val="en-US" w:eastAsia="zh-CN"/>
        </w:rPr>
        <w:t>，并在规定时间上传经过数字证书加密的电子</w:t>
      </w:r>
      <w:r>
        <w:rPr>
          <w:rFonts w:hint="eastAsia" w:ascii="宋体" w:hAnsi="宋体" w:cs="宋体"/>
          <w:highlight w:val="none"/>
          <w:lang w:val="en-US" w:eastAsia="zh-CN"/>
        </w:rPr>
        <w:t>投标文件</w:t>
      </w:r>
      <w:r>
        <w:rPr>
          <w:rFonts w:hint="eastAsia" w:ascii="宋体" w:hAnsi="宋体" w:eastAsia="宋体" w:cs="宋体"/>
          <w:highlight w:val="none"/>
          <w:lang w:val="en-US" w:eastAsia="zh-CN"/>
        </w:rPr>
        <w:t>（</w:t>
      </w:r>
      <w:r>
        <w:rPr>
          <w:rFonts w:hint="eastAsia" w:ascii="宋体" w:hAnsi="宋体" w:cs="宋体"/>
          <w:highlight w:val="none"/>
          <w:lang w:val="en-US" w:eastAsia="zh-CN"/>
        </w:rPr>
        <w:t>投标文件</w:t>
      </w:r>
      <w:r>
        <w:rPr>
          <w:rFonts w:hint="eastAsia" w:ascii="宋体" w:hAnsi="宋体" w:eastAsia="宋体" w:cs="宋体"/>
          <w:highlight w:val="none"/>
          <w:lang w:val="en-US" w:eastAsia="zh-CN"/>
        </w:rPr>
        <w:t xml:space="preserve">为.SXSTF 格式）。 </w:t>
      </w:r>
    </w:p>
    <w:p w14:paraId="452B878F">
      <w:pPr>
        <w:autoSpaceDE w:val="0"/>
        <w:autoSpaceDN w:val="0"/>
        <w:adjustRightInd w:val="0"/>
        <w:spacing w:line="500" w:lineRule="exact"/>
        <w:ind w:right="6" w:firstLine="420"/>
        <w:rPr>
          <w:rFonts w:hint="eastAsia" w:ascii="宋体" w:hAnsi="宋体" w:eastAsia="宋体" w:cs="宋体"/>
          <w:highlight w:val="none"/>
          <w:lang w:val="en-US" w:eastAsia="zh-CN"/>
        </w:rPr>
      </w:pPr>
      <w:r>
        <w:rPr>
          <w:rFonts w:hint="eastAsia" w:ascii="宋体" w:hAnsi="宋体" w:eastAsia="宋体" w:cs="宋体"/>
          <w:highlight w:val="none"/>
          <w:lang w:val="en-US" w:eastAsia="zh-CN"/>
        </w:rPr>
        <w:t>2</w:t>
      </w:r>
      <w:r>
        <w:rPr>
          <w:rFonts w:hint="eastAsia" w:ascii="宋体" w:hAnsi="宋体" w:cs="宋体"/>
          <w:highlight w:val="none"/>
          <w:lang w:val="en-US" w:eastAsia="zh-CN"/>
        </w:rPr>
        <w:t>2</w:t>
      </w:r>
      <w:r>
        <w:rPr>
          <w:rFonts w:hint="eastAsia" w:ascii="宋体" w:hAnsi="宋体" w:eastAsia="宋体" w:cs="宋体"/>
          <w:highlight w:val="none"/>
          <w:lang w:val="en-US" w:eastAsia="zh-CN"/>
        </w:rPr>
        <w:t>.5 其他需要说明的事项：本项目招标所使用的交易平台为全国公共资源交易平台（陕西省·</w:t>
      </w:r>
      <w:r>
        <w:rPr>
          <w:rFonts w:hint="eastAsia" w:ascii="宋体" w:hAnsi="宋体" w:cs="宋体"/>
          <w:highlight w:val="none"/>
          <w:lang w:val="en-US" w:eastAsia="zh-CN"/>
        </w:rPr>
        <w:t>安康市</w:t>
      </w:r>
      <w:r>
        <w:rPr>
          <w:rFonts w:hint="eastAsia" w:ascii="宋体" w:hAnsi="宋体" w:eastAsia="宋体" w:cs="宋体"/>
          <w:highlight w:val="none"/>
          <w:lang w:val="en-US" w:eastAsia="zh-CN"/>
        </w:rPr>
        <w:t>）(sxggzyjy.cn)不见面开标系统，如有疑问，请及时与全国公共资源交易平台（陕西省·</w:t>
      </w:r>
      <w:r>
        <w:rPr>
          <w:rFonts w:hint="eastAsia" w:ascii="宋体" w:hAnsi="宋体" w:cs="宋体"/>
          <w:highlight w:val="none"/>
          <w:lang w:val="en-US" w:eastAsia="zh-CN"/>
        </w:rPr>
        <w:t>安康市</w:t>
      </w:r>
      <w:r>
        <w:rPr>
          <w:rFonts w:hint="eastAsia" w:ascii="宋体" w:hAnsi="宋体" w:eastAsia="宋体" w:cs="宋体"/>
          <w:highlight w:val="none"/>
          <w:lang w:val="en-US" w:eastAsia="zh-CN"/>
        </w:rPr>
        <w:t>）中心业务取得联系。（中心业务电话：</w:t>
      </w:r>
      <w:r>
        <w:rPr>
          <w:rFonts w:hint="eastAsia" w:ascii="宋体" w:hAnsi="宋体" w:cs="宋体"/>
          <w:highlight w:val="none"/>
          <w:lang w:val="en-US" w:eastAsia="zh-CN"/>
        </w:rPr>
        <w:t>0915-2110976</w:t>
      </w:r>
      <w:r>
        <w:rPr>
          <w:rFonts w:hint="eastAsia" w:ascii="宋体" w:hAnsi="宋体" w:eastAsia="宋体" w:cs="宋体"/>
          <w:highlight w:val="none"/>
          <w:lang w:val="en-US" w:eastAsia="zh-CN"/>
        </w:rPr>
        <w:t>、在线技术支持客服热线：4009980000）。</w:t>
      </w:r>
    </w:p>
    <w:p w14:paraId="3BB8A5DF">
      <w:pPr>
        <w:numPr>
          <w:ilvl w:val="0"/>
          <w:numId w:val="0"/>
        </w:numPr>
        <w:spacing w:before="240" w:after="120"/>
        <w:jc w:val="center"/>
        <w:outlineLvl w:val="2"/>
        <w:rPr>
          <w:rFonts w:hint="eastAsia" w:ascii="宋体" w:hAnsi="宋体" w:cs="宋体"/>
          <w:b/>
          <w:bCs/>
          <w:sz w:val="28"/>
          <w:highlight w:val="none"/>
        </w:rPr>
      </w:pPr>
      <w:r>
        <w:rPr>
          <w:rFonts w:hint="eastAsia" w:ascii="宋体" w:hAnsi="宋体" w:cs="宋体"/>
          <w:b/>
          <w:bCs/>
          <w:sz w:val="28"/>
          <w:highlight w:val="none"/>
        </w:rPr>
        <w:t>四、投标</w:t>
      </w:r>
    </w:p>
    <w:p w14:paraId="679D0FF7">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0" w:firstLineChars="0"/>
        <w:jc w:val="both"/>
        <w:textAlignment w:val="auto"/>
        <w:outlineLvl w:val="9"/>
        <w:rPr>
          <w:rFonts w:hint="eastAsia" w:eastAsia="宋体"/>
          <w:highlight w:val="none"/>
          <w:lang w:eastAsia="zh-CN"/>
        </w:rPr>
      </w:pPr>
      <w:r>
        <w:rPr>
          <w:rFonts w:hint="eastAsia" w:ascii="宋体" w:hAnsi="宋体" w:cs="宋体"/>
          <w:b/>
          <w:bCs/>
          <w:kern w:val="0"/>
          <w:sz w:val="24"/>
          <w:highlight w:val="none"/>
        </w:rPr>
        <w:t>2</w:t>
      </w:r>
      <w:r>
        <w:rPr>
          <w:rFonts w:hint="eastAsia" w:ascii="宋体" w:hAnsi="宋体" w:cs="宋体"/>
          <w:b/>
          <w:bCs/>
          <w:kern w:val="0"/>
          <w:sz w:val="24"/>
          <w:highlight w:val="none"/>
          <w:lang w:val="en-US" w:eastAsia="zh-CN"/>
        </w:rPr>
        <w:t>3</w:t>
      </w:r>
      <w:r>
        <w:rPr>
          <w:rFonts w:hint="eastAsia" w:ascii="宋体" w:hAnsi="宋体" w:cs="宋体"/>
          <w:b/>
          <w:bCs/>
          <w:kern w:val="0"/>
          <w:sz w:val="24"/>
          <w:highlight w:val="none"/>
        </w:rPr>
        <w:t>、投标文件的</w:t>
      </w:r>
      <w:r>
        <w:rPr>
          <w:rFonts w:hint="eastAsia" w:ascii="宋体" w:hAnsi="宋体" w:cs="宋体"/>
          <w:b/>
          <w:bCs/>
          <w:kern w:val="0"/>
          <w:sz w:val="24"/>
          <w:highlight w:val="none"/>
          <w:lang w:val="en-US" w:eastAsia="zh-CN"/>
        </w:rPr>
        <w:t>递交</w:t>
      </w:r>
    </w:p>
    <w:p w14:paraId="66EB66DC">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420" w:firstLineChars="200"/>
        <w:jc w:val="both"/>
        <w:textAlignment w:val="auto"/>
        <w:outlineLvl w:val="9"/>
        <w:rPr>
          <w:rFonts w:hint="eastAsia"/>
          <w:highlight w:val="none"/>
        </w:rPr>
      </w:pPr>
      <w:r>
        <w:rPr>
          <w:rFonts w:hint="eastAsia" w:ascii="宋体" w:hAnsi="宋体" w:eastAsia="宋体" w:cs="宋体"/>
          <w:highlight w:val="none"/>
          <w:lang w:val="en-US" w:eastAsia="zh-CN"/>
        </w:rPr>
        <w:t>电子</w:t>
      </w:r>
      <w:r>
        <w:rPr>
          <w:rFonts w:hint="eastAsia" w:ascii="宋体" w:hAnsi="宋体" w:cs="宋体"/>
          <w:highlight w:val="none"/>
          <w:lang w:val="en-US" w:eastAsia="zh-CN"/>
        </w:rPr>
        <w:t>投标</w:t>
      </w:r>
      <w:r>
        <w:rPr>
          <w:rFonts w:hint="eastAsia" w:ascii="宋体" w:hAnsi="宋体" w:eastAsia="宋体" w:cs="宋体"/>
          <w:highlight w:val="none"/>
          <w:lang w:val="en-US" w:eastAsia="zh-CN"/>
        </w:rPr>
        <w:t>文件可于提交</w:t>
      </w:r>
      <w:r>
        <w:rPr>
          <w:rFonts w:hint="eastAsia" w:ascii="宋体" w:hAnsi="宋体" w:cs="宋体"/>
          <w:highlight w:val="none"/>
          <w:lang w:val="en-US" w:eastAsia="zh-CN"/>
        </w:rPr>
        <w:t>投标</w:t>
      </w:r>
      <w:r>
        <w:rPr>
          <w:rFonts w:hint="eastAsia" w:ascii="宋体" w:hAnsi="宋体" w:eastAsia="宋体" w:cs="宋体"/>
          <w:highlight w:val="none"/>
          <w:lang w:val="en-US" w:eastAsia="zh-CN"/>
        </w:rPr>
        <w:t>文件截止时间前任意时段登录全国公共资源交易平台（陕西省 ˙</w:t>
      </w:r>
      <w:r>
        <w:rPr>
          <w:rFonts w:hint="eastAsia" w:ascii="宋体" w:hAnsi="宋体" w:cs="宋体"/>
          <w:highlight w:val="none"/>
          <w:lang w:val="en-US" w:eastAsia="zh-CN"/>
        </w:rPr>
        <w:t>安康市</w:t>
      </w:r>
      <w:r>
        <w:rPr>
          <w:rFonts w:hint="eastAsia" w:ascii="宋体" w:hAnsi="宋体" w:eastAsia="宋体" w:cs="宋体"/>
          <w:highlight w:val="none"/>
          <w:lang w:val="en-US" w:eastAsia="zh-CN"/>
        </w:rPr>
        <w:t>）网站“电子交易平台&gt;企业端”进行提交，逾期系统将拒绝接收。提交时，</w:t>
      </w:r>
      <w:r>
        <w:rPr>
          <w:rFonts w:hint="eastAsia" w:ascii="宋体" w:hAnsi="宋体" w:cs="宋体"/>
          <w:highlight w:val="none"/>
          <w:lang w:val="en-US" w:eastAsia="zh-CN"/>
        </w:rPr>
        <w:t>投标人</w:t>
      </w:r>
      <w:r>
        <w:rPr>
          <w:rFonts w:hint="eastAsia" w:ascii="宋体" w:hAnsi="宋体" w:eastAsia="宋体" w:cs="宋体"/>
          <w:highlight w:val="none"/>
          <w:lang w:val="en-US" w:eastAsia="zh-CN"/>
        </w:rPr>
        <w:t>应登录全国公共资源交易中心平台（陕西省˙</w:t>
      </w:r>
      <w:r>
        <w:rPr>
          <w:rFonts w:hint="eastAsia" w:ascii="宋体" w:hAnsi="宋体" w:cs="宋体"/>
          <w:highlight w:val="none"/>
          <w:lang w:val="en-US" w:eastAsia="zh-CN"/>
        </w:rPr>
        <w:t>安康市</w:t>
      </w:r>
      <w:r>
        <w:rPr>
          <w:rFonts w:hint="eastAsia" w:ascii="宋体" w:hAnsi="宋体" w:eastAsia="宋体" w:cs="宋体"/>
          <w:highlight w:val="none"/>
          <w:lang w:val="en-US" w:eastAsia="zh-CN"/>
        </w:rPr>
        <w:t>），选择“首页&gt;电子交易平台&gt;企业端&gt;我的项目”，点击“项目流程”，在打开的“项目管理”对话框中选择“上传</w:t>
      </w:r>
      <w:r>
        <w:rPr>
          <w:rFonts w:hint="eastAsia" w:ascii="宋体" w:hAnsi="宋体" w:cs="宋体"/>
          <w:highlight w:val="none"/>
          <w:lang w:val="en-US" w:eastAsia="zh-CN"/>
        </w:rPr>
        <w:t>投标</w:t>
      </w:r>
      <w:r>
        <w:rPr>
          <w:rFonts w:hint="eastAsia" w:ascii="宋体" w:hAnsi="宋体" w:eastAsia="宋体" w:cs="宋体"/>
          <w:highlight w:val="none"/>
          <w:lang w:val="en-US" w:eastAsia="zh-CN"/>
        </w:rPr>
        <w:t>文件”，上传加密的电子</w:t>
      </w:r>
      <w:r>
        <w:rPr>
          <w:rFonts w:hint="eastAsia" w:ascii="宋体" w:hAnsi="宋体" w:cs="宋体"/>
          <w:highlight w:val="none"/>
          <w:lang w:val="en-US" w:eastAsia="zh-CN"/>
        </w:rPr>
        <w:t>投标</w:t>
      </w:r>
      <w:r>
        <w:rPr>
          <w:rFonts w:hint="eastAsia" w:ascii="宋体" w:hAnsi="宋体" w:eastAsia="宋体" w:cs="宋体"/>
          <w:highlight w:val="none"/>
          <w:lang w:val="en-US" w:eastAsia="zh-CN"/>
        </w:rPr>
        <w:t>文件（*.SXSTF）。上传成功后，电子化平台将予以记录。</w:t>
      </w:r>
    </w:p>
    <w:p w14:paraId="14DE86F7">
      <w:pPr>
        <w:spacing w:before="240" w:after="120"/>
        <w:jc w:val="left"/>
        <w:outlineLvl w:val="2"/>
        <w:rPr>
          <w:rFonts w:hint="eastAsia" w:ascii="宋体" w:hAnsi="宋体" w:eastAsia="宋体" w:cs="宋体"/>
          <w:b/>
          <w:bCs/>
          <w:kern w:val="0"/>
          <w:sz w:val="24"/>
          <w:highlight w:val="none"/>
          <w:lang w:val="en-US" w:eastAsia="zh-CN"/>
        </w:rPr>
      </w:pPr>
      <w:r>
        <w:rPr>
          <w:rFonts w:hint="eastAsia" w:ascii="宋体" w:hAnsi="宋体" w:eastAsia="宋体" w:cs="宋体"/>
          <w:b/>
          <w:bCs/>
          <w:kern w:val="0"/>
          <w:sz w:val="24"/>
          <w:highlight w:val="none"/>
          <w:lang w:val="en-US" w:eastAsia="zh-CN"/>
        </w:rPr>
        <w:t>2</w:t>
      </w:r>
      <w:r>
        <w:rPr>
          <w:rFonts w:hint="eastAsia" w:ascii="宋体" w:hAnsi="宋体" w:cs="宋体"/>
          <w:b/>
          <w:bCs/>
          <w:kern w:val="0"/>
          <w:sz w:val="24"/>
          <w:highlight w:val="none"/>
          <w:lang w:val="en-US" w:eastAsia="zh-CN"/>
        </w:rPr>
        <w:t>4</w:t>
      </w:r>
      <w:r>
        <w:rPr>
          <w:rFonts w:hint="eastAsia" w:ascii="宋体" w:hAnsi="宋体" w:eastAsia="宋体" w:cs="宋体"/>
          <w:b/>
          <w:bCs/>
          <w:kern w:val="0"/>
          <w:sz w:val="24"/>
          <w:highlight w:val="none"/>
          <w:lang w:val="en-US" w:eastAsia="zh-CN"/>
        </w:rPr>
        <w:t xml:space="preserve">、投标文件的加密和提交 </w:t>
      </w:r>
    </w:p>
    <w:p w14:paraId="787CB1FB">
      <w:pPr>
        <w:autoSpaceDE w:val="0"/>
        <w:autoSpaceDN w:val="0"/>
        <w:adjustRightInd w:val="0"/>
        <w:spacing w:line="500" w:lineRule="exact"/>
        <w:ind w:right="6" w:firstLine="420" w:firstLineChars="200"/>
        <w:rPr>
          <w:rFonts w:hint="eastAsia" w:ascii="宋体" w:hAnsi="宋体" w:eastAsia="宋体" w:cs="宋体"/>
          <w:highlight w:val="none"/>
        </w:rPr>
      </w:pPr>
      <w:r>
        <w:rPr>
          <w:rFonts w:hint="eastAsia" w:ascii="宋体" w:hAnsi="宋体" w:eastAsia="宋体" w:cs="宋体"/>
          <w:highlight w:val="none"/>
        </w:rPr>
        <w:t>2</w:t>
      </w:r>
      <w:r>
        <w:rPr>
          <w:rFonts w:hint="eastAsia" w:ascii="宋体" w:hAnsi="宋体" w:cs="宋体"/>
          <w:highlight w:val="none"/>
          <w:lang w:val="en-US" w:eastAsia="zh-CN"/>
        </w:rPr>
        <w:t>4</w:t>
      </w:r>
      <w:r>
        <w:rPr>
          <w:rFonts w:hint="eastAsia" w:ascii="宋体" w:hAnsi="宋体" w:eastAsia="宋体" w:cs="宋体"/>
          <w:highlight w:val="none"/>
        </w:rPr>
        <w:t>.1 在生成电子投标文件时，需要使用CA锁对投标文件进行加密。</w:t>
      </w:r>
    </w:p>
    <w:p w14:paraId="431D0C54">
      <w:pPr>
        <w:autoSpaceDE w:val="0"/>
        <w:autoSpaceDN w:val="0"/>
        <w:adjustRightInd w:val="0"/>
        <w:spacing w:line="500" w:lineRule="exact"/>
        <w:ind w:right="6" w:firstLine="420" w:firstLineChars="200"/>
        <w:rPr>
          <w:rFonts w:hint="eastAsia" w:ascii="宋体" w:hAnsi="宋体" w:eastAsia="宋体" w:cs="宋体"/>
          <w:highlight w:val="none"/>
        </w:rPr>
      </w:pPr>
      <w:r>
        <w:rPr>
          <w:rFonts w:hint="eastAsia" w:ascii="宋体" w:hAnsi="宋体" w:eastAsia="宋体" w:cs="宋体"/>
          <w:highlight w:val="none"/>
        </w:rPr>
        <w:t>注意：加密投标文件和开标时解密投标文件应当使用同一CA，否则将会导致解密失败。</w:t>
      </w:r>
    </w:p>
    <w:p w14:paraId="793BEFC0">
      <w:pPr>
        <w:autoSpaceDE w:val="0"/>
        <w:autoSpaceDN w:val="0"/>
        <w:adjustRightInd w:val="0"/>
        <w:spacing w:line="500" w:lineRule="exact"/>
        <w:ind w:right="6" w:firstLine="420" w:firstLineChars="200"/>
        <w:rPr>
          <w:rFonts w:hint="eastAsia" w:ascii="宋体" w:hAnsi="宋体" w:eastAsia="宋体" w:cs="宋体"/>
        </w:rPr>
      </w:pPr>
      <w:r>
        <w:rPr>
          <w:rFonts w:hint="eastAsia" w:ascii="宋体" w:hAnsi="宋体" w:eastAsia="宋体" w:cs="宋体"/>
          <w:lang w:val="en-US" w:eastAsia="zh-CN"/>
        </w:rPr>
        <w:t xml:space="preserve">24.2 </w:t>
      </w:r>
      <w:r>
        <w:rPr>
          <w:rFonts w:hint="eastAsia" w:ascii="宋体" w:hAnsi="宋体" w:eastAsia="宋体" w:cs="宋体"/>
        </w:rPr>
        <w:t>电子投标文件可于提交投标文件截止时间前任意时段，登录全国公共资源交易平台（陕西省·</w:t>
      </w:r>
      <w:r>
        <w:rPr>
          <w:rFonts w:hint="eastAsia" w:ascii="宋体" w:hAnsi="宋体" w:cs="宋体"/>
          <w:lang w:val="en-US" w:eastAsia="zh-CN"/>
        </w:rPr>
        <w:t>安康市</w:t>
      </w:r>
      <w:r>
        <w:rPr>
          <w:rFonts w:hint="eastAsia" w:ascii="宋体" w:hAnsi="宋体" w:eastAsia="宋体" w:cs="宋体"/>
        </w:rPr>
        <w:t>）〖首页·〉电子交易平台·〉〗，登录后切换到〖我的项目〗模块下，依次点选〖项 目流程·〉项目管理·〉上传响应文件〗，上传加密后的电子投标文件（*.SXSTF）。上传成功后，全国公共资源交易平台（陕西省·</w:t>
      </w:r>
      <w:r>
        <w:rPr>
          <w:rFonts w:hint="eastAsia" w:ascii="宋体" w:hAnsi="宋体" w:cs="宋体"/>
          <w:lang w:val="en-US" w:eastAsia="zh-CN"/>
        </w:rPr>
        <w:t>安康市</w:t>
      </w:r>
      <w:r>
        <w:rPr>
          <w:rFonts w:hint="eastAsia" w:ascii="宋体" w:hAnsi="宋体" w:eastAsia="宋体" w:cs="宋体"/>
        </w:rPr>
        <w:t xml:space="preserve">）系统将予以记录。 </w:t>
      </w:r>
    </w:p>
    <w:p w14:paraId="0DD2CC1C">
      <w:pPr>
        <w:autoSpaceDE w:val="0"/>
        <w:autoSpaceDN w:val="0"/>
        <w:adjustRightInd w:val="0"/>
        <w:spacing w:line="500" w:lineRule="exact"/>
        <w:ind w:right="6" w:firstLine="420" w:firstLineChars="200"/>
        <w:rPr>
          <w:rFonts w:hint="eastAsia" w:ascii="宋体" w:hAnsi="宋体" w:eastAsia="宋体" w:cs="宋体"/>
        </w:rPr>
      </w:pPr>
      <w:r>
        <w:rPr>
          <w:rFonts w:hint="eastAsia" w:ascii="宋体" w:hAnsi="宋体" w:eastAsia="宋体" w:cs="宋体"/>
          <w:lang w:val="en-US" w:eastAsia="zh-CN"/>
        </w:rPr>
        <w:t xml:space="preserve">24.3 </w:t>
      </w:r>
      <w:r>
        <w:rPr>
          <w:rFonts w:hint="eastAsia" w:ascii="宋体" w:hAnsi="宋体" w:eastAsia="宋体" w:cs="宋体"/>
        </w:rPr>
        <w:t xml:space="preserve">上传文件有误或需要重新提交的，可先撤销已经上传的文件，然后重新上传新文件。 </w:t>
      </w:r>
    </w:p>
    <w:p w14:paraId="09E4EAE5">
      <w:pPr>
        <w:autoSpaceDE w:val="0"/>
        <w:autoSpaceDN w:val="0"/>
        <w:adjustRightInd w:val="0"/>
        <w:spacing w:line="500" w:lineRule="exact"/>
        <w:ind w:right="6" w:firstLine="420" w:firstLineChars="200"/>
        <w:rPr>
          <w:rFonts w:hint="eastAsia" w:ascii="宋体" w:hAnsi="宋体" w:eastAsia="宋体" w:cs="宋体"/>
          <w:lang w:eastAsia="zh-CN"/>
        </w:rPr>
      </w:pPr>
      <w:r>
        <w:rPr>
          <w:rFonts w:hint="eastAsia" w:ascii="宋体" w:hAnsi="宋体" w:eastAsia="宋体" w:cs="宋体"/>
          <w:lang w:val="en-US" w:eastAsia="zh-CN"/>
        </w:rPr>
        <w:t xml:space="preserve">24.4 </w:t>
      </w:r>
      <w:r>
        <w:rPr>
          <w:rFonts w:hint="eastAsia" w:ascii="宋体" w:hAnsi="宋体" w:eastAsia="宋体" w:cs="宋体"/>
        </w:rPr>
        <w:t>投标人编制投标文件时，涉及的有关原件应在投标文件中提供电子版</w:t>
      </w:r>
      <w:r>
        <w:rPr>
          <w:rFonts w:hint="eastAsia" w:ascii="宋体" w:hAnsi="宋体" w:eastAsia="宋体" w:cs="宋体"/>
          <w:lang w:eastAsia="zh-CN"/>
        </w:rPr>
        <w:t>。</w:t>
      </w:r>
    </w:p>
    <w:p w14:paraId="51985E50">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420" w:firstLineChars="200"/>
        <w:jc w:val="both"/>
        <w:textAlignment w:val="auto"/>
        <w:outlineLvl w:val="9"/>
        <w:rPr>
          <w:rFonts w:hint="eastAsia" w:ascii="宋体" w:hAnsi="宋体" w:eastAsia="宋体" w:cs="宋体"/>
          <w:lang w:eastAsia="zh-CN"/>
        </w:rPr>
      </w:pPr>
      <w:r>
        <w:rPr>
          <w:rFonts w:hint="eastAsia" w:ascii="宋体" w:hAnsi="宋体" w:eastAsia="宋体" w:cs="宋体"/>
          <w:lang w:val="en-US" w:eastAsia="zh-CN"/>
        </w:rPr>
        <w:t xml:space="preserve">24.5 </w:t>
      </w:r>
      <w:r>
        <w:rPr>
          <w:rFonts w:hint="eastAsia" w:ascii="宋体" w:hAnsi="宋体" w:eastAsia="宋体" w:cs="宋体"/>
          <w:lang w:eastAsia="zh-CN"/>
        </w:rPr>
        <w:t>如因投标人自身原因造成无法解密投标文件，按无效投标对待。</w:t>
      </w:r>
    </w:p>
    <w:p w14:paraId="66A6501C">
      <w:pPr>
        <w:keepNext w:val="0"/>
        <w:keepLines w:val="0"/>
        <w:pageBreakBefore w:val="0"/>
        <w:widowControl w:val="0"/>
        <w:kinsoku/>
        <w:wordWrap/>
        <w:overflowPunct/>
        <w:topLinePunct w:val="0"/>
        <w:autoSpaceDE w:val="0"/>
        <w:autoSpaceDN w:val="0"/>
        <w:bidi w:val="0"/>
        <w:adjustRightInd w:val="0"/>
        <w:snapToGrid/>
        <w:spacing w:line="500" w:lineRule="exact"/>
        <w:ind w:right="6" w:rightChars="0"/>
        <w:jc w:val="both"/>
        <w:textAlignment w:val="auto"/>
        <w:outlineLvl w:val="9"/>
        <w:rPr>
          <w:rFonts w:hint="eastAsia" w:ascii="宋体" w:hAnsi="宋体" w:eastAsia="宋体" w:cs="宋体"/>
          <w:b/>
          <w:bCs/>
          <w:kern w:val="0"/>
          <w:sz w:val="24"/>
          <w:highlight w:val="none"/>
          <w:lang w:val="en-US" w:eastAsia="zh-CN"/>
        </w:rPr>
      </w:pPr>
      <w:r>
        <w:rPr>
          <w:rFonts w:hint="eastAsia" w:ascii="宋体" w:hAnsi="宋体" w:eastAsia="宋体" w:cs="宋体"/>
          <w:b/>
          <w:bCs/>
          <w:kern w:val="0"/>
          <w:sz w:val="24"/>
          <w:highlight w:val="none"/>
          <w:lang w:val="en-US" w:eastAsia="zh-CN"/>
        </w:rPr>
        <w:t>2</w:t>
      </w:r>
      <w:r>
        <w:rPr>
          <w:rFonts w:hint="eastAsia" w:ascii="宋体" w:hAnsi="宋体" w:cs="宋体"/>
          <w:b/>
          <w:bCs/>
          <w:kern w:val="0"/>
          <w:sz w:val="24"/>
          <w:highlight w:val="none"/>
          <w:lang w:val="en-US" w:eastAsia="zh-CN"/>
        </w:rPr>
        <w:t>5</w:t>
      </w:r>
      <w:r>
        <w:rPr>
          <w:rFonts w:hint="eastAsia" w:ascii="宋体" w:hAnsi="宋体" w:eastAsia="宋体" w:cs="宋体"/>
          <w:b/>
          <w:bCs/>
          <w:kern w:val="0"/>
          <w:sz w:val="24"/>
          <w:highlight w:val="none"/>
          <w:lang w:val="en-US" w:eastAsia="zh-CN"/>
        </w:rPr>
        <w:t>、</w:t>
      </w:r>
      <w:r>
        <w:rPr>
          <w:rFonts w:hint="eastAsia" w:ascii="宋体" w:hAnsi="宋体" w:cs="宋体"/>
          <w:b/>
          <w:bCs/>
          <w:kern w:val="0"/>
          <w:sz w:val="24"/>
          <w:highlight w:val="none"/>
          <w:lang w:val="en-US" w:eastAsia="zh-CN"/>
        </w:rPr>
        <w:t>投标人</w:t>
      </w:r>
      <w:r>
        <w:rPr>
          <w:rFonts w:hint="eastAsia" w:ascii="宋体" w:hAnsi="宋体" w:eastAsia="宋体" w:cs="宋体"/>
          <w:b/>
          <w:bCs/>
          <w:kern w:val="0"/>
          <w:sz w:val="24"/>
          <w:highlight w:val="none"/>
          <w:lang w:val="en-US" w:eastAsia="zh-CN"/>
        </w:rPr>
        <w:t>提交投标文件时，出现下列情况之一的，其</w:t>
      </w:r>
      <w:r>
        <w:rPr>
          <w:rFonts w:hint="eastAsia" w:ascii="宋体" w:hAnsi="宋体" w:cs="宋体"/>
          <w:b/>
          <w:bCs/>
          <w:kern w:val="0"/>
          <w:sz w:val="24"/>
          <w:highlight w:val="none"/>
          <w:lang w:val="en-US" w:eastAsia="zh-CN"/>
        </w:rPr>
        <w:t>投标</w:t>
      </w:r>
      <w:r>
        <w:rPr>
          <w:rFonts w:hint="eastAsia" w:ascii="宋体" w:hAnsi="宋体" w:eastAsia="宋体" w:cs="宋体"/>
          <w:b/>
          <w:bCs/>
          <w:kern w:val="0"/>
          <w:sz w:val="24"/>
          <w:highlight w:val="none"/>
          <w:lang w:val="en-US" w:eastAsia="zh-CN"/>
        </w:rPr>
        <w:t>文件将被拒绝接收：</w:t>
      </w:r>
    </w:p>
    <w:p w14:paraId="4A3AE96C">
      <w:pPr>
        <w:keepNext w:val="0"/>
        <w:keepLines w:val="0"/>
        <w:pageBreakBefore w:val="0"/>
        <w:widowControl w:val="0"/>
        <w:kinsoku/>
        <w:wordWrap/>
        <w:overflowPunct/>
        <w:topLinePunct w:val="0"/>
        <w:autoSpaceDE w:val="0"/>
        <w:autoSpaceDN w:val="0"/>
        <w:bidi w:val="0"/>
        <w:adjustRightInd w:val="0"/>
        <w:snapToGrid/>
        <w:spacing w:line="500" w:lineRule="exact"/>
        <w:ind w:right="6" w:rightChars="0" w:firstLine="420" w:firstLineChars="200"/>
        <w:jc w:val="both"/>
        <w:textAlignment w:val="auto"/>
        <w:outlineLvl w:val="9"/>
        <w:rPr>
          <w:rFonts w:hint="eastAsia" w:ascii="宋体" w:hAnsi="宋体" w:eastAsia="宋体" w:cs="宋体"/>
          <w:highlight w:val="none"/>
          <w:lang w:val="en-US" w:eastAsia="zh-CN"/>
        </w:rPr>
      </w:pPr>
      <w:r>
        <w:rPr>
          <w:rFonts w:hint="eastAsia" w:ascii="宋体" w:hAnsi="宋体" w:eastAsia="宋体" w:cs="宋体"/>
          <w:highlight w:val="none"/>
          <w:lang w:val="en-US" w:eastAsia="zh-CN"/>
        </w:rPr>
        <w:t>2</w:t>
      </w:r>
      <w:r>
        <w:rPr>
          <w:rFonts w:hint="eastAsia" w:ascii="宋体" w:hAnsi="宋体" w:cs="宋体"/>
          <w:highlight w:val="none"/>
          <w:lang w:val="en-US" w:eastAsia="zh-CN"/>
        </w:rPr>
        <w:t>5</w:t>
      </w:r>
      <w:r>
        <w:rPr>
          <w:rFonts w:hint="eastAsia" w:ascii="宋体" w:hAnsi="宋体" w:eastAsia="宋体" w:cs="宋体"/>
          <w:highlight w:val="none"/>
          <w:lang w:val="en-US" w:eastAsia="zh-CN"/>
        </w:rPr>
        <w:t>.1 逾期提交电子</w:t>
      </w:r>
      <w:r>
        <w:rPr>
          <w:rFonts w:hint="eastAsia" w:ascii="宋体" w:hAnsi="宋体" w:cs="宋体"/>
          <w:highlight w:val="none"/>
          <w:lang w:val="en-US" w:eastAsia="zh-CN"/>
        </w:rPr>
        <w:t>投标</w:t>
      </w:r>
      <w:r>
        <w:rPr>
          <w:rFonts w:hint="eastAsia" w:ascii="宋体" w:hAnsi="宋体" w:eastAsia="宋体" w:cs="宋体"/>
          <w:highlight w:val="none"/>
          <w:lang w:val="en-US" w:eastAsia="zh-CN"/>
        </w:rPr>
        <w:t xml:space="preserve">文件的； </w:t>
      </w:r>
    </w:p>
    <w:p w14:paraId="0D03218C">
      <w:pPr>
        <w:autoSpaceDE w:val="0"/>
        <w:autoSpaceDN w:val="0"/>
        <w:adjustRightInd w:val="0"/>
        <w:spacing w:line="500" w:lineRule="exact"/>
        <w:ind w:right="6" w:firstLine="420" w:firstLineChars="200"/>
        <w:rPr>
          <w:rFonts w:hint="default" w:ascii="宋体" w:hAnsi="宋体" w:eastAsia="宋体" w:cs="宋体"/>
          <w:highlight w:val="none"/>
          <w:lang w:val="en-US" w:eastAsia="zh-CN"/>
        </w:rPr>
      </w:pPr>
      <w:r>
        <w:rPr>
          <w:rFonts w:hint="eastAsia" w:ascii="宋体" w:hAnsi="宋体" w:eastAsia="宋体" w:cs="宋体"/>
          <w:highlight w:val="none"/>
          <w:lang w:val="en-US" w:eastAsia="zh-CN"/>
        </w:rPr>
        <w:t>2</w:t>
      </w:r>
      <w:r>
        <w:rPr>
          <w:rFonts w:hint="eastAsia" w:ascii="宋体" w:hAnsi="宋体" w:cs="宋体"/>
          <w:highlight w:val="none"/>
          <w:lang w:val="en-US" w:eastAsia="zh-CN"/>
        </w:rPr>
        <w:t>5</w:t>
      </w:r>
      <w:r>
        <w:rPr>
          <w:rFonts w:hint="eastAsia" w:ascii="宋体" w:hAnsi="宋体" w:eastAsia="宋体" w:cs="宋体"/>
          <w:highlight w:val="none"/>
          <w:lang w:val="en-US" w:eastAsia="zh-CN"/>
        </w:rPr>
        <w:t>.2 提交的</w:t>
      </w:r>
      <w:r>
        <w:rPr>
          <w:rFonts w:hint="eastAsia" w:ascii="宋体" w:hAnsi="宋体" w:cs="宋体"/>
          <w:highlight w:val="none"/>
          <w:lang w:val="en-US" w:eastAsia="zh-CN"/>
        </w:rPr>
        <w:t>投标</w:t>
      </w:r>
      <w:r>
        <w:rPr>
          <w:rFonts w:hint="eastAsia" w:ascii="宋体" w:hAnsi="宋体" w:eastAsia="宋体" w:cs="宋体"/>
          <w:highlight w:val="none"/>
          <w:lang w:val="en-US" w:eastAsia="zh-CN"/>
        </w:rPr>
        <w:t xml:space="preserve">文件与本项目不相符的 </w:t>
      </w:r>
    </w:p>
    <w:p w14:paraId="3491CAC2">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0" w:firstLineChars="0"/>
        <w:jc w:val="both"/>
        <w:textAlignment w:val="auto"/>
        <w:outlineLvl w:val="9"/>
        <w:rPr>
          <w:rFonts w:hint="eastAsia" w:ascii="宋体" w:hAnsi="宋体" w:cs="宋体"/>
          <w:b/>
          <w:bCs/>
          <w:kern w:val="0"/>
          <w:sz w:val="24"/>
          <w:highlight w:val="none"/>
        </w:rPr>
      </w:pPr>
      <w:r>
        <w:rPr>
          <w:rFonts w:hint="eastAsia" w:ascii="宋体" w:hAnsi="宋体" w:cs="宋体"/>
          <w:b/>
          <w:bCs/>
          <w:kern w:val="0"/>
          <w:sz w:val="24"/>
          <w:highlight w:val="none"/>
        </w:rPr>
        <w:t>2</w:t>
      </w:r>
      <w:r>
        <w:rPr>
          <w:rFonts w:hint="eastAsia" w:ascii="宋体" w:hAnsi="宋体" w:cs="宋体"/>
          <w:b/>
          <w:bCs/>
          <w:kern w:val="0"/>
          <w:sz w:val="24"/>
          <w:highlight w:val="none"/>
          <w:lang w:val="en-US" w:eastAsia="zh-CN"/>
        </w:rPr>
        <w:t>6</w:t>
      </w:r>
      <w:r>
        <w:rPr>
          <w:rFonts w:hint="eastAsia" w:ascii="宋体" w:hAnsi="宋体" w:cs="宋体"/>
          <w:b/>
          <w:bCs/>
          <w:kern w:val="0"/>
          <w:sz w:val="24"/>
          <w:highlight w:val="none"/>
        </w:rPr>
        <w:t>、投标纪律要求</w:t>
      </w:r>
    </w:p>
    <w:p w14:paraId="1B61BD82">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0" w:firstLineChars="0"/>
        <w:jc w:val="both"/>
        <w:textAlignment w:val="auto"/>
        <w:outlineLvl w:val="9"/>
        <w:rPr>
          <w:rFonts w:hint="eastAsia"/>
          <w:highlight w:val="none"/>
        </w:rPr>
      </w:pPr>
      <w:r>
        <w:rPr>
          <w:rFonts w:hint="eastAsia"/>
          <w:highlight w:val="none"/>
          <w:lang w:val="en-US" w:eastAsia="zh-CN"/>
        </w:rPr>
        <w:t xml:space="preserve">    </w:t>
      </w:r>
      <w:r>
        <w:rPr>
          <w:rFonts w:hint="eastAsia"/>
          <w:highlight w:val="none"/>
        </w:rPr>
        <w:t>2</w:t>
      </w:r>
      <w:r>
        <w:rPr>
          <w:rFonts w:hint="eastAsia"/>
          <w:highlight w:val="none"/>
          <w:lang w:val="en-US" w:eastAsia="zh-CN"/>
        </w:rPr>
        <w:t>6</w:t>
      </w:r>
      <w:r>
        <w:rPr>
          <w:rFonts w:hint="eastAsia"/>
          <w:highlight w:val="none"/>
        </w:rPr>
        <w:t>.1</w:t>
      </w:r>
      <w:r>
        <w:rPr>
          <w:rFonts w:hint="eastAsia"/>
          <w:highlight w:val="none"/>
          <w:lang w:val="en-US" w:eastAsia="zh-CN"/>
        </w:rPr>
        <w:t xml:space="preserve">  </w:t>
      </w:r>
      <w:r>
        <w:rPr>
          <w:rFonts w:hint="eastAsia"/>
          <w:highlight w:val="none"/>
        </w:rPr>
        <w:t>投标人参加投标不得有下列情形：</w:t>
      </w:r>
    </w:p>
    <w:p w14:paraId="5AB0116E">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0" w:firstLineChars="0"/>
        <w:jc w:val="both"/>
        <w:textAlignment w:val="auto"/>
        <w:outlineLvl w:val="9"/>
        <w:rPr>
          <w:rFonts w:hint="eastAsia"/>
          <w:highlight w:val="none"/>
        </w:rPr>
      </w:pPr>
      <w:r>
        <w:rPr>
          <w:rFonts w:hint="eastAsia"/>
          <w:highlight w:val="none"/>
          <w:lang w:val="en-US" w:eastAsia="zh-CN"/>
        </w:rPr>
        <w:t xml:space="preserve">    </w:t>
      </w:r>
      <w:r>
        <w:rPr>
          <w:rFonts w:hint="eastAsia"/>
          <w:highlight w:val="none"/>
        </w:rPr>
        <w:t>（1）提供虚假材料谋取中标；</w:t>
      </w:r>
    </w:p>
    <w:p w14:paraId="4DC8493E">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0" w:firstLineChars="0"/>
        <w:jc w:val="both"/>
        <w:textAlignment w:val="auto"/>
        <w:outlineLvl w:val="9"/>
        <w:rPr>
          <w:rFonts w:hint="eastAsia"/>
          <w:highlight w:val="none"/>
        </w:rPr>
      </w:pPr>
      <w:r>
        <w:rPr>
          <w:rFonts w:hint="eastAsia"/>
          <w:highlight w:val="none"/>
          <w:lang w:val="en-US" w:eastAsia="zh-CN"/>
        </w:rPr>
        <w:t xml:space="preserve">    </w:t>
      </w:r>
      <w:r>
        <w:rPr>
          <w:rFonts w:hint="eastAsia"/>
          <w:highlight w:val="none"/>
        </w:rPr>
        <w:t>（2）采取不正当手段诋毁、排挤其他投标人；</w:t>
      </w:r>
    </w:p>
    <w:p w14:paraId="5D05EF98">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0" w:firstLineChars="0"/>
        <w:jc w:val="both"/>
        <w:textAlignment w:val="auto"/>
        <w:outlineLvl w:val="9"/>
        <w:rPr>
          <w:rFonts w:hint="eastAsia"/>
          <w:highlight w:val="none"/>
        </w:rPr>
      </w:pPr>
      <w:r>
        <w:rPr>
          <w:rFonts w:hint="eastAsia"/>
          <w:highlight w:val="none"/>
          <w:lang w:val="en-US" w:eastAsia="zh-CN"/>
        </w:rPr>
        <w:t xml:space="preserve">    </w:t>
      </w:r>
      <w:r>
        <w:rPr>
          <w:rFonts w:hint="eastAsia"/>
          <w:highlight w:val="none"/>
        </w:rPr>
        <w:t>（3）与采购单位、其他投标人恶意串通；</w:t>
      </w:r>
    </w:p>
    <w:p w14:paraId="2A1ABBCA">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0" w:firstLineChars="0"/>
        <w:jc w:val="both"/>
        <w:textAlignment w:val="auto"/>
        <w:outlineLvl w:val="9"/>
        <w:rPr>
          <w:rFonts w:hint="eastAsia"/>
          <w:highlight w:val="none"/>
        </w:rPr>
      </w:pPr>
      <w:r>
        <w:rPr>
          <w:rFonts w:hint="eastAsia"/>
          <w:highlight w:val="none"/>
          <w:lang w:val="en-US" w:eastAsia="zh-CN"/>
        </w:rPr>
        <w:t xml:space="preserve">    </w:t>
      </w:r>
      <w:r>
        <w:rPr>
          <w:rFonts w:hint="eastAsia"/>
          <w:highlight w:val="none"/>
        </w:rPr>
        <w:t>（4）向采购人、采购代理机构单位、评标委员会成员行贿或者提供其他不正当利益；</w:t>
      </w:r>
    </w:p>
    <w:p w14:paraId="0144AFFA">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0" w:firstLineChars="0"/>
        <w:jc w:val="both"/>
        <w:textAlignment w:val="auto"/>
        <w:outlineLvl w:val="9"/>
        <w:rPr>
          <w:rFonts w:hint="eastAsia"/>
          <w:highlight w:val="none"/>
        </w:rPr>
      </w:pPr>
      <w:r>
        <w:rPr>
          <w:rFonts w:hint="eastAsia"/>
          <w:highlight w:val="none"/>
          <w:lang w:val="en-US" w:eastAsia="zh-CN"/>
        </w:rPr>
        <w:t xml:space="preserve">    </w:t>
      </w:r>
      <w:r>
        <w:rPr>
          <w:rFonts w:hint="eastAsia"/>
          <w:highlight w:val="none"/>
        </w:rPr>
        <w:t>（5）在采购过程中与采购单位进行协商谈判；</w:t>
      </w:r>
    </w:p>
    <w:p w14:paraId="6E9985C7">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0" w:firstLineChars="0"/>
        <w:jc w:val="both"/>
        <w:textAlignment w:val="auto"/>
        <w:outlineLvl w:val="9"/>
        <w:rPr>
          <w:rFonts w:hint="eastAsia"/>
          <w:highlight w:val="none"/>
        </w:rPr>
      </w:pPr>
      <w:r>
        <w:rPr>
          <w:rFonts w:hint="eastAsia"/>
          <w:highlight w:val="none"/>
          <w:lang w:val="en-US" w:eastAsia="zh-CN"/>
        </w:rPr>
        <w:t xml:space="preserve">    </w:t>
      </w:r>
      <w:r>
        <w:rPr>
          <w:rFonts w:hint="eastAsia"/>
          <w:highlight w:val="none"/>
        </w:rPr>
        <w:t>（6）拒绝有关部门的监督检查或者向监督检查部门提供虚假情况。</w:t>
      </w:r>
    </w:p>
    <w:p w14:paraId="30AB5464">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0" w:firstLineChars="0"/>
        <w:jc w:val="both"/>
        <w:textAlignment w:val="auto"/>
        <w:outlineLvl w:val="9"/>
        <w:rPr>
          <w:rFonts w:hint="eastAsia"/>
          <w:highlight w:val="none"/>
        </w:rPr>
      </w:pPr>
      <w:r>
        <w:rPr>
          <w:rFonts w:hint="eastAsia"/>
          <w:highlight w:val="none"/>
          <w:lang w:val="en-US" w:eastAsia="zh-CN"/>
        </w:rPr>
        <w:t xml:space="preserve">    </w:t>
      </w:r>
      <w:r>
        <w:rPr>
          <w:rFonts w:hint="eastAsia"/>
          <w:highlight w:val="none"/>
        </w:rPr>
        <w:t>有上述情形之一的投标人，属于不合格投标人，其投标或中标资格将被取消。</w:t>
      </w:r>
    </w:p>
    <w:p w14:paraId="07B56D78">
      <w:pPr>
        <w:numPr>
          <w:ilvl w:val="0"/>
          <w:numId w:val="0"/>
        </w:numPr>
        <w:spacing w:before="240" w:after="120"/>
        <w:jc w:val="center"/>
        <w:outlineLvl w:val="2"/>
        <w:rPr>
          <w:rFonts w:hint="eastAsia" w:ascii="宋体" w:hAnsi="宋体" w:cs="宋体"/>
          <w:b/>
          <w:bCs/>
          <w:sz w:val="28"/>
          <w:highlight w:val="none"/>
        </w:rPr>
      </w:pPr>
      <w:r>
        <w:rPr>
          <w:rFonts w:hint="eastAsia" w:ascii="宋体" w:hAnsi="宋体" w:cs="宋体"/>
          <w:b/>
          <w:bCs/>
          <w:sz w:val="28"/>
          <w:highlight w:val="none"/>
        </w:rPr>
        <w:t>五、开标</w:t>
      </w:r>
    </w:p>
    <w:p w14:paraId="52CB0F33">
      <w:pPr>
        <w:spacing w:before="240" w:after="120"/>
        <w:jc w:val="left"/>
        <w:outlineLvl w:val="2"/>
        <w:rPr>
          <w:rFonts w:hint="eastAsia" w:ascii="宋体" w:hAnsi="宋体" w:eastAsia="宋体" w:cs="宋体"/>
          <w:b/>
          <w:bCs/>
          <w:kern w:val="0"/>
          <w:sz w:val="24"/>
          <w:highlight w:val="none"/>
          <w:lang w:val="en-US" w:eastAsia="zh-CN"/>
        </w:rPr>
      </w:pPr>
      <w:r>
        <w:rPr>
          <w:rFonts w:hint="eastAsia" w:ascii="宋体" w:hAnsi="宋体" w:eastAsia="宋体" w:cs="宋体"/>
          <w:b/>
          <w:bCs/>
          <w:kern w:val="0"/>
          <w:sz w:val="24"/>
          <w:highlight w:val="none"/>
          <w:lang w:val="en-US" w:eastAsia="zh-CN"/>
        </w:rPr>
        <w:t>2</w:t>
      </w:r>
      <w:r>
        <w:rPr>
          <w:rFonts w:hint="eastAsia" w:ascii="宋体" w:hAnsi="宋体" w:cs="宋体"/>
          <w:b/>
          <w:bCs/>
          <w:kern w:val="0"/>
          <w:sz w:val="24"/>
          <w:highlight w:val="none"/>
          <w:lang w:val="en-US" w:eastAsia="zh-CN"/>
        </w:rPr>
        <w:t>7</w:t>
      </w:r>
      <w:r>
        <w:rPr>
          <w:rFonts w:hint="eastAsia" w:ascii="宋体" w:hAnsi="宋体" w:eastAsia="宋体" w:cs="宋体"/>
          <w:b/>
          <w:bCs/>
          <w:kern w:val="0"/>
          <w:sz w:val="24"/>
          <w:highlight w:val="none"/>
          <w:lang w:val="en-US" w:eastAsia="zh-CN"/>
        </w:rPr>
        <w:t>、开标</w:t>
      </w:r>
    </w:p>
    <w:p w14:paraId="1A17272C">
      <w:pPr>
        <w:autoSpaceDE w:val="0"/>
        <w:autoSpaceDN w:val="0"/>
        <w:adjustRightInd w:val="0"/>
        <w:spacing w:line="500" w:lineRule="exact"/>
        <w:ind w:right="6" w:firstLine="420" w:firstLineChars="200"/>
        <w:rPr>
          <w:rFonts w:hint="eastAsia" w:ascii="宋体" w:hAnsi="宋体" w:eastAsia="宋体" w:cs="宋体"/>
          <w:highlight w:val="none"/>
        </w:rPr>
      </w:pPr>
      <w:r>
        <w:rPr>
          <w:rFonts w:hint="eastAsia" w:ascii="宋体" w:hAnsi="宋体" w:eastAsia="宋体" w:cs="宋体"/>
          <w:highlight w:val="none"/>
        </w:rPr>
        <w:t>2</w:t>
      </w:r>
      <w:r>
        <w:rPr>
          <w:rFonts w:hint="eastAsia" w:ascii="宋体" w:hAnsi="宋体" w:cs="宋体"/>
          <w:highlight w:val="none"/>
          <w:lang w:val="en-US" w:eastAsia="zh-CN"/>
        </w:rPr>
        <w:t>7</w:t>
      </w:r>
      <w:r>
        <w:rPr>
          <w:rFonts w:hint="eastAsia" w:ascii="宋体" w:hAnsi="宋体" w:eastAsia="宋体" w:cs="宋体"/>
          <w:highlight w:val="none"/>
        </w:rPr>
        <w:t xml:space="preserve">.1 代理机构按招标文件规定的时间在规定的时间和地点组织开标活动。 </w:t>
      </w:r>
    </w:p>
    <w:p w14:paraId="16A249D6">
      <w:pPr>
        <w:autoSpaceDE w:val="0"/>
        <w:autoSpaceDN w:val="0"/>
        <w:adjustRightInd w:val="0"/>
        <w:spacing w:line="500" w:lineRule="exact"/>
        <w:ind w:right="6" w:firstLine="420" w:firstLineChars="200"/>
        <w:rPr>
          <w:rFonts w:hint="eastAsia" w:ascii="宋体" w:hAnsi="宋体" w:eastAsia="宋体" w:cs="宋体"/>
          <w:highlight w:val="none"/>
        </w:rPr>
      </w:pPr>
      <w:r>
        <w:rPr>
          <w:rFonts w:hint="eastAsia" w:ascii="宋体" w:hAnsi="宋体" w:eastAsia="宋体" w:cs="宋体"/>
          <w:highlight w:val="none"/>
        </w:rPr>
        <w:t>2</w:t>
      </w:r>
      <w:r>
        <w:rPr>
          <w:rFonts w:hint="eastAsia" w:ascii="宋体" w:hAnsi="宋体" w:cs="宋体"/>
          <w:highlight w:val="none"/>
          <w:lang w:val="en-US" w:eastAsia="zh-CN"/>
        </w:rPr>
        <w:t>7</w:t>
      </w:r>
      <w:r>
        <w:rPr>
          <w:rFonts w:hint="eastAsia" w:ascii="宋体" w:hAnsi="宋体" w:eastAsia="宋体" w:cs="宋体"/>
          <w:highlight w:val="none"/>
        </w:rPr>
        <w:t>.</w:t>
      </w:r>
      <w:r>
        <w:rPr>
          <w:rFonts w:hint="eastAsia" w:ascii="宋体" w:hAnsi="宋体" w:eastAsia="宋体" w:cs="宋体"/>
          <w:highlight w:val="none"/>
          <w:lang w:val="en-US" w:eastAsia="zh-CN"/>
        </w:rPr>
        <w:t xml:space="preserve">2 </w:t>
      </w:r>
      <w:r>
        <w:rPr>
          <w:rFonts w:hint="eastAsia" w:ascii="宋体" w:hAnsi="宋体" w:eastAsia="宋体" w:cs="宋体"/>
          <w:highlight w:val="none"/>
        </w:rPr>
        <w:t>开标由代理机构主持，</w:t>
      </w:r>
      <w:r>
        <w:rPr>
          <w:rFonts w:hint="eastAsia" w:ascii="宋体" w:hAnsi="宋体" w:eastAsia="宋体" w:cs="宋体"/>
          <w:highlight w:val="none"/>
          <w:lang w:val="en-US" w:eastAsia="zh-CN"/>
        </w:rPr>
        <w:t>招标</w:t>
      </w:r>
      <w:r>
        <w:rPr>
          <w:rFonts w:hint="eastAsia" w:ascii="宋体" w:hAnsi="宋体" w:eastAsia="宋体" w:cs="宋体"/>
          <w:highlight w:val="none"/>
        </w:rPr>
        <w:t xml:space="preserve">人、投标人（线上）和有关方面代表参加。开标截止时间后投标人不足 3 家的，不进行开标。 </w:t>
      </w:r>
    </w:p>
    <w:p w14:paraId="682A87F4">
      <w:pPr>
        <w:autoSpaceDE w:val="0"/>
        <w:autoSpaceDN w:val="0"/>
        <w:adjustRightInd w:val="0"/>
        <w:spacing w:line="500" w:lineRule="exact"/>
        <w:ind w:right="6" w:firstLine="420" w:firstLineChars="200"/>
        <w:rPr>
          <w:rFonts w:hint="eastAsia" w:ascii="宋体" w:hAnsi="宋体" w:eastAsia="宋体" w:cs="宋体"/>
          <w:highlight w:val="none"/>
        </w:rPr>
      </w:pPr>
      <w:r>
        <w:rPr>
          <w:rFonts w:hint="eastAsia" w:ascii="宋体" w:hAnsi="宋体" w:eastAsia="宋体" w:cs="宋体"/>
          <w:highlight w:val="none"/>
          <w:lang w:val="en-US" w:eastAsia="zh-CN"/>
        </w:rPr>
        <w:t>2</w:t>
      </w:r>
      <w:r>
        <w:rPr>
          <w:rFonts w:hint="eastAsia" w:ascii="宋体" w:hAnsi="宋体" w:cs="宋体"/>
          <w:highlight w:val="none"/>
          <w:lang w:val="en-US" w:eastAsia="zh-CN"/>
        </w:rPr>
        <w:t>7</w:t>
      </w:r>
      <w:r>
        <w:rPr>
          <w:rFonts w:hint="eastAsia" w:ascii="宋体" w:hAnsi="宋体" w:eastAsia="宋体" w:cs="宋体"/>
          <w:highlight w:val="none"/>
          <w:lang w:val="en-US" w:eastAsia="zh-CN"/>
        </w:rPr>
        <w:t xml:space="preserve">.3 </w:t>
      </w:r>
      <w:r>
        <w:rPr>
          <w:rFonts w:hint="eastAsia" w:ascii="宋体" w:hAnsi="宋体" w:eastAsia="宋体" w:cs="宋体"/>
          <w:highlight w:val="none"/>
        </w:rPr>
        <w:t>开标程序</w:t>
      </w:r>
    </w:p>
    <w:p w14:paraId="525246EA">
      <w:pPr>
        <w:autoSpaceDE w:val="0"/>
        <w:autoSpaceDN w:val="0"/>
        <w:adjustRightInd w:val="0"/>
        <w:spacing w:line="500" w:lineRule="exact"/>
        <w:ind w:right="6" w:firstLine="420" w:firstLineChars="200"/>
        <w:rPr>
          <w:rFonts w:hint="eastAsia" w:ascii="宋体" w:hAnsi="宋体" w:eastAsia="宋体" w:cs="宋体"/>
          <w:highlight w:val="none"/>
        </w:rPr>
      </w:pPr>
      <w:r>
        <w:rPr>
          <w:rFonts w:hint="eastAsia" w:ascii="宋体" w:hAnsi="宋体" w:eastAsia="宋体" w:cs="宋体"/>
          <w:highlight w:val="none"/>
          <w:lang w:val="en-US" w:eastAsia="zh-CN"/>
        </w:rPr>
        <w:t>2</w:t>
      </w:r>
      <w:r>
        <w:rPr>
          <w:rFonts w:hint="eastAsia" w:ascii="宋体" w:hAnsi="宋体" w:cs="宋体"/>
          <w:highlight w:val="none"/>
          <w:lang w:val="en-US" w:eastAsia="zh-CN"/>
        </w:rPr>
        <w:t>7</w:t>
      </w:r>
      <w:r>
        <w:rPr>
          <w:rFonts w:hint="eastAsia" w:ascii="宋体" w:hAnsi="宋体" w:eastAsia="宋体" w:cs="宋体"/>
          <w:highlight w:val="none"/>
          <w:lang w:val="en-US" w:eastAsia="zh-CN"/>
        </w:rPr>
        <w:t>.3.</w:t>
      </w:r>
      <w:r>
        <w:rPr>
          <w:rFonts w:hint="eastAsia" w:ascii="宋体" w:hAnsi="宋体" w:eastAsia="宋体" w:cs="宋体"/>
          <w:highlight w:val="none"/>
        </w:rPr>
        <w:t>1</w:t>
      </w:r>
      <w:r>
        <w:rPr>
          <w:rFonts w:hint="eastAsia" w:ascii="宋体" w:hAnsi="宋体" w:eastAsia="宋体" w:cs="宋体"/>
          <w:highlight w:val="none"/>
          <w:lang w:val="en-US" w:eastAsia="zh-CN"/>
        </w:rPr>
        <w:t xml:space="preserve"> </w:t>
      </w:r>
      <w:r>
        <w:rPr>
          <w:rFonts w:hint="eastAsia" w:ascii="宋体" w:hAnsi="宋体" w:eastAsia="宋体" w:cs="宋体"/>
          <w:highlight w:val="none"/>
        </w:rPr>
        <w:t>投标人登录：开标前，请各投标人至少提前半小时登录全国公共资源交易平台（陕西省·</w:t>
      </w:r>
      <w:r>
        <w:rPr>
          <w:rFonts w:hint="eastAsia" w:ascii="宋体" w:hAnsi="宋体" w:cs="宋体"/>
          <w:b w:val="0"/>
          <w:bCs w:val="0"/>
          <w:color w:val="auto"/>
          <w:szCs w:val="21"/>
          <w:highlight w:val="none"/>
          <w:lang w:val="en-US" w:eastAsia="zh-CN"/>
        </w:rPr>
        <w:t>安康市</w:t>
      </w:r>
      <w:r>
        <w:rPr>
          <w:rFonts w:hint="eastAsia" w:ascii="宋体" w:hAnsi="宋体" w:eastAsia="宋体" w:cs="宋体"/>
          <w:highlight w:val="none"/>
        </w:rPr>
        <w:t>）〖首页·〉不见面开标〗系统。</w:t>
      </w:r>
    </w:p>
    <w:p w14:paraId="4ECE0D70">
      <w:pPr>
        <w:autoSpaceDE w:val="0"/>
        <w:autoSpaceDN w:val="0"/>
        <w:adjustRightInd w:val="0"/>
        <w:spacing w:line="500" w:lineRule="exact"/>
        <w:ind w:right="6" w:firstLine="420" w:firstLineChars="200"/>
        <w:rPr>
          <w:rFonts w:hint="eastAsia" w:ascii="宋体" w:hAnsi="宋体" w:eastAsia="宋体" w:cs="宋体"/>
          <w:highlight w:val="none"/>
        </w:rPr>
      </w:pPr>
      <w:r>
        <w:rPr>
          <w:rFonts w:hint="eastAsia" w:ascii="宋体" w:hAnsi="宋体" w:eastAsia="宋体" w:cs="宋体"/>
          <w:highlight w:val="none"/>
          <w:lang w:val="en-US" w:eastAsia="zh-CN"/>
        </w:rPr>
        <w:t>2</w:t>
      </w:r>
      <w:r>
        <w:rPr>
          <w:rFonts w:hint="eastAsia" w:ascii="宋体" w:hAnsi="宋体" w:cs="宋体"/>
          <w:highlight w:val="none"/>
          <w:lang w:val="en-US" w:eastAsia="zh-CN"/>
        </w:rPr>
        <w:t>7</w:t>
      </w:r>
      <w:r>
        <w:rPr>
          <w:rFonts w:hint="eastAsia" w:ascii="宋体" w:hAnsi="宋体" w:eastAsia="宋体" w:cs="宋体"/>
          <w:highlight w:val="none"/>
          <w:lang w:val="en-US" w:eastAsia="zh-CN"/>
        </w:rPr>
        <w:t xml:space="preserve">.3.2 </w:t>
      </w:r>
      <w:r>
        <w:rPr>
          <w:rFonts w:hint="eastAsia" w:ascii="宋体" w:hAnsi="宋体" w:eastAsia="宋体" w:cs="宋体"/>
          <w:highlight w:val="none"/>
        </w:rPr>
        <w:t>主持人宣布开标：提交投标文件截止时间过后，系统将不再接收任何投标文件。</w:t>
      </w:r>
    </w:p>
    <w:p w14:paraId="42E47454">
      <w:pPr>
        <w:autoSpaceDE w:val="0"/>
        <w:autoSpaceDN w:val="0"/>
        <w:adjustRightInd w:val="0"/>
        <w:spacing w:line="500" w:lineRule="exact"/>
        <w:ind w:right="6" w:firstLine="420" w:firstLineChars="200"/>
        <w:rPr>
          <w:rFonts w:hint="eastAsia" w:ascii="宋体" w:hAnsi="宋体" w:eastAsia="宋体" w:cs="宋体"/>
          <w:highlight w:val="none"/>
        </w:rPr>
      </w:pPr>
      <w:r>
        <w:rPr>
          <w:rFonts w:hint="eastAsia" w:ascii="宋体" w:hAnsi="宋体" w:eastAsia="宋体" w:cs="宋体"/>
          <w:highlight w:val="none"/>
          <w:lang w:val="en-US" w:eastAsia="zh-CN"/>
        </w:rPr>
        <w:t>2</w:t>
      </w:r>
      <w:r>
        <w:rPr>
          <w:rFonts w:hint="eastAsia" w:ascii="宋体" w:hAnsi="宋体" w:cs="宋体"/>
          <w:highlight w:val="none"/>
          <w:lang w:val="en-US" w:eastAsia="zh-CN"/>
        </w:rPr>
        <w:t>7</w:t>
      </w:r>
      <w:r>
        <w:rPr>
          <w:rFonts w:hint="eastAsia" w:ascii="宋体" w:hAnsi="宋体" w:eastAsia="宋体" w:cs="宋体"/>
          <w:highlight w:val="none"/>
          <w:lang w:val="en-US" w:eastAsia="zh-CN"/>
        </w:rPr>
        <w:t xml:space="preserve">.3.3 </w:t>
      </w:r>
      <w:r>
        <w:rPr>
          <w:rFonts w:hint="eastAsia" w:ascii="宋体" w:hAnsi="宋体" w:eastAsia="宋体" w:cs="宋体"/>
          <w:highlight w:val="none"/>
        </w:rPr>
        <w:t>解密投标文件：投标人在收到主持人“开始解密”指令后，应使用“加密该投标文件的 CA 锁（必须是同一把锁）”在线完成投标文件解密。除因【</w:t>
      </w:r>
      <w:r>
        <w:rPr>
          <w:rFonts w:hint="eastAsia" w:ascii="宋体" w:hAnsi="宋体" w:cs="宋体"/>
          <w:b w:val="0"/>
          <w:bCs w:val="0"/>
          <w:color w:val="auto"/>
          <w:szCs w:val="21"/>
          <w:highlight w:val="none"/>
          <w:lang w:val="en-US" w:eastAsia="zh-CN"/>
        </w:rPr>
        <w:t>安康市</w:t>
      </w:r>
      <w:r>
        <w:rPr>
          <w:rFonts w:hint="eastAsia" w:ascii="宋体" w:hAnsi="宋体" w:eastAsia="宋体" w:cs="宋体"/>
          <w:highlight w:val="none"/>
        </w:rPr>
        <w:t xml:space="preserve">公共资源交易中心】断电、断网、系统故障及其他不可抗力等因素，导致“不见面开标”系统无法正常运行外，投标人应在规定的解密时间内完成解密。 </w:t>
      </w:r>
    </w:p>
    <w:p w14:paraId="11132782">
      <w:pPr>
        <w:autoSpaceDE w:val="0"/>
        <w:autoSpaceDN w:val="0"/>
        <w:adjustRightInd w:val="0"/>
        <w:spacing w:line="500" w:lineRule="exact"/>
        <w:ind w:right="6" w:firstLine="420" w:firstLineChars="200"/>
        <w:rPr>
          <w:rFonts w:hint="eastAsia" w:ascii="宋体" w:hAnsi="宋体" w:eastAsia="宋体" w:cs="宋体"/>
          <w:highlight w:val="none"/>
        </w:rPr>
      </w:pPr>
      <w:r>
        <w:rPr>
          <w:rFonts w:hint="eastAsia" w:ascii="宋体" w:hAnsi="宋体" w:eastAsia="宋体" w:cs="宋体"/>
          <w:highlight w:val="none"/>
          <w:lang w:val="en-US" w:eastAsia="zh-CN"/>
        </w:rPr>
        <w:t>2</w:t>
      </w:r>
      <w:r>
        <w:rPr>
          <w:rFonts w:hint="eastAsia" w:ascii="宋体" w:hAnsi="宋体" w:cs="宋体"/>
          <w:highlight w:val="none"/>
          <w:lang w:val="en-US" w:eastAsia="zh-CN"/>
        </w:rPr>
        <w:t>7</w:t>
      </w:r>
      <w:r>
        <w:rPr>
          <w:rFonts w:hint="eastAsia" w:ascii="宋体" w:hAnsi="宋体" w:eastAsia="宋体" w:cs="宋体"/>
          <w:highlight w:val="none"/>
          <w:lang w:val="en-US" w:eastAsia="zh-CN"/>
        </w:rPr>
        <w:t xml:space="preserve">.3.4 </w:t>
      </w:r>
      <w:r>
        <w:rPr>
          <w:rFonts w:hint="eastAsia" w:ascii="宋体" w:hAnsi="宋体" w:eastAsia="宋体" w:cs="宋体"/>
          <w:highlight w:val="none"/>
        </w:rPr>
        <w:t>唱标：对于公开招标项目，“不见面开标”系统将自动展示</w:t>
      </w:r>
      <w:r>
        <w:rPr>
          <w:rFonts w:hint="eastAsia" w:ascii="宋体" w:hAnsi="宋体" w:eastAsia="宋体" w:cs="宋体"/>
          <w:highlight w:val="none"/>
          <w:lang w:val="en-US" w:eastAsia="zh-CN"/>
        </w:rPr>
        <w:t>投标人</w:t>
      </w:r>
      <w:r>
        <w:rPr>
          <w:rFonts w:hint="eastAsia" w:ascii="宋体" w:hAnsi="宋体" w:eastAsia="宋体" w:cs="宋体"/>
          <w:highlight w:val="none"/>
        </w:rPr>
        <w:t xml:space="preserve">名单及其投标报价。 </w:t>
      </w:r>
    </w:p>
    <w:p w14:paraId="03393DE1">
      <w:pPr>
        <w:autoSpaceDE w:val="0"/>
        <w:autoSpaceDN w:val="0"/>
        <w:adjustRightInd w:val="0"/>
        <w:spacing w:line="500" w:lineRule="exact"/>
        <w:ind w:right="6" w:firstLine="420" w:firstLineChars="200"/>
        <w:rPr>
          <w:rFonts w:hint="eastAsia" w:ascii="宋体" w:hAnsi="宋体" w:eastAsia="宋体" w:cs="宋体"/>
          <w:highlight w:val="none"/>
          <w:lang w:val="en-US" w:eastAsia="zh-CN"/>
        </w:rPr>
      </w:pPr>
      <w:r>
        <w:rPr>
          <w:rFonts w:hint="eastAsia" w:ascii="宋体" w:hAnsi="宋体" w:eastAsia="宋体" w:cs="宋体"/>
          <w:highlight w:val="none"/>
          <w:lang w:val="en-US" w:eastAsia="zh-CN"/>
        </w:rPr>
        <w:t>2</w:t>
      </w:r>
      <w:r>
        <w:rPr>
          <w:rFonts w:hint="eastAsia" w:ascii="宋体" w:hAnsi="宋体" w:cs="宋体"/>
          <w:highlight w:val="none"/>
          <w:lang w:val="en-US" w:eastAsia="zh-CN"/>
        </w:rPr>
        <w:t>7</w:t>
      </w:r>
      <w:r>
        <w:rPr>
          <w:rFonts w:hint="eastAsia" w:ascii="宋体" w:hAnsi="宋体" w:eastAsia="宋体" w:cs="宋体"/>
          <w:highlight w:val="none"/>
          <w:lang w:val="en-US" w:eastAsia="zh-CN"/>
        </w:rPr>
        <w:t xml:space="preserve">.3.5 </w:t>
      </w:r>
      <w:r>
        <w:rPr>
          <w:rFonts w:hint="eastAsia" w:ascii="宋体" w:hAnsi="宋体" w:eastAsia="宋体" w:cs="宋体"/>
          <w:highlight w:val="none"/>
        </w:rPr>
        <w:t>开标结束：进入评审环节。</w:t>
      </w:r>
      <w:r>
        <w:rPr>
          <w:rFonts w:hint="eastAsia" w:ascii="宋体" w:hAnsi="宋体" w:eastAsia="宋体" w:cs="宋体"/>
          <w:highlight w:val="none"/>
          <w:lang w:val="en-US" w:eastAsia="zh-CN"/>
        </w:rPr>
        <w:t>投标人</w:t>
      </w:r>
      <w:r>
        <w:rPr>
          <w:rFonts w:hint="eastAsia" w:ascii="宋体" w:hAnsi="宋体" w:eastAsia="宋体" w:cs="宋体"/>
          <w:highlight w:val="none"/>
        </w:rPr>
        <w:t>请保持在线，评审期间评标委员会可能会要求</w:t>
      </w:r>
      <w:r>
        <w:rPr>
          <w:rFonts w:hint="eastAsia" w:ascii="宋体" w:hAnsi="宋体" w:eastAsia="宋体" w:cs="宋体"/>
          <w:highlight w:val="none"/>
          <w:lang w:val="en-US" w:eastAsia="zh-CN"/>
        </w:rPr>
        <w:t>投标人</w:t>
      </w:r>
      <w:r>
        <w:rPr>
          <w:rFonts w:hint="eastAsia" w:ascii="宋体" w:hAnsi="宋体" w:eastAsia="宋体" w:cs="宋体"/>
          <w:highlight w:val="none"/>
        </w:rPr>
        <w:t>做相</w:t>
      </w:r>
      <w:r>
        <w:rPr>
          <w:rFonts w:hint="eastAsia" w:ascii="宋体" w:hAnsi="宋体" w:eastAsia="宋体" w:cs="宋体"/>
          <w:highlight w:val="none"/>
          <w:lang w:val="en-US" w:eastAsia="zh-CN"/>
        </w:rPr>
        <w:t>应的澄清。因</w:t>
      </w:r>
      <w:r>
        <w:rPr>
          <w:rFonts w:hint="eastAsia" w:ascii="宋体" w:hAnsi="宋体" w:cs="宋体"/>
          <w:highlight w:val="none"/>
          <w:lang w:val="en-US" w:eastAsia="zh-CN"/>
        </w:rPr>
        <w:t>投标人</w:t>
      </w:r>
      <w:r>
        <w:rPr>
          <w:rFonts w:hint="eastAsia" w:ascii="宋体" w:hAnsi="宋体" w:eastAsia="宋体" w:cs="宋体"/>
          <w:highlight w:val="none"/>
          <w:lang w:val="en-US" w:eastAsia="zh-CN"/>
        </w:rPr>
        <w:t>擅自离席造成的不利后果，由投标人自行承担。</w:t>
      </w:r>
    </w:p>
    <w:p w14:paraId="3C09C496">
      <w:pPr>
        <w:autoSpaceDE w:val="0"/>
        <w:autoSpaceDN w:val="0"/>
        <w:adjustRightInd w:val="0"/>
        <w:spacing w:line="500" w:lineRule="exact"/>
        <w:ind w:right="6" w:firstLine="420" w:firstLineChars="200"/>
        <w:rPr>
          <w:rFonts w:hint="eastAsia" w:ascii="宋体" w:hAnsi="宋体" w:eastAsia="宋体" w:cs="宋体"/>
          <w:highlight w:val="none"/>
          <w:lang w:val="en-US" w:eastAsia="zh-CN"/>
        </w:rPr>
      </w:pPr>
      <w:r>
        <w:rPr>
          <w:rFonts w:hint="eastAsia" w:ascii="宋体" w:hAnsi="宋体" w:eastAsia="宋体" w:cs="宋体"/>
          <w:highlight w:val="none"/>
          <w:lang w:val="en-US" w:eastAsia="zh-CN"/>
        </w:rPr>
        <w:t>“不见面开标”系统操作说明：详见全国公共资源交易平台（陕西省·</w:t>
      </w:r>
      <w:r>
        <w:rPr>
          <w:rFonts w:hint="eastAsia" w:ascii="宋体" w:hAnsi="宋体" w:cs="宋体"/>
          <w:b w:val="0"/>
          <w:bCs w:val="0"/>
          <w:color w:val="auto"/>
          <w:szCs w:val="21"/>
          <w:highlight w:val="none"/>
          <w:lang w:val="en-US" w:eastAsia="zh-CN"/>
        </w:rPr>
        <w:t>安康市</w:t>
      </w:r>
      <w:r>
        <w:rPr>
          <w:rFonts w:hint="eastAsia" w:ascii="宋体" w:hAnsi="宋体" w:eastAsia="宋体" w:cs="宋体"/>
          <w:highlight w:val="none"/>
          <w:lang w:val="en-US" w:eastAsia="zh-CN"/>
        </w:rPr>
        <w:t>）〖首页·〉服务指南·〉下载专区〗中的《政府采购不见面开标大厅</w:t>
      </w:r>
      <w:r>
        <w:rPr>
          <w:rFonts w:hint="eastAsia" w:ascii="宋体" w:hAnsi="宋体" w:cs="宋体"/>
          <w:highlight w:val="none"/>
          <w:lang w:val="en-US" w:eastAsia="zh-CN"/>
        </w:rPr>
        <w:t>投标人</w:t>
      </w:r>
      <w:r>
        <w:rPr>
          <w:rFonts w:hint="eastAsia" w:ascii="宋体" w:hAnsi="宋体" w:eastAsia="宋体" w:cs="宋体"/>
          <w:highlight w:val="none"/>
          <w:lang w:val="en-US" w:eastAsia="zh-CN"/>
        </w:rPr>
        <w:t>操作手册》。</w:t>
      </w:r>
    </w:p>
    <w:p w14:paraId="73887361">
      <w:pPr>
        <w:autoSpaceDE w:val="0"/>
        <w:autoSpaceDN w:val="0"/>
        <w:adjustRightInd w:val="0"/>
        <w:spacing w:line="500" w:lineRule="exact"/>
        <w:ind w:right="6" w:firstLine="420" w:firstLineChars="200"/>
        <w:rPr>
          <w:rFonts w:hint="eastAsia" w:ascii="宋体" w:hAnsi="宋体" w:eastAsia="宋体" w:cs="宋体"/>
          <w:highlight w:val="none"/>
        </w:rPr>
      </w:pPr>
      <w:r>
        <w:rPr>
          <w:rFonts w:hint="eastAsia" w:ascii="宋体" w:hAnsi="宋体" w:eastAsia="宋体" w:cs="宋体"/>
          <w:highlight w:val="none"/>
        </w:rPr>
        <w:t xml:space="preserve">未按规定程序操作导致的一切后果由投标人自行承担。 </w:t>
      </w:r>
    </w:p>
    <w:p w14:paraId="77E7BCF8">
      <w:pPr>
        <w:autoSpaceDE w:val="0"/>
        <w:autoSpaceDN w:val="0"/>
        <w:adjustRightInd w:val="0"/>
        <w:spacing w:line="500" w:lineRule="exact"/>
        <w:ind w:right="6" w:firstLine="420" w:firstLineChars="200"/>
        <w:rPr>
          <w:rFonts w:hint="eastAsia" w:ascii="宋体" w:hAnsi="宋体" w:eastAsia="宋体" w:cs="宋体"/>
          <w:highlight w:val="none"/>
        </w:rPr>
      </w:pPr>
      <w:r>
        <w:rPr>
          <w:rFonts w:hint="eastAsia" w:ascii="宋体" w:hAnsi="宋体" w:eastAsia="宋体" w:cs="宋体"/>
          <w:highlight w:val="none"/>
          <w:lang w:val="en-US" w:eastAsia="zh-CN"/>
        </w:rPr>
        <w:t>2</w:t>
      </w:r>
      <w:r>
        <w:rPr>
          <w:rFonts w:hint="eastAsia" w:ascii="宋体" w:hAnsi="宋体" w:cs="宋体"/>
          <w:highlight w:val="none"/>
          <w:lang w:val="en-US" w:eastAsia="zh-CN"/>
        </w:rPr>
        <w:t>7</w:t>
      </w:r>
      <w:r>
        <w:rPr>
          <w:rFonts w:hint="eastAsia" w:ascii="宋体" w:hAnsi="宋体" w:eastAsia="宋体" w:cs="宋体"/>
          <w:highlight w:val="none"/>
          <w:lang w:val="en-US" w:eastAsia="zh-CN"/>
        </w:rPr>
        <w:t xml:space="preserve">.3.6 </w:t>
      </w:r>
      <w:r>
        <w:rPr>
          <w:rFonts w:hint="eastAsia" w:ascii="宋体" w:hAnsi="宋体" w:eastAsia="宋体" w:cs="宋体"/>
          <w:highlight w:val="none"/>
        </w:rPr>
        <w:t>投标人代表对开标过程和开标记录有疑义，以及认为</w:t>
      </w:r>
      <w:r>
        <w:rPr>
          <w:rFonts w:hint="eastAsia" w:ascii="宋体" w:hAnsi="宋体" w:eastAsia="宋体" w:cs="宋体"/>
          <w:highlight w:val="none"/>
          <w:lang w:val="en-US" w:eastAsia="zh-CN"/>
        </w:rPr>
        <w:t>招标</w:t>
      </w:r>
      <w:r>
        <w:rPr>
          <w:rFonts w:hint="eastAsia" w:ascii="宋体" w:hAnsi="宋体" w:eastAsia="宋体" w:cs="宋体"/>
          <w:highlight w:val="none"/>
        </w:rPr>
        <w:t>人、代理机构相关工作人员有需要回避的情形的，应当场提出询问或者回避申请。代理机构对投标人代表提出的询问或者回避申请应当及时处理。</w:t>
      </w:r>
    </w:p>
    <w:p w14:paraId="5C716355">
      <w:pPr>
        <w:autoSpaceDE w:val="0"/>
        <w:autoSpaceDN w:val="0"/>
        <w:adjustRightInd w:val="0"/>
        <w:spacing w:line="500" w:lineRule="exact"/>
        <w:ind w:right="6" w:firstLine="420" w:firstLineChars="200"/>
        <w:rPr>
          <w:rFonts w:hint="eastAsia" w:ascii="宋体" w:hAnsi="宋体" w:eastAsia="宋体" w:cs="宋体"/>
          <w:highlight w:val="none"/>
        </w:rPr>
      </w:pPr>
      <w:r>
        <w:rPr>
          <w:rFonts w:hint="eastAsia" w:ascii="宋体" w:hAnsi="宋体" w:eastAsia="宋体" w:cs="宋体"/>
          <w:highlight w:val="none"/>
          <w:lang w:val="en-US" w:eastAsia="zh-CN"/>
        </w:rPr>
        <w:t>2</w:t>
      </w:r>
      <w:r>
        <w:rPr>
          <w:rFonts w:hint="eastAsia" w:ascii="宋体" w:hAnsi="宋体" w:cs="宋体"/>
          <w:highlight w:val="none"/>
          <w:lang w:val="en-US" w:eastAsia="zh-CN"/>
        </w:rPr>
        <w:t>7</w:t>
      </w:r>
      <w:r>
        <w:rPr>
          <w:rFonts w:hint="eastAsia" w:ascii="宋体" w:hAnsi="宋体" w:eastAsia="宋体" w:cs="宋体"/>
          <w:highlight w:val="none"/>
          <w:lang w:val="en-US" w:eastAsia="zh-CN"/>
        </w:rPr>
        <w:t xml:space="preserve">.3.7 </w:t>
      </w:r>
      <w:r>
        <w:rPr>
          <w:rFonts w:hint="eastAsia" w:ascii="宋体" w:hAnsi="宋体" w:eastAsia="宋体" w:cs="宋体"/>
          <w:highlight w:val="none"/>
        </w:rPr>
        <w:t xml:space="preserve">各投标人需实时在线观看音视频直播并及时互动，未按时加入系统或未在线参与互动的，视为放弃标书解密和对开评标全过程质疑、澄清、答辩的权利，并承担由此产生的响应后果。 </w:t>
      </w:r>
    </w:p>
    <w:p w14:paraId="6FA73EF0">
      <w:pPr>
        <w:autoSpaceDE w:val="0"/>
        <w:autoSpaceDN w:val="0"/>
        <w:adjustRightInd w:val="0"/>
        <w:spacing w:line="500" w:lineRule="exact"/>
        <w:ind w:right="6" w:firstLine="420" w:firstLineChars="200"/>
        <w:rPr>
          <w:rFonts w:hint="eastAsia" w:ascii="宋体" w:hAnsi="宋体" w:eastAsia="宋体" w:cs="宋体"/>
          <w:highlight w:val="none"/>
        </w:rPr>
      </w:pPr>
      <w:r>
        <w:rPr>
          <w:rFonts w:hint="eastAsia" w:ascii="宋体" w:hAnsi="宋体" w:eastAsia="宋体" w:cs="宋体"/>
          <w:highlight w:val="none"/>
          <w:lang w:val="en-US" w:eastAsia="zh-CN"/>
        </w:rPr>
        <w:t>2</w:t>
      </w:r>
      <w:r>
        <w:rPr>
          <w:rFonts w:hint="eastAsia" w:ascii="宋体" w:hAnsi="宋体" w:cs="宋体"/>
          <w:highlight w:val="none"/>
          <w:lang w:val="en-US" w:eastAsia="zh-CN"/>
        </w:rPr>
        <w:t>7</w:t>
      </w:r>
      <w:r>
        <w:rPr>
          <w:rFonts w:hint="eastAsia" w:ascii="宋体" w:hAnsi="宋体" w:eastAsia="宋体" w:cs="宋体"/>
          <w:highlight w:val="none"/>
          <w:lang w:val="en-US" w:eastAsia="zh-CN"/>
        </w:rPr>
        <w:t xml:space="preserve">.3.8 </w:t>
      </w:r>
      <w:r>
        <w:rPr>
          <w:rFonts w:hint="eastAsia" w:ascii="宋体" w:hAnsi="宋体" w:eastAsia="宋体" w:cs="宋体"/>
          <w:highlight w:val="none"/>
        </w:rPr>
        <w:t>注意事项</w:t>
      </w:r>
    </w:p>
    <w:p w14:paraId="07EEC9D4">
      <w:pPr>
        <w:autoSpaceDE w:val="0"/>
        <w:autoSpaceDN w:val="0"/>
        <w:adjustRightInd w:val="0"/>
        <w:spacing w:line="500" w:lineRule="exact"/>
        <w:ind w:right="6" w:firstLine="420" w:firstLineChars="200"/>
        <w:rPr>
          <w:rFonts w:hint="eastAsia" w:ascii="宋体" w:hAnsi="宋体" w:eastAsia="宋体" w:cs="宋体"/>
          <w:highlight w:val="none"/>
          <w:lang w:eastAsia="zh-CN"/>
        </w:rPr>
      </w:pPr>
      <w:r>
        <w:rPr>
          <w:rFonts w:hint="eastAsia" w:ascii="宋体" w:hAnsi="宋体" w:eastAsia="宋体" w:cs="宋体"/>
          <w:highlight w:val="none"/>
        </w:rPr>
        <w:t>1、投标人参与不见面开标的电脑应安装有清晰可用的摄像头、音响和麦克风设备</w:t>
      </w:r>
      <w:r>
        <w:rPr>
          <w:rFonts w:hint="eastAsia" w:ascii="宋体" w:hAnsi="宋体" w:eastAsia="宋体" w:cs="宋体"/>
          <w:highlight w:val="none"/>
          <w:lang w:eastAsia="zh-CN"/>
        </w:rPr>
        <w:t>；</w:t>
      </w:r>
    </w:p>
    <w:p w14:paraId="4AF73009">
      <w:pPr>
        <w:autoSpaceDE w:val="0"/>
        <w:autoSpaceDN w:val="0"/>
        <w:adjustRightInd w:val="0"/>
        <w:spacing w:line="500" w:lineRule="exact"/>
        <w:ind w:right="6" w:firstLine="420" w:firstLineChars="200"/>
        <w:rPr>
          <w:rFonts w:hint="eastAsia" w:ascii="宋体" w:hAnsi="宋体" w:eastAsia="宋体" w:cs="宋体"/>
          <w:highlight w:val="none"/>
        </w:rPr>
      </w:pPr>
      <w:r>
        <w:rPr>
          <w:rFonts w:hint="eastAsia" w:ascii="宋体" w:hAnsi="宋体" w:eastAsia="宋体" w:cs="宋体"/>
          <w:highlight w:val="none"/>
        </w:rPr>
        <w:t>2、投标人参与不见面开标的电脑须安装正确驱动，可在不见面开标系统登录界面的驱动下载页面进行下载及后续安装。</w:t>
      </w:r>
    </w:p>
    <w:p w14:paraId="6301333F">
      <w:pPr>
        <w:autoSpaceDE w:val="0"/>
        <w:autoSpaceDN w:val="0"/>
        <w:adjustRightInd w:val="0"/>
        <w:spacing w:line="500" w:lineRule="exact"/>
        <w:ind w:right="6" w:firstLine="420" w:firstLineChars="200"/>
        <w:rPr>
          <w:rFonts w:hint="eastAsia" w:ascii="宋体" w:hAnsi="宋体" w:eastAsia="宋体" w:cs="宋体"/>
          <w:highlight w:val="none"/>
          <w:lang w:eastAsia="zh-CN"/>
        </w:rPr>
      </w:pPr>
      <w:r>
        <w:rPr>
          <w:rFonts w:hint="eastAsia" w:ascii="宋体" w:hAnsi="宋体" w:eastAsia="宋体" w:cs="宋体"/>
          <w:highlight w:val="none"/>
        </w:rPr>
        <w:t>3、为更好实时查看不见面开标室现场，推荐使用 50M 及以上网络宽带</w:t>
      </w:r>
      <w:r>
        <w:rPr>
          <w:rFonts w:hint="eastAsia" w:ascii="宋体" w:hAnsi="宋体" w:eastAsia="宋体" w:cs="宋体"/>
          <w:highlight w:val="none"/>
          <w:lang w:eastAsia="zh-CN"/>
        </w:rPr>
        <w:t>。</w:t>
      </w:r>
    </w:p>
    <w:p w14:paraId="18C83527">
      <w:pPr>
        <w:autoSpaceDE w:val="0"/>
        <w:autoSpaceDN w:val="0"/>
        <w:adjustRightInd w:val="0"/>
        <w:spacing w:line="500" w:lineRule="exact"/>
        <w:ind w:right="6" w:firstLine="420" w:firstLineChars="200"/>
        <w:rPr>
          <w:rFonts w:hint="eastAsia"/>
          <w:highlight w:val="none"/>
        </w:rPr>
      </w:pPr>
      <w:r>
        <w:rPr>
          <w:rFonts w:hint="eastAsia" w:ascii="宋体" w:hAnsi="宋体" w:eastAsia="宋体" w:cs="宋体"/>
          <w:highlight w:val="none"/>
        </w:rPr>
        <w:t>4.开标、评标过程中，参与远程互动的各投标人应为同一个人，投标人一端参与互动的人员只能是投标人的法定代表人或授权代表。</w:t>
      </w:r>
    </w:p>
    <w:p w14:paraId="410316CF">
      <w:pPr>
        <w:numPr>
          <w:ilvl w:val="0"/>
          <w:numId w:val="0"/>
        </w:numPr>
        <w:spacing w:before="240" w:after="120"/>
        <w:jc w:val="center"/>
        <w:outlineLvl w:val="2"/>
        <w:rPr>
          <w:rFonts w:hint="eastAsia" w:ascii="宋体" w:hAnsi="宋体" w:eastAsia="宋体" w:cs="宋体"/>
          <w:b/>
          <w:bCs/>
          <w:kern w:val="0"/>
          <w:sz w:val="24"/>
          <w:highlight w:val="none"/>
          <w:lang w:val="en-US" w:eastAsia="zh-CN"/>
        </w:rPr>
      </w:pPr>
      <w:r>
        <w:rPr>
          <w:rFonts w:hint="eastAsia" w:ascii="宋体" w:hAnsi="宋体" w:cs="宋体"/>
          <w:b/>
          <w:bCs/>
          <w:sz w:val="28"/>
          <w:highlight w:val="none"/>
        </w:rPr>
        <w:t>六、评标</w:t>
      </w:r>
    </w:p>
    <w:p w14:paraId="26BB1C97">
      <w:pPr>
        <w:spacing w:before="240" w:after="120"/>
        <w:jc w:val="left"/>
        <w:outlineLvl w:val="2"/>
        <w:rPr>
          <w:rFonts w:hint="eastAsia" w:ascii="宋体" w:hAnsi="宋体" w:eastAsia="宋体" w:cs="宋体"/>
          <w:b/>
          <w:bCs/>
          <w:kern w:val="0"/>
          <w:sz w:val="24"/>
          <w:highlight w:val="none"/>
          <w:lang w:val="en-US" w:eastAsia="zh-CN"/>
        </w:rPr>
      </w:pPr>
      <w:r>
        <w:rPr>
          <w:rFonts w:hint="eastAsia" w:ascii="宋体" w:hAnsi="宋体" w:eastAsia="宋体" w:cs="宋体"/>
          <w:b/>
          <w:bCs/>
          <w:kern w:val="0"/>
          <w:sz w:val="24"/>
          <w:highlight w:val="none"/>
          <w:lang w:val="en-US" w:eastAsia="zh-CN"/>
        </w:rPr>
        <w:t>2</w:t>
      </w:r>
      <w:r>
        <w:rPr>
          <w:rFonts w:hint="eastAsia" w:ascii="宋体" w:hAnsi="宋体" w:cs="宋体"/>
          <w:b/>
          <w:bCs/>
          <w:kern w:val="0"/>
          <w:sz w:val="24"/>
          <w:highlight w:val="none"/>
          <w:lang w:val="en-US" w:eastAsia="zh-CN"/>
        </w:rPr>
        <w:t>8</w:t>
      </w:r>
      <w:r>
        <w:rPr>
          <w:rFonts w:hint="eastAsia" w:ascii="宋体" w:hAnsi="宋体" w:eastAsia="宋体" w:cs="宋体"/>
          <w:b/>
          <w:bCs/>
          <w:kern w:val="0"/>
          <w:sz w:val="24"/>
          <w:highlight w:val="none"/>
          <w:lang w:val="en-US" w:eastAsia="zh-CN"/>
        </w:rPr>
        <w:t>、评标委员会</w:t>
      </w:r>
    </w:p>
    <w:p w14:paraId="23D2B737">
      <w:pPr>
        <w:autoSpaceDE w:val="0"/>
        <w:autoSpaceDN w:val="0"/>
        <w:adjustRightInd w:val="0"/>
        <w:spacing w:line="500" w:lineRule="exact"/>
        <w:ind w:right="6" w:firstLine="420" w:firstLineChars="200"/>
        <w:rPr>
          <w:rFonts w:hint="eastAsia" w:ascii="宋体" w:hAnsi="宋体" w:eastAsia="宋体" w:cs="宋体"/>
          <w:highlight w:val="none"/>
        </w:rPr>
      </w:pPr>
      <w:r>
        <w:rPr>
          <w:rFonts w:hint="eastAsia" w:ascii="宋体" w:hAnsi="宋体" w:eastAsia="宋体" w:cs="宋体"/>
          <w:highlight w:val="none"/>
          <w:lang w:val="en-US" w:eastAsia="zh-CN"/>
        </w:rPr>
        <w:t>28</w:t>
      </w:r>
      <w:r>
        <w:rPr>
          <w:rFonts w:hint="eastAsia" w:ascii="宋体" w:hAnsi="宋体" w:eastAsia="宋体" w:cs="宋体"/>
          <w:highlight w:val="none"/>
        </w:rPr>
        <w:t>.1 评标由依法组建的评标委员会进行。</w:t>
      </w:r>
    </w:p>
    <w:p w14:paraId="68B459AB">
      <w:pPr>
        <w:autoSpaceDE w:val="0"/>
        <w:autoSpaceDN w:val="0"/>
        <w:adjustRightInd w:val="0"/>
        <w:spacing w:line="500" w:lineRule="exact"/>
        <w:ind w:right="6" w:firstLine="420" w:firstLineChars="200"/>
        <w:rPr>
          <w:rFonts w:hint="eastAsia" w:ascii="宋体" w:hAnsi="宋体" w:eastAsia="宋体" w:cs="宋体"/>
          <w:highlight w:val="none"/>
        </w:rPr>
      </w:pPr>
      <w:r>
        <w:rPr>
          <w:rFonts w:hint="eastAsia" w:ascii="宋体" w:hAnsi="宋体" w:eastAsia="宋体" w:cs="宋体"/>
          <w:highlight w:val="none"/>
          <w:lang w:val="en-US" w:eastAsia="zh-CN"/>
        </w:rPr>
        <w:t>28</w:t>
      </w:r>
      <w:r>
        <w:rPr>
          <w:rFonts w:hint="eastAsia" w:ascii="宋体" w:hAnsi="宋体" w:eastAsia="宋体" w:cs="宋体"/>
          <w:highlight w:val="none"/>
        </w:rPr>
        <w:t>.2 评标期间，任何单位和个人不得非法干预或影响评标的过程和结果。</w:t>
      </w:r>
    </w:p>
    <w:p w14:paraId="4F0381F9">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420" w:firstLineChars="0"/>
        <w:jc w:val="both"/>
        <w:textAlignment w:val="auto"/>
        <w:outlineLvl w:val="9"/>
        <w:rPr>
          <w:rFonts w:hint="eastAsia" w:ascii="宋体" w:hAnsi="宋体" w:eastAsia="宋体" w:cs="宋体"/>
          <w:highlight w:val="none"/>
          <w:lang w:eastAsia="zh-CN"/>
        </w:rPr>
      </w:pPr>
      <w:r>
        <w:rPr>
          <w:rFonts w:hint="eastAsia" w:ascii="宋体" w:hAnsi="宋体" w:eastAsia="宋体" w:cs="宋体"/>
          <w:highlight w:val="none"/>
          <w:lang w:val="en-US" w:eastAsia="zh-CN"/>
        </w:rPr>
        <w:t>28</w:t>
      </w:r>
      <w:r>
        <w:rPr>
          <w:rFonts w:hint="eastAsia" w:ascii="宋体" w:hAnsi="宋体" w:eastAsia="宋体" w:cs="宋体"/>
          <w:highlight w:val="none"/>
        </w:rPr>
        <w:t>.3 评标委员会成员名单在中标结果确定前保密。</w:t>
      </w:r>
    </w:p>
    <w:p w14:paraId="4117CFE0">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420" w:firstLineChars="0"/>
        <w:jc w:val="both"/>
        <w:textAlignment w:val="auto"/>
        <w:outlineLvl w:val="9"/>
        <w:rPr>
          <w:rFonts w:hint="eastAsia" w:ascii="宋体" w:hAnsi="宋体" w:eastAsia="宋体" w:cs="宋体"/>
          <w:highlight w:val="none"/>
        </w:rPr>
      </w:pPr>
      <w:r>
        <w:rPr>
          <w:rFonts w:hint="eastAsia" w:ascii="宋体" w:hAnsi="宋体" w:eastAsia="宋体" w:cs="宋体"/>
          <w:highlight w:val="none"/>
          <w:lang w:val="en-US" w:eastAsia="zh-CN"/>
        </w:rPr>
        <w:t xml:space="preserve">28.4 </w:t>
      </w:r>
      <w:r>
        <w:rPr>
          <w:rFonts w:hint="eastAsia" w:ascii="宋体" w:hAnsi="宋体" w:eastAsia="宋体" w:cs="宋体"/>
          <w:highlight w:val="none"/>
          <w:lang w:eastAsia="zh-CN"/>
        </w:rPr>
        <w:t>采购人员会</w:t>
      </w:r>
      <w:r>
        <w:rPr>
          <w:rFonts w:hint="eastAsia" w:ascii="宋体" w:hAnsi="宋体" w:eastAsia="宋体" w:cs="宋体"/>
          <w:highlight w:val="none"/>
        </w:rPr>
        <w:t>将根据本次采购项目的特点，参照《中华人民共和国政府采购法》、中华人民共和国2015年第658号国务院令--《中华人民共和国政府采购法实施条例》和中华人民共和国财政部20</w:t>
      </w:r>
      <w:r>
        <w:rPr>
          <w:rFonts w:hint="eastAsia" w:ascii="宋体" w:hAnsi="宋体" w:eastAsia="宋体" w:cs="宋体"/>
          <w:highlight w:val="none"/>
          <w:lang w:val="en-US" w:eastAsia="zh-CN"/>
        </w:rPr>
        <w:t>17</w:t>
      </w:r>
      <w:r>
        <w:rPr>
          <w:rFonts w:hint="eastAsia" w:ascii="宋体" w:hAnsi="宋体" w:eastAsia="宋体" w:cs="宋体"/>
          <w:color w:val="auto"/>
          <w:highlight w:val="none"/>
        </w:rPr>
        <w:t>年第</w:t>
      </w:r>
      <w:r>
        <w:rPr>
          <w:rFonts w:hint="eastAsia" w:ascii="宋体" w:hAnsi="宋体" w:eastAsia="宋体" w:cs="宋体"/>
          <w:color w:val="auto"/>
          <w:highlight w:val="none"/>
          <w:lang w:val="en-US" w:eastAsia="zh-CN"/>
        </w:rPr>
        <w:t>87</w:t>
      </w:r>
      <w:r>
        <w:rPr>
          <w:rFonts w:hint="eastAsia" w:ascii="宋体" w:hAnsi="宋体" w:eastAsia="宋体" w:cs="宋体"/>
          <w:color w:val="auto"/>
          <w:highlight w:val="none"/>
        </w:rPr>
        <w:t>号部长</w:t>
      </w:r>
      <w:r>
        <w:rPr>
          <w:rFonts w:hint="eastAsia" w:ascii="宋体" w:hAnsi="宋体" w:eastAsia="宋体" w:cs="宋体"/>
          <w:highlight w:val="none"/>
        </w:rPr>
        <w:t>令--《政府采购货物和服务招标投标管理办法》</w:t>
      </w:r>
      <w:r>
        <w:rPr>
          <w:rFonts w:hint="eastAsia" w:ascii="宋体" w:hAnsi="宋体" w:eastAsia="宋体" w:cs="宋体"/>
          <w:highlight w:val="none"/>
          <w:lang w:eastAsia="zh-CN"/>
        </w:rPr>
        <w:t>等政策法规</w:t>
      </w:r>
      <w:r>
        <w:rPr>
          <w:rFonts w:hint="eastAsia" w:ascii="宋体" w:hAnsi="宋体" w:eastAsia="宋体" w:cs="宋体"/>
          <w:highlight w:val="none"/>
        </w:rPr>
        <w:t>的规定，依法组建评标委员会。评标委员会按照招标文件规定的评标方法独立进行评标工作。</w:t>
      </w:r>
    </w:p>
    <w:p w14:paraId="2678A2F7">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420" w:firstLineChars="0"/>
        <w:jc w:val="both"/>
        <w:textAlignment w:val="auto"/>
        <w:outlineLvl w:val="9"/>
        <w:rPr>
          <w:rFonts w:hint="eastAsia" w:ascii="宋体" w:hAnsi="宋体" w:eastAsia="宋体" w:cs="宋体"/>
          <w:highlight w:val="none"/>
        </w:rPr>
      </w:pPr>
      <w:r>
        <w:rPr>
          <w:rFonts w:hint="eastAsia" w:ascii="宋体" w:hAnsi="宋体" w:eastAsia="宋体" w:cs="宋体"/>
          <w:highlight w:val="none"/>
          <w:lang w:val="en-US" w:eastAsia="zh-CN"/>
        </w:rPr>
        <w:t xml:space="preserve">28.5 </w:t>
      </w:r>
      <w:r>
        <w:rPr>
          <w:rFonts w:hint="eastAsia" w:ascii="宋体" w:hAnsi="宋体" w:eastAsia="宋体" w:cs="宋体"/>
          <w:highlight w:val="none"/>
        </w:rPr>
        <w:t>评委会成员到位后，推荐一名评审专家担任评审组长，并由评审组长牵头组织该项目评审工作，采购人授权的评审专家，不得担任评审组长。</w:t>
      </w:r>
    </w:p>
    <w:p w14:paraId="4D3455CF">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420" w:firstLineChars="0"/>
        <w:jc w:val="both"/>
        <w:textAlignment w:val="auto"/>
        <w:outlineLvl w:val="9"/>
        <w:rPr>
          <w:rFonts w:hint="eastAsia" w:ascii="宋体" w:hAnsi="宋体" w:eastAsia="宋体" w:cs="宋体"/>
          <w:highlight w:val="none"/>
          <w:lang w:val="en-US" w:eastAsia="zh-CN"/>
        </w:rPr>
      </w:pPr>
      <w:r>
        <w:rPr>
          <w:rFonts w:hint="eastAsia" w:ascii="宋体" w:hAnsi="宋体" w:eastAsia="宋体" w:cs="宋体"/>
          <w:highlight w:val="none"/>
          <w:lang w:val="en-US" w:eastAsia="zh-CN"/>
        </w:rPr>
        <w:t>28.6 评标委员会成员有下列情形之一的，应当回避：</w:t>
      </w:r>
    </w:p>
    <w:p w14:paraId="2FD25B78">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420" w:firstLineChars="0"/>
        <w:jc w:val="both"/>
        <w:textAlignment w:val="auto"/>
        <w:outlineLvl w:val="9"/>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    （1）采购人或投标人的主要负责人的近亲属；</w:t>
      </w:r>
    </w:p>
    <w:p w14:paraId="6FCA7842">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420" w:firstLineChars="0"/>
        <w:jc w:val="both"/>
        <w:textAlignment w:val="auto"/>
        <w:outlineLvl w:val="9"/>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    （2）项目主管部门或者行政监督部门的人员；</w:t>
      </w:r>
    </w:p>
    <w:p w14:paraId="378DDCD0">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420" w:firstLineChars="0"/>
        <w:jc w:val="both"/>
        <w:textAlignment w:val="auto"/>
        <w:outlineLvl w:val="9"/>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    （3）与投标人有经济利益关系，可能影响对投标公正评审的；</w:t>
      </w:r>
    </w:p>
    <w:p w14:paraId="27232DD6">
      <w:pPr>
        <w:keepNext w:val="0"/>
        <w:keepLines w:val="0"/>
        <w:pageBreakBefore w:val="0"/>
        <w:widowControl w:val="0"/>
        <w:kinsoku/>
        <w:wordWrap/>
        <w:overflowPunct/>
        <w:topLinePunct w:val="0"/>
        <w:autoSpaceDE w:val="0"/>
        <w:autoSpaceDN w:val="0"/>
        <w:bidi w:val="0"/>
        <w:adjustRightInd w:val="0"/>
        <w:snapToGrid/>
        <w:spacing w:line="500" w:lineRule="exact"/>
        <w:ind w:right="6" w:rightChars="0" w:firstLine="420" w:firstLineChars="200"/>
        <w:jc w:val="both"/>
        <w:textAlignment w:val="auto"/>
        <w:outlineLvl w:val="9"/>
        <w:rPr>
          <w:rFonts w:hint="eastAsia" w:ascii="宋体" w:hAnsi="宋体" w:eastAsia="宋体" w:cs="宋体"/>
          <w:highlight w:val="none"/>
          <w:lang w:val="en-US" w:eastAsia="zh-CN"/>
        </w:rPr>
      </w:pPr>
      <w:r>
        <w:rPr>
          <w:rFonts w:hint="eastAsia" w:ascii="宋体" w:hAnsi="宋体" w:eastAsia="宋体" w:cs="宋体"/>
          <w:highlight w:val="none"/>
          <w:lang w:val="en-US" w:eastAsia="zh-CN"/>
        </w:rPr>
        <w:t>（4）曾因在招标、评标以及其他与招标投标有关活动中从事违法行为而受过行政处罚或刑事处罚的。</w:t>
      </w:r>
    </w:p>
    <w:p w14:paraId="0626BBFF">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420" w:firstLineChars="0"/>
        <w:jc w:val="both"/>
        <w:textAlignment w:val="auto"/>
        <w:outlineLvl w:val="9"/>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 28.7 招标文件和投标文件是评标的依据。在评标中，不得改变招标文件中规定的评标标准、方法和中标条件。投标人不得在开标后使用任何方式对投标文件的实质性内容做任何更改。</w:t>
      </w:r>
    </w:p>
    <w:p w14:paraId="4F781D4D">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420" w:firstLineChars="0"/>
        <w:jc w:val="both"/>
        <w:textAlignment w:val="auto"/>
        <w:outlineLvl w:val="9"/>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 28.8 评标委员会成员对各投标人投标文件进行审查、质疑、评估和比较，并推荐出3名中标候选人。</w:t>
      </w:r>
    </w:p>
    <w:p w14:paraId="04A67BF7">
      <w:pPr>
        <w:autoSpaceDE w:val="0"/>
        <w:autoSpaceDN w:val="0"/>
        <w:adjustRightInd w:val="0"/>
        <w:spacing w:line="500" w:lineRule="exact"/>
        <w:ind w:right="6"/>
        <w:rPr>
          <w:rFonts w:hint="eastAsia" w:ascii="宋体" w:hAnsi="宋体" w:eastAsia="宋体" w:cs="宋体"/>
          <w:b/>
          <w:bCs/>
          <w:kern w:val="0"/>
          <w:sz w:val="24"/>
          <w:highlight w:val="none"/>
        </w:rPr>
      </w:pPr>
      <w:r>
        <w:rPr>
          <w:rFonts w:hint="eastAsia" w:ascii="宋体" w:hAnsi="宋体" w:cs="宋体"/>
          <w:b/>
          <w:bCs/>
          <w:kern w:val="0"/>
          <w:sz w:val="24"/>
          <w:highlight w:val="none"/>
          <w:lang w:val="en-US" w:eastAsia="zh-CN"/>
        </w:rPr>
        <w:t>29</w:t>
      </w:r>
      <w:r>
        <w:rPr>
          <w:rFonts w:hint="eastAsia" w:ascii="宋体" w:hAnsi="宋体" w:eastAsia="宋体" w:cs="宋体"/>
          <w:b/>
          <w:bCs/>
          <w:kern w:val="0"/>
          <w:sz w:val="24"/>
          <w:highlight w:val="none"/>
          <w:lang w:val="en-US" w:eastAsia="zh-CN"/>
        </w:rPr>
        <w:t xml:space="preserve">、评标原则  </w:t>
      </w:r>
      <w:r>
        <w:rPr>
          <w:rFonts w:hint="eastAsia" w:ascii="宋体" w:hAnsi="宋体" w:eastAsia="宋体" w:cs="宋体"/>
          <w:b/>
          <w:bCs/>
          <w:kern w:val="0"/>
          <w:sz w:val="24"/>
          <w:highlight w:val="none"/>
        </w:rPr>
        <w:t xml:space="preserve"> </w:t>
      </w:r>
    </w:p>
    <w:p w14:paraId="58533B3D">
      <w:pPr>
        <w:autoSpaceDE w:val="0"/>
        <w:autoSpaceDN w:val="0"/>
        <w:adjustRightInd w:val="0"/>
        <w:spacing w:line="500" w:lineRule="exact"/>
        <w:ind w:right="6"/>
        <w:rPr>
          <w:rFonts w:hint="eastAsia" w:ascii="宋体" w:hAnsi="宋体" w:eastAsia="宋体" w:cs="宋体"/>
          <w:highlight w:val="none"/>
        </w:rPr>
      </w:pPr>
      <w:r>
        <w:rPr>
          <w:rFonts w:hint="eastAsia" w:ascii="宋体" w:hAnsi="宋体" w:eastAsia="宋体" w:cs="宋体"/>
          <w:highlight w:val="none"/>
        </w:rPr>
        <w:t xml:space="preserve">    评标原则应遵循公平、公正、科学和择优的原则，并以相同的评标程序和标准对待所有的投标人。</w:t>
      </w:r>
    </w:p>
    <w:p w14:paraId="349445BB">
      <w:pPr>
        <w:autoSpaceDE w:val="0"/>
        <w:autoSpaceDN w:val="0"/>
        <w:adjustRightInd w:val="0"/>
        <w:spacing w:line="500" w:lineRule="exact"/>
        <w:ind w:right="6"/>
        <w:rPr>
          <w:rFonts w:hint="eastAsia" w:ascii="宋体" w:hAnsi="宋体" w:eastAsia="宋体" w:cs="宋体"/>
          <w:b/>
          <w:bCs/>
          <w:kern w:val="0"/>
          <w:sz w:val="24"/>
          <w:highlight w:val="none"/>
          <w:lang w:val="en-US" w:eastAsia="zh-CN"/>
        </w:rPr>
      </w:pPr>
      <w:r>
        <w:rPr>
          <w:rFonts w:hint="eastAsia" w:ascii="宋体" w:hAnsi="宋体" w:eastAsia="宋体" w:cs="宋体"/>
          <w:b/>
          <w:bCs/>
          <w:kern w:val="0"/>
          <w:sz w:val="24"/>
          <w:highlight w:val="none"/>
          <w:lang w:val="en-US" w:eastAsia="zh-CN"/>
        </w:rPr>
        <w:t>3</w:t>
      </w:r>
      <w:r>
        <w:rPr>
          <w:rFonts w:hint="eastAsia" w:ascii="宋体" w:hAnsi="宋体" w:cs="宋体"/>
          <w:b/>
          <w:bCs/>
          <w:kern w:val="0"/>
          <w:sz w:val="24"/>
          <w:highlight w:val="none"/>
          <w:lang w:val="en-US" w:eastAsia="zh-CN"/>
        </w:rPr>
        <w:t>0</w:t>
      </w:r>
      <w:r>
        <w:rPr>
          <w:rFonts w:hint="eastAsia" w:ascii="宋体" w:hAnsi="宋体" w:eastAsia="宋体" w:cs="宋体"/>
          <w:b/>
          <w:bCs/>
          <w:kern w:val="0"/>
          <w:sz w:val="24"/>
          <w:highlight w:val="none"/>
          <w:lang w:val="en-US" w:eastAsia="zh-CN"/>
        </w:rPr>
        <w:t>、评标</w:t>
      </w:r>
    </w:p>
    <w:p w14:paraId="48E3DB27">
      <w:pPr>
        <w:spacing w:line="500" w:lineRule="exact"/>
        <w:ind w:left="105" w:leftChars="50" w:firstLine="420" w:firstLineChars="200"/>
        <w:rPr>
          <w:rFonts w:hint="eastAsia" w:ascii="宋体" w:hAnsi="宋体" w:eastAsia="宋体" w:cs="宋体"/>
          <w:szCs w:val="21"/>
          <w:highlight w:val="none"/>
          <w:lang w:eastAsia="zh-CN"/>
        </w:rPr>
      </w:pPr>
      <w:r>
        <w:rPr>
          <w:rFonts w:hint="eastAsia" w:ascii="宋体" w:hAnsi="宋体" w:eastAsia="宋体" w:cs="宋体"/>
          <w:szCs w:val="21"/>
          <w:highlight w:val="none"/>
        </w:rPr>
        <w:t>评标过程中对投标文件的判定，只依据开标截止时间前全国公共资源交易平台（陕西省·</w:t>
      </w:r>
      <w:r>
        <w:rPr>
          <w:rFonts w:hint="eastAsia" w:ascii="宋体" w:hAnsi="宋体" w:cs="宋体"/>
          <w:b w:val="0"/>
          <w:bCs w:val="0"/>
          <w:color w:val="auto"/>
          <w:szCs w:val="21"/>
          <w:highlight w:val="none"/>
          <w:lang w:val="en-US" w:eastAsia="zh-CN"/>
        </w:rPr>
        <w:t>安康市</w:t>
      </w:r>
      <w:r>
        <w:rPr>
          <w:rFonts w:hint="eastAsia" w:ascii="宋体" w:hAnsi="宋体" w:eastAsia="宋体" w:cs="宋体"/>
          <w:szCs w:val="21"/>
          <w:highlight w:val="none"/>
        </w:rPr>
        <w:t>）递交的电子投标文件内容本身，不依据任何外来证明</w:t>
      </w:r>
      <w:r>
        <w:rPr>
          <w:rFonts w:hint="eastAsia" w:ascii="宋体" w:hAnsi="宋体" w:eastAsia="宋体" w:cs="宋体"/>
          <w:szCs w:val="21"/>
          <w:highlight w:val="none"/>
          <w:lang w:eastAsia="zh-CN"/>
        </w:rPr>
        <w:t>。</w:t>
      </w:r>
    </w:p>
    <w:p w14:paraId="14D7748D">
      <w:pPr>
        <w:numPr>
          <w:ilvl w:val="0"/>
          <w:numId w:val="0"/>
        </w:numPr>
        <w:spacing w:line="500" w:lineRule="exact"/>
        <w:ind w:firstLine="210" w:firstLineChars="100"/>
        <w:rPr>
          <w:rFonts w:hint="eastAsia" w:ascii="宋体" w:hAnsi="宋体" w:eastAsia="宋体" w:cs="宋体"/>
          <w:szCs w:val="21"/>
          <w:highlight w:val="none"/>
        </w:rPr>
      </w:pPr>
      <w:r>
        <w:rPr>
          <w:rFonts w:hint="eastAsia" w:ascii="宋体" w:hAnsi="宋体" w:eastAsia="宋体" w:cs="宋体"/>
          <w:szCs w:val="21"/>
          <w:highlight w:val="none"/>
          <w:lang w:eastAsia="zh-CN"/>
        </w:rPr>
        <w:t>（</w:t>
      </w:r>
      <w:r>
        <w:rPr>
          <w:rFonts w:hint="eastAsia" w:ascii="宋体" w:hAnsi="宋体" w:eastAsia="宋体" w:cs="宋体"/>
          <w:szCs w:val="21"/>
          <w:highlight w:val="none"/>
          <w:lang w:val="en-US" w:eastAsia="zh-CN"/>
        </w:rPr>
        <w:t>一</w:t>
      </w:r>
      <w:r>
        <w:rPr>
          <w:rFonts w:hint="eastAsia" w:ascii="宋体" w:hAnsi="宋体" w:eastAsia="宋体" w:cs="宋体"/>
          <w:szCs w:val="21"/>
          <w:highlight w:val="none"/>
          <w:lang w:eastAsia="zh-CN"/>
        </w:rPr>
        <w:t>）</w:t>
      </w:r>
      <w:r>
        <w:rPr>
          <w:rFonts w:hint="eastAsia" w:ascii="宋体" w:hAnsi="宋体" w:eastAsia="宋体" w:cs="宋体"/>
          <w:szCs w:val="21"/>
          <w:highlight w:val="none"/>
        </w:rPr>
        <w:t xml:space="preserve">资格审查 </w:t>
      </w:r>
    </w:p>
    <w:p w14:paraId="47344359">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Chars="0" w:firstLine="630" w:firstLineChars="300"/>
        <w:textAlignment w:val="auto"/>
        <w:rPr>
          <w:rFonts w:hint="eastAsia" w:ascii="宋体" w:hAnsi="宋体" w:eastAsia="宋体" w:cs="宋体"/>
          <w:szCs w:val="21"/>
          <w:highlight w:val="none"/>
        </w:rPr>
      </w:pPr>
      <w:r>
        <w:rPr>
          <w:rFonts w:hint="eastAsia" w:ascii="宋体" w:hAnsi="宋体" w:eastAsia="宋体" w:cs="宋体"/>
          <w:szCs w:val="21"/>
          <w:highlight w:val="none"/>
        </w:rPr>
        <w:t>开标结束后，采购人或采购代理机构依据法律法规和招标文件中规定的内容，对投标人的投标文件中的资格证明文件进行资格审查，未通过资格审查的投标人不进入下一步评审。</w:t>
      </w:r>
    </w:p>
    <w:p w14:paraId="5903F1D4">
      <w:pPr>
        <w:numPr>
          <w:ilvl w:val="0"/>
          <w:numId w:val="0"/>
        </w:numPr>
        <w:spacing w:line="500" w:lineRule="exact"/>
        <w:ind w:firstLine="210" w:firstLineChars="100"/>
        <w:rPr>
          <w:rFonts w:hint="eastAsia" w:ascii="宋体" w:hAnsi="宋体" w:eastAsia="宋体" w:cs="宋体"/>
          <w:szCs w:val="21"/>
          <w:highlight w:val="none"/>
        </w:rPr>
      </w:pPr>
      <w:r>
        <w:rPr>
          <w:rFonts w:hint="eastAsia" w:ascii="宋体" w:hAnsi="宋体" w:eastAsia="宋体" w:cs="宋体"/>
          <w:szCs w:val="21"/>
          <w:highlight w:val="none"/>
          <w:lang w:eastAsia="zh-CN"/>
        </w:rPr>
        <w:t>（</w:t>
      </w:r>
      <w:r>
        <w:rPr>
          <w:rFonts w:hint="eastAsia" w:ascii="宋体" w:hAnsi="宋体" w:eastAsia="宋体" w:cs="宋体"/>
          <w:szCs w:val="21"/>
          <w:highlight w:val="none"/>
          <w:lang w:val="en-US" w:eastAsia="zh-CN"/>
        </w:rPr>
        <w:t>二</w:t>
      </w:r>
      <w:r>
        <w:rPr>
          <w:rFonts w:hint="eastAsia" w:ascii="宋体" w:hAnsi="宋体" w:eastAsia="宋体" w:cs="宋体"/>
          <w:szCs w:val="21"/>
          <w:highlight w:val="none"/>
          <w:lang w:eastAsia="zh-CN"/>
        </w:rPr>
        <w:t>）</w:t>
      </w:r>
      <w:r>
        <w:rPr>
          <w:rFonts w:hint="eastAsia" w:ascii="宋体" w:hAnsi="宋体" w:eastAsia="宋体" w:cs="宋体"/>
          <w:szCs w:val="21"/>
          <w:highlight w:val="none"/>
        </w:rPr>
        <w:t xml:space="preserve">符合性审查 </w:t>
      </w:r>
    </w:p>
    <w:p w14:paraId="65D6C4AB">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Chars="0" w:firstLine="630" w:firstLineChars="300"/>
        <w:textAlignment w:val="auto"/>
        <w:rPr>
          <w:rFonts w:hint="eastAsia" w:ascii="宋体" w:hAnsi="宋体" w:eastAsia="宋体" w:cs="宋体"/>
          <w:szCs w:val="21"/>
          <w:highlight w:val="none"/>
        </w:rPr>
      </w:pPr>
      <w:r>
        <w:rPr>
          <w:rFonts w:hint="eastAsia" w:ascii="宋体" w:hAnsi="宋体" w:eastAsia="宋体" w:cs="宋体"/>
          <w:szCs w:val="21"/>
          <w:highlight w:val="none"/>
        </w:rPr>
        <w:t>依法组建评标委员会，评标委员会依据招标文件的规定，进行符合性审查，以确定其是否满足招标文件的实质性要求，未通过符合性审查的投标人不再进入下一步评审。</w:t>
      </w:r>
    </w:p>
    <w:p w14:paraId="10A77C4B">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210" w:firstLineChars="100"/>
        <w:textAlignment w:val="auto"/>
        <w:rPr>
          <w:rFonts w:hint="eastAsia" w:ascii="宋体" w:hAnsi="宋体" w:eastAsia="宋体" w:cs="宋体"/>
          <w:szCs w:val="21"/>
          <w:highlight w:val="none"/>
          <w:lang w:val="en-US" w:eastAsia="zh-CN"/>
        </w:rPr>
      </w:pPr>
      <w:r>
        <w:rPr>
          <w:rFonts w:hint="eastAsia" w:ascii="宋体" w:hAnsi="宋体" w:eastAsia="宋体" w:cs="宋体"/>
          <w:szCs w:val="21"/>
          <w:highlight w:val="none"/>
          <w:lang w:eastAsia="zh-CN"/>
        </w:rPr>
        <w:t>（</w:t>
      </w:r>
      <w:r>
        <w:rPr>
          <w:rFonts w:hint="eastAsia" w:ascii="宋体" w:hAnsi="宋体" w:eastAsia="宋体" w:cs="宋体"/>
          <w:szCs w:val="21"/>
          <w:highlight w:val="none"/>
          <w:lang w:val="en-US" w:eastAsia="zh-CN"/>
        </w:rPr>
        <w:t>三</w:t>
      </w:r>
      <w:r>
        <w:rPr>
          <w:rFonts w:hint="eastAsia" w:ascii="宋体" w:hAnsi="宋体" w:eastAsia="宋体" w:cs="宋体"/>
          <w:szCs w:val="21"/>
          <w:highlight w:val="none"/>
          <w:lang w:eastAsia="zh-CN"/>
        </w:rPr>
        <w:t>）</w:t>
      </w:r>
      <w:r>
        <w:rPr>
          <w:rFonts w:hint="eastAsia" w:ascii="宋体" w:hAnsi="宋体" w:eastAsia="宋体" w:cs="宋体"/>
          <w:szCs w:val="21"/>
          <w:highlight w:val="none"/>
          <w:lang w:val="en-US" w:eastAsia="zh-CN"/>
        </w:rPr>
        <w:t>进入评分阶段。</w:t>
      </w:r>
    </w:p>
    <w:p w14:paraId="0F904698">
      <w:pPr>
        <w:spacing w:line="500" w:lineRule="exact"/>
        <w:ind w:firstLine="210" w:firstLineChars="100"/>
        <w:rPr>
          <w:rFonts w:hint="eastAsia" w:ascii="宋体" w:hAnsi="宋体" w:eastAsia="宋体" w:cs="宋体"/>
          <w:szCs w:val="21"/>
          <w:highlight w:val="none"/>
        </w:rPr>
      </w:pPr>
      <w:r>
        <w:rPr>
          <w:rFonts w:hint="eastAsia" w:ascii="宋体" w:hAnsi="宋体" w:eastAsia="宋体" w:cs="宋体"/>
          <w:szCs w:val="21"/>
          <w:highlight w:val="none"/>
          <w:lang w:eastAsia="zh-CN"/>
        </w:rPr>
        <w:t>（</w:t>
      </w:r>
      <w:r>
        <w:rPr>
          <w:rFonts w:hint="eastAsia" w:ascii="宋体" w:hAnsi="宋体" w:eastAsia="宋体" w:cs="宋体"/>
          <w:szCs w:val="21"/>
          <w:highlight w:val="none"/>
          <w:lang w:val="en-US" w:eastAsia="zh-CN"/>
        </w:rPr>
        <w:t>四</w:t>
      </w:r>
      <w:r>
        <w:rPr>
          <w:rFonts w:hint="eastAsia" w:ascii="宋体" w:hAnsi="宋体" w:eastAsia="宋体" w:cs="宋体"/>
          <w:szCs w:val="21"/>
          <w:highlight w:val="none"/>
          <w:lang w:eastAsia="zh-CN"/>
        </w:rPr>
        <w:t>）</w:t>
      </w:r>
      <w:r>
        <w:rPr>
          <w:rFonts w:hint="eastAsia" w:ascii="宋体" w:hAnsi="宋体" w:eastAsia="宋体" w:cs="宋体"/>
          <w:szCs w:val="21"/>
          <w:highlight w:val="none"/>
        </w:rPr>
        <w:t>评标过程严格保密</w:t>
      </w:r>
    </w:p>
    <w:p w14:paraId="64F9DA09">
      <w:pPr>
        <w:spacing w:line="500" w:lineRule="exact"/>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（1）开标后，直至授予中标人合同为止，凡属于对投标文件的审查、澄清、评价和比较的有关资料以及中标候选人的推荐情况，与评标有关的其他任何情况均严格保密；</w:t>
      </w:r>
    </w:p>
    <w:p w14:paraId="21D27BD6">
      <w:pPr>
        <w:spacing w:line="500" w:lineRule="exact"/>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（2）投标人对评标委员会的评标过程或合同授予决定施加影响的任何行为都可能导致其投标被拒绝；</w:t>
      </w:r>
    </w:p>
    <w:p w14:paraId="6D3B5830">
      <w:pPr>
        <w:spacing w:line="500" w:lineRule="exact"/>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（3）中标人确定后，招标人和代理机构不对未中标人就评标过程以及未能中标原因作出任何解释。未中标人不得向评标委员会组成人员或其他有关人员索问评标过程的情况和材料。</w:t>
      </w:r>
    </w:p>
    <w:p w14:paraId="457D0BC1">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210" w:firstLineChars="100"/>
        <w:textAlignment w:val="auto"/>
        <w:rPr>
          <w:rFonts w:hint="eastAsia" w:ascii="宋体" w:hAnsi="宋体" w:eastAsia="宋体" w:cs="宋体"/>
          <w:szCs w:val="21"/>
          <w:highlight w:val="none"/>
        </w:rPr>
      </w:pPr>
      <w:r>
        <w:rPr>
          <w:rFonts w:hint="eastAsia" w:ascii="宋体" w:hAnsi="宋体" w:eastAsia="宋体" w:cs="宋体"/>
          <w:szCs w:val="21"/>
          <w:highlight w:val="none"/>
          <w:lang w:eastAsia="zh-CN"/>
        </w:rPr>
        <w:t>（</w:t>
      </w:r>
      <w:r>
        <w:rPr>
          <w:rFonts w:hint="eastAsia" w:ascii="宋体" w:hAnsi="宋体" w:eastAsia="宋体" w:cs="宋体"/>
          <w:szCs w:val="21"/>
          <w:highlight w:val="none"/>
          <w:lang w:val="en-US" w:eastAsia="zh-CN"/>
        </w:rPr>
        <w:t>五</w:t>
      </w:r>
      <w:r>
        <w:rPr>
          <w:rFonts w:hint="eastAsia" w:ascii="宋体" w:hAnsi="宋体" w:eastAsia="宋体" w:cs="宋体"/>
          <w:szCs w:val="21"/>
          <w:highlight w:val="none"/>
          <w:lang w:eastAsia="zh-CN"/>
        </w:rPr>
        <w:t>）</w:t>
      </w:r>
      <w:r>
        <w:rPr>
          <w:rFonts w:hint="eastAsia" w:ascii="宋体" w:hAnsi="宋体" w:eastAsia="宋体" w:cs="宋体"/>
          <w:szCs w:val="21"/>
          <w:highlight w:val="none"/>
        </w:rPr>
        <w:t>投标无效情形的认定</w:t>
      </w:r>
    </w:p>
    <w:p w14:paraId="562A156F">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210" w:firstLineChars="100"/>
        <w:textAlignment w:val="auto"/>
        <w:rPr>
          <w:rFonts w:hint="eastAsia" w:ascii="宋体" w:hAnsi="宋体" w:eastAsia="宋体" w:cs="宋体"/>
          <w:szCs w:val="21"/>
          <w:highlight w:val="none"/>
        </w:rPr>
      </w:pPr>
      <w:r>
        <w:rPr>
          <w:rFonts w:hint="eastAsia" w:ascii="宋体" w:hAnsi="宋体" w:eastAsia="宋体" w:cs="宋体"/>
          <w:szCs w:val="21"/>
          <w:highlight w:val="none"/>
        </w:rPr>
        <w:t xml:space="preserve"> 在评标过程中，出现下列情形之一的（但不限于），按投标无效处理：</w:t>
      </w:r>
    </w:p>
    <w:p w14:paraId="56104576">
      <w:pPr>
        <w:keepNext w:val="0"/>
        <w:keepLines w:val="0"/>
        <w:pageBreakBefore w:val="0"/>
        <w:widowControl w:val="0"/>
        <w:numPr>
          <w:ilvl w:val="0"/>
          <w:numId w:val="7"/>
        </w:numPr>
        <w:kinsoku/>
        <w:wordWrap/>
        <w:overflowPunct/>
        <w:topLinePunct w:val="0"/>
        <w:autoSpaceDE/>
        <w:autoSpaceDN/>
        <w:bidi w:val="0"/>
        <w:adjustRightInd/>
        <w:snapToGrid/>
        <w:spacing w:line="500" w:lineRule="exact"/>
        <w:ind w:firstLine="420" w:firstLineChars="200"/>
        <w:textAlignment w:val="auto"/>
        <w:rPr>
          <w:rFonts w:hint="eastAsia" w:ascii="宋体" w:hAnsi="宋体" w:eastAsia="宋体" w:cs="宋体"/>
          <w:szCs w:val="21"/>
          <w:highlight w:val="none"/>
        </w:rPr>
      </w:pPr>
      <w:r>
        <w:rPr>
          <w:rFonts w:hint="eastAsia" w:ascii="宋体" w:hAnsi="宋体" w:eastAsia="宋体" w:cs="宋体"/>
          <w:szCs w:val="21"/>
          <w:highlight w:val="none"/>
        </w:rPr>
        <w:t>投标人没有经过正常渠道获取招标文件或投标人的名称与在全国公共资源交易平台（陕西省·</w:t>
      </w:r>
      <w:r>
        <w:rPr>
          <w:rFonts w:hint="eastAsia" w:ascii="宋体" w:hAnsi="宋体" w:cs="宋体"/>
          <w:szCs w:val="21"/>
          <w:highlight w:val="none"/>
          <w:lang w:val="en-US" w:eastAsia="zh-CN"/>
        </w:rPr>
        <w:t>安康市</w:t>
      </w:r>
      <w:r>
        <w:rPr>
          <w:rFonts w:hint="eastAsia" w:ascii="宋体" w:hAnsi="宋体" w:eastAsia="宋体" w:cs="宋体"/>
          <w:szCs w:val="21"/>
          <w:highlight w:val="none"/>
        </w:rPr>
        <w:t xml:space="preserve">）报名的单位名称不符； </w:t>
      </w:r>
    </w:p>
    <w:p w14:paraId="3A585098">
      <w:pPr>
        <w:keepNext w:val="0"/>
        <w:keepLines w:val="0"/>
        <w:pageBreakBefore w:val="0"/>
        <w:widowControl w:val="0"/>
        <w:numPr>
          <w:ilvl w:val="0"/>
          <w:numId w:val="7"/>
        </w:numPr>
        <w:kinsoku/>
        <w:wordWrap/>
        <w:overflowPunct/>
        <w:topLinePunct w:val="0"/>
        <w:autoSpaceDE/>
        <w:autoSpaceDN/>
        <w:bidi w:val="0"/>
        <w:adjustRightInd/>
        <w:snapToGrid/>
        <w:spacing w:line="500" w:lineRule="exact"/>
        <w:ind w:firstLine="420" w:firstLineChars="200"/>
        <w:textAlignment w:val="auto"/>
        <w:rPr>
          <w:rFonts w:hint="eastAsia" w:ascii="宋体" w:hAnsi="宋体" w:eastAsia="宋体" w:cs="宋体"/>
          <w:szCs w:val="21"/>
          <w:highlight w:val="none"/>
        </w:rPr>
      </w:pPr>
      <w:r>
        <w:rPr>
          <w:rFonts w:hint="eastAsia" w:ascii="宋体" w:hAnsi="宋体" w:eastAsia="宋体" w:cs="宋体"/>
          <w:szCs w:val="21"/>
          <w:highlight w:val="none"/>
        </w:rPr>
        <w:t xml:space="preserve">投标人放弃或拒绝对电子投标文件进行解密的； </w:t>
      </w:r>
    </w:p>
    <w:p w14:paraId="340EE0EA">
      <w:pPr>
        <w:keepNext w:val="0"/>
        <w:keepLines w:val="0"/>
        <w:pageBreakBefore w:val="0"/>
        <w:widowControl w:val="0"/>
        <w:numPr>
          <w:ilvl w:val="0"/>
          <w:numId w:val="7"/>
        </w:numPr>
        <w:kinsoku/>
        <w:wordWrap/>
        <w:overflowPunct/>
        <w:topLinePunct w:val="0"/>
        <w:autoSpaceDE/>
        <w:autoSpaceDN/>
        <w:bidi w:val="0"/>
        <w:adjustRightInd/>
        <w:snapToGrid/>
        <w:spacing w:line="500" w:lineRule="exact"/>
        <w:ind w:firstLine="420" w:firstLineChars="200"/>
        <w:textAlignment w:val="auto"/>
        <w:rPr>
          <w:rFonts w:hint="eastAsia" w:ascii="宋体" w:hAnsi="宋体" w:eastAsia="宋体" w:cs="宋体"/>
          <w:szCs w:val="21"/>
          <w:highlight w:val="none"/>
        </w:rPr>
      </w:pPr>
      <w:r>
        <w:rPr>
          <w:rFonts w:hint="eastAsia" w:ascii="宋体" w:hAnsi="宋体" w:eastAsia="宋体" w:cs="宋体"/>
          <w:szCs w:val="21"/>
          <w:highlight w:val="none"/>
        </w:rPr>
        <w:t>因投标人自身原因，导致未在规定的解密时限内完整解密的，如忘带CA锁、或携带的CA锁与加密文件的CA锁不同、或使用旧版招标 文件编制投标文件等情形；</w:t>
      </w:r>
    </w:p>
    <w:p w14:paraId="7A934C29">
      <w:pPr>
        <w:keepNext w:val="0"/>
        <w:keepLines w:val="0"/>
        <w:pageBreakBefore w:val="0"/>
        <w:widowControl w:val="0"/>
        <w:numPr>
          <w:ilvl w:val="0"/>
          <w:numId w:val="7"/>
        </w:numPr>
        <w:kinsoku/>
        <w:wordWrap/>
        <w:overflowPunct/>
        <w:topLinePunct w:val="0"/>
        <w:autoSpaceDE/>
        <w:autoSpaceDN/>
        <w:bidi w:val="0"/>
        <w:adjustRightInd/>
        <w:snapToGrid/>
        <w:spacing w:line="500" w:lineRule="exact"/>
        <w:ind w:firstLine="420" w:firstLineChars="200"/>
        <w:textAlignment w:val="auto"/>
        <w:rPr>
          <w:rFonts w:hint="eastAsia" w:ascii="宋体" w:hAnsi="宋体" w:eastAsia="宋体" w:cs="宋体"/>
          <w:szCs w:val="21"/>
          <w:highlight w:val="none"/>
        </w:rPr>
      </w:pPr>
      <w:r>
        <w:rPr>
          <w:rFonts w:hint="eastAsia" w:ascii="宋体" w:hAnsi="宋体" w:eastAsia="宋体" w:cs="宋体"/>
          <w:szCs w:val="21"/>
          <w:highlight w:val="none"/>
        </w:rPr>
        <w:t>上传的电子投标文件无法正常打开的；</w:t>
      </w:r>
    </w:p>
    <w:p w14:paraId="3D9A4049">
      <w:pPr>
        <w:keepNext w:val="0"/>
        <w:keepLines w:val="0"/>
        <w:pageBreakBefore w:val="0"/>
        <w:widowControl w:val="0"/>
        <w:numPr>
          <w:ilvl w:val="0"/>
          <w:numId w:val="7"/>
        </w:numPr>
        <w:kinsoku/>
        <w:wordWrap/>
        <w:overflowPunct/>
        <w:topLinePunct w:val="0"/>
        <w:autoSpaceDE/>
        <w:autoSpaceDN/>
        <w:bidi w:val="0"/>
        <w:adjustRightInd/>
        <w:snapToGrid/>
        <w:spacing w:line="500" w:lineRule="exact"/>
        <w:ind w:firstLine="420" w:firstLineChars="200"/>
        <w:textAlignment w:val="auto"/>
        <w:rPr>
          <w:rFonts w:hint="eastAsia" w:ascii="宋体" w:hAnsi="宋体" w:eastAsia="宋体" w:cs="宋体"/>
          <w:szCs w:val="21"/>
          <w:highlight w:val="none"/>
        </w:rPr>
      </w:pPr>
      <w:r>
        <w:rPr>
          <w:rFonts w:hint="eastAsia" w:ascii="宋体" w:hAnsi="宋体" w:eastAsia="宋体" w:cs="宋体"/>
          <w:szCs w:val="21"/>
          <w:highlight w:val="none"/>
        </w:rPr>
        <w:t>投标文件中提供的投标人资格要求证明文件不符合招标文件规定；</w:t>
      </w:r>
    </w:p>
    <w:p w14:paraId="1109C6FA">
      <w:pPr>
        <w:keepNext w:val="0"/>
        <w:keepLines w:val="0"/>
        <w:pageBreakBefore w:val="0"/>
        <w:widowControl w:val="0"/>
        <w:numPr>
          <w:ilvl w:val="0"/>
          <w:numId w:val="7"/>
        </w:numPr>
        <w:kinsoku/>
        <w:wordWrap/>
        <w:overflowPunct/>
        <w:topLinePunct w:val="0"/>
        <w:autoSpaceDE/>
        <w:autoSpaceDN/>
        <w:bidi w:val="0"/>
        <w:adjustRightInd/>
        <w:snapToGrid/>
        <w:spacing w:line="500" w:lineRule="exact"/>
        <w:ind w:firstLine="420" w:firstLineChars="200"/>
        <w:textAlignment w:val="auto"/>
        <w:rPr>
          <w:rFonts w:hint="eastAsia" w:ascii="宋体" w:hAnsi="宋体" w:eastAsia="宋体" w:cs="宋体"/>
          <w:szCs w:val="21"/>
          <w:highlight w:val="none"/>
        </w:rPr>
      </w:pPr>
      <w:r>
        <w:rPr>
          <w:rFonts w:hint="eastAsia" w:ascii="宋体" w:hAnsi="宋体" w:eastAsia="宋体" w:cs="宋体"/>
          <w:szCs w:val="21"/>
          <w:highlight w:val="none"/>
        </w:rPr>
        <w:t xml:space="preserve">投标文件中出现备选方案或投标文件中出现选择性报价的； </w:t>
      </w:r>
    </w:p>
    <w:p w14:paraId="7A0BF316">
      <w:pPr>
        <w:keepNext w:val="0"/>
        <w:keepLines w:val="0"/>
        <w:pageBreakBefore w:val="0"/>
        <w:widowControl w:val="0"/>
        <w:numPr>
          <w:ilvl w:val="0"/>
          <w:numId w:val="7"/>
        </w:numPr>
        <w:kinsoku/>
        <w:wordWrap/>
        <w:overflowPunct/>
        <w:topLinePunct w:val="0"/>
        <w:autoSpaceDE/>
        <w:autoSpaceDN/>
        <w:bidi w:val="0"/>
        <w:adjustRightInd/>
        <w:snapToGrid/>
        <w:spacing w:line="500" w:lineRule="exact"/>
        <w:ind w:firstLine="420" w:firstLineChars="200"/>
        <w:textAlignment w:val="auto"/>
        <w:rPr>
          <w:rFonts w:hint="eastAsia" w:ascii="宋体" w:hAnsi="宋体" w:eastAsia="宋体" w:cs="宋体"/>
          <w:szCs w:val="21"/>
          <w:highlight w:val="none"/>
        </w:rPr>
      </w:pPr>
      <w:r>
        <w:rPr>
          <w:rFonts w:hint="eastAsia" w:ascii="宋体" w:hAnsi="宋体" w:eastAsia="宋体" w:cs="宋体"/>
          <w:szCs w:val="21"/>
          <w:highlight w:val="none"/>
        </w:rPr>
        <w:t xml:space="preserve">投标报价超过了本项目采购预算或最高限价的； </w:t>
      </w:r>
    </w:p>
    <w:p w14:paraId="3DA24F7B">
      <w:pPr>
        <w:keepNext w:val="0"/>
        <w:keepLines w:val="0"/>
        <w:pageBreakBefore w:val="0"/>
        <w:widowControl w:val="0"/>
        <w:numPr>
          <w:ilvl w:val="0"/>
          <w:numId w:val="7"/>
        </w:numPr>
        <w:kinsoku/>
        <w:wordWrap/>
        <w:overflowPunct/>
        <w:topLinePunct w:val="0"/>
        <w:autoSpaceDE/>
        <w:autoSpaceDN/>
        <w:bidi w:val="0"/>
        <w:adjustRightInd/>
        <w:snapToGrid/>
        <w:spacing w:line="500" w:lineRule="exact"/>
        <w:ind w:firstLine="420" w:firstLineChars="200"/>
        <w:textAlignment w:val="auto"/>
        <w:rPr>
          <w:rFonts w:hint="eastAsia" w:ascii="宋体" w:hAnsi="宋体" w:eastAsia="宋体" w:cs="宋体"/>
          <w:szCs w:val="21"/>
          <w:highlight w:val="none"/>
        </w:rPr>
      </w:pPr>
      <w:r>
        <w:rPr>
          <w:rFonts w:hint="eastAsia" w:ascii="宋体" w:hAnsi="宋体" w:eastAsia="宋体" w:cs="宋体"/>
          <w:szCs w:val="21"/>
          <w:highlight w:val="none"/>
        </w:rPr>
        <w:t xml:space="preserve">投标文件未按照招标文件要求签署、盖章的； </w:t>
      </w:r>
    </w:p>
    <w:p w14:paraId="5020A2B2">
      <w:pPr>
        <w:keepNext w:val="0"/>
        <w:keepLines w:val="0"/>
        <w:pageBreakBefore w:val="0"/>
        <w:widowControl w:val="0"/>
        <w:numPr>
          <w:ilvl w:val="0"/>
          <w:numId w:val="7"/>
        </w:numPr>
        <w:kinsoku/>
        <w:wordWrap/>
        <w:overflowPunct/>
        <w:topLinePunct w:val="0"/>
        <w:autoSpaceDE/>
        <w:autoSpaceDN/>
        <w:bidi w:val="0"/>
        <w:adjustRightInd/>
        <w:snapToGrid/>
        <w:spacing w:line="500" w:lineRule="exact"/>
        <w:ind w:firstLine="420" w:firstLineChars="200"/>
        <w:textAlignment w:val="auto"/>
        <w:rPr>
          <w:rFonts w:hint="eastAsia" w:ascii="宋体" w:hAnsi="宋体" w:eastAsia="宋体" w:cs="宋体"/>
          <w:szCs w:val="21"/>
          <w:highlight w:val="none"/>
        </w:rPr>
      </w:pPr>
      <w:r>
        <w:rPr>
          <w:rFonts w:hint="eastAsia" w:ascii="宋体" w:hAnsi="宋体" w:eastAsia="宋体" w:cs="宋体"/>
          <w:szCs w:val="21"/>
          <w:highlight w:val="none"/>
        </w:rPr>
        <w:t xml:space="preserve">投标文件的关键内容字迹模糊和无法辨认的； </w:t>
      </w:r>
    </w:p>
    <w:p w14:paraId="4943D825">
      <w:pPr>
        <w:keepNext w:val="0"/>
        <w:keepLines w:val="0"/>
        <w:pageBreakBefore w:val="0"/>
        <w:widowControl w:val="0"/>
        <w:numPr>
          <w:ilvl w:val="0"/>
          <w:numId w:val="7"/>
        </w:numPr>
        <w:kinsoku/>
        <w:wordWrap/>
        <w:overflowPunct/>
        <w:topLinePunct w:val="0"/>
        <w:autoSpaceDE/>
        <w:autoSpaceDN/>
        <w:bidi w:val="0"/>
        <w:adjustRightInd/>
        <w:snapToGrid/>
        <w:spacing w:line="500" w:lineRule="exact"/>
        <w:ind w:firstLine="420" w:firstLineChars="200"/>
        <w:textAlignment w:val="auto"/>
        <w:rPr>
          <w:rFonts w:hint="eastAsia" w:ascii="宋体" w:hAnsi="宋体" w:eastAsia="宋体" w:cs="宋体"/>
          <w:szCs w:val="21"/>
          <w:highlight w:val="none"/>
        </w:rPr>
      </w:pPr>
      <w:r>
        <w:rPr>
          <w:rFonts w:hint="eastAsia" w:ascii="宋体" w:hAnsi="宋体" w:eastAsia="宋体" w:cs="宋体"/>
          <w:szCs w:val="21"/>
          <w:highlight w:val="none"/>
        </w:rPr>
        <w:t xml:space="preserve">投标文件未按照招标文件规定的格式要求编制的； </w:t>
      </w:r>
    </w:p>
    <w:p w14:paraId="1246B0F1">
      <w:pPr>
        <w:keepNext w:val="0"/>
        <w:keepLines w:val="0"/>
        <w:pageBreakBefore w:val="0"/>
        <w:widowControl w:val="0"/>
        <w:numPr>
          <w:ilvl w:val="0"/>
          <w:numId w:val="7"/>
        </w:numPr>
        <w:kinsoku/>
        <w:wordWrap/>
        <w:overflowPunct/>
        <w:topLinePunct w:val="0"/>
        <w:autoSpaceDE/>
        <w:autoSpaceDN/>
        <w:bidi w:val="0"/>
        <w:adjustRightInd/>
        <w:snapToGrid/>
        <w:spacing w:line="500" w:lineRule="exact"/>
        <w:ind w:firstLine="420" w:firstLineChars="200"/>
        <w:textAlignment w:val="auto"/>
        <w:rPr>
          <w:rFonts w:hint="eastAsia" w:ascii="宋体" w:hAnsi="宋体" w:eastAsia="宋体" w:cs="宋体"/>
          <w:szCs w:val="21"/>
          <w:highlight w:val="none"/>
        </w:rPr>
      </w:pPr>
      <w:r>
        <w:rPr>
          <w:rFonts w:hint="eastAsia" w:ascii="宋体" w:hAnsi="宋体" w:eastAsia="宋体" w:cs="宋体"/>
          <w:szCs w:val="21"/>
          <w:highlight w:val="none"/>
        </w:rPr>
        <w:t>投标文件中无投标有效期或投标有效期达不到招标文件要求的；</w:t>
      </w:r>
    </w:p>
    <w:p w14:paraId="7DF79B10">
      <w:pPr>
        <w:keepNext w:val="0"/>
        <w:keepLines w:val="0"/>
        <w:pageBreakBefore w:val="0"/>
        <w:widowControl w:val="0"/>
        <w:numPr>
          <w:ilvl w:val="0"/>
          <w:numId w:val="7"/>
        </w:numPr>
        <w:kinsoku/>
        <w:wordWrap/>
        <w:overflowPunct/>
        <w:topLinePunct w:val="0"/>
        <w:autoSpaceDE/>
        <w:autoSpaceDN/>
        <w:bidi w:val="0"/>
        <w:adjustRightInd/>
        <w:snapToGrid/>
        <w:spacing w:line="500" w:lineRule="exact"/>
        <w:ind w:firstLine="420" w:firstLineChars="200"/>
        <w:textAlignment w:val="auto"/>
        <w:rPr>
          <w:rFonts w:hint="eastAsia" w:ascii="宋体" w:hAnsi="宋体" w:eastAsia="宋体" w:cs="宋体"/>
          <w:szCs w:val="21"/>
          <w:highlight w:val="none"/>
        </w:rPr>
      </w:pPr>
      <w:r>
        <w:rPr>
          <w:rFonts w:hint="eastAsia" w:ascii="宋体" w:hAnsi="宋体" w:eastAsia="宋体" w:cs="宋体"/>
          <w:szCs w:val="21"/>
          <w:highlight w:val="none"/>
        </w:rPr>
        <w:t>未响应</w:t>
      </w:r>
      <w:r>
        <w:rPr>
          <w:rFonts w:hint="eastAsia" w:ascii="宋体" w:hAnsi="宋体" w:cs="宋体"/>
          <w:szCs w:val="21"/>
          <w:highlight w:val="none"/>
          <w:lang w:eastAsia="zh-CN"/>
        </w:rPr>
        <w:t>主要合同条款</w:t>
      </w:r>
      <w:r>
        <w:rPr>
          <w:rFonts w:hint="eastAsia" w:ascii="宋体" w:hAnsi="宋体" w:eastAsia="宋体" w:cs="宋体"/>
          <w:szCs w:val="21"/>
          <w:highlight w:val="none"/>
        </w:rPr>
        <w:t>或响应的</w:t>
      </w:r>
      <w:r>
        <w:rPr>
          <w:rFonts w:hint="eastAsia" w:ascii="宋体" w:hAnsi="宋体" w:cs="宋体"/>
          <w:szCs w:val="21"/>
          <w:highlight w:val="none"/>
          <w:lang w:eastAsia="zh-CN"/>
        </w:rPr>
        <w:t>主要合同条款</w:t>
      </w:r>
      <w:r>
        <w:rPr>
          <w:rFonts w:hint="eastAsia" w:ascii="宋体" w:hAnsi="宋体" w:eastAsia="宋体" w:cs="宋体"/>
          <w:szCs w:val="21"/>
          <w:highlight w:val="none"/>
        </w:rPr>
        <w:t xml:space="preserve">中附有采购人不能接受的附加条件的； </w:t>
      </w:r>
    </w:p>
    <w:p w14:paraId="6CA05558">
      <w:pPr>
        <w:keepNext w:val="0"/>
        <w:keepLines w:val="0"/>
        <w:pageBreakBefore w:val="0"/>
        <w:widowControl w:val="0"/>
        <w:numPr>
          <w:ilvl w:val="0"/>
          <w:numId w:val="7"/>
        </w:numPr>
        <w:kinsoku/>
        <w:wordWrap/>
        <w:overflowPunct/>
        <w:topLinePunct w:val="0"/>
        <w:autoSpaceDE/>
        <w:autoSpaceDN/>
        <w:bidi w:val="0"/>
        <w:adjustRightInd/>
        <w:snapToGrid/>
        <w:spacing w:line="500" w:lineRule="exact"/>
        <w:ind w:firstLine="420" w:firstLineChars="200"/>
        <w:textAlignment w:val="auto"/>
        <w:rPr>
          <w:rFonts w:hint="eastAsia" w:ascii="宋体" w:hAnsi="宋体" w:eastAsia="宋体" w:cs="宋体"/>
          <w:szCs w:val="21"/>
          <w:highlight w:val="none"/>
        </w:rPr>
      </w:pPr>
      <w:r>
        <w:rPr>
          <w:rFonts w:hint="eastAsia" w:ascii="宋体" w:hAnsi="宋体" w:eastAsia="宋体" w:cs="宋体"/>
          <w:szCs w:val="21"/>
          <w:highlight w:val="none"/>
        </w:rPr>
        <w:t>投标报价与市场价格偏离较大、低于成本、形成不正当竞争的；</w:t>
      </w:r>
    </w:p>
    <w:p w14:paraId="63255833">
      <w:pPr>
        <w:keepNext w:val="0"/>
        <w:keepLines w:val="0"/>
        <w:pageBreakBefore w:val="0"/>
        <w:widowControl w:val="0"/>
        <w:numPr>
          <w:ilvl w:val="0"/>
          <w:numId w:val="7"/>
        </w:numPr>
        <w:kinsoku/>
        <w:wordWrap/>
        <w:overflowPunct/>
        <w:topLinePunct w:val="0"/>
        <w:autoSpaceDE/>
        <w:autoSpaceDN/>
        <w:bidi w:val="0"/>
        <w:adjustRightInd/>
        <w:snapToGrid/>
        <w:spacing w:line="500" w:lineRule="exact"/>
        <w:ind w:firstLine="420" w:firstLineChars="200"/>
        <w:textAlignment w:val="auto"/>
        <w:rPr>
          <w:rFonts w:hint="eastAsia" w:ascii="宋体" w:hAnsi="宋体" w:eastAsia="宋体" w:cs="宋体"/>
          <w:szCs w:val="21"/>
          <w:highlight w:val="none"/>
        </w:rPr>
      </w:pPr>
      <w:r>
        <w:rPr>
          <w:rFonts w:hint="eastAsia" w:ascii="宋体" w:hAnsi="宋体" w:eastAsia="宋体" w:cs="宋体"/>
          <w:szCs w:val="21"/>
          <w:highlight w:val="none"/>
        </w:rPr>
        <w:t xml:space="preserve">与本采购项目其他投标人单位负责人为同一人或者存在控股、管理关系的； </w:t>
      </w:r>
    </w:p>
    <w:p w14:paraId="15F442FC">
      <w:pPr>
        <w:keepNext w:val="0"/>
        <w:keepLines w:val="0"/>
        <w:pageBreakBefore w:val="0"/>
        <w:widowControl w:val="0"/>
        <w:numPr>
          <w:ilvl w:val="0"/>
          <w:numId w:val="7"/>
        </w:numPr>
        <w:kinsoku/>
        <w:wordWrap/>
        <w:overflowPunct/>
        <w:topLinePunct w:val="0"/>
        <w:autoSpaceDE/>
        <w:autoSpaceDN/>
        <w:bidi w:val="0"/>
        <w:adjustRightInd/>
        <w:snapToGrid/>
        <w:spacing w:line="500" w:lineRule="exact"/>
        <w:ind w:firstLine="420" w:firstLineChars="200"/>
        <w:textAlignment w:val="auto"/>
        <w:rPr>
          <w:rFonts w:hint="eastAsia" w:ascii="宋体" w:hAnsi="宋体" w:eastAsia="宋体" w:cs="宋体"/>
          <w:szCs w:val="21"/>
          <w:highlight w:val="none"/>
        </w:rPr>
      </w:pPr>
      <w:r>
        <w:rPr>
          <w:rFonts w:hint="eastAsia" w:ascii="宋体" w:hAnsi="宋体" w:eastAsia="宋体" w:cs="宋体"/>
          <w:szCs w:val="21"/>
          <w:highlight w:val="none"/>
        </w:rPr>
        <w:t>为本项目提供整体设计、规范编制或者项目管理、监理、检测、咨询服务的；</w:t>
      </w:r>
    </w:p>
    <w:p w14:paraId="7A693642">
      <w:pPr>
        <w:keepNext w:val="0"/>
        <w:keepLines w:val="0"/>
        <w:pageBreakBefore w:val="0"/>
        <w:widowControl w:val="0"/>
        <w:numPr>
          <w:ilvl w:val="0"/>
          <w:numId w:val="7"/>
        </w:numPr>
        <w:kinsoku/>
        <w:wordWrap/>
        <w:overflowPunct/>
        <w:topLinePunct w:val="0"/>
        <w:autoSpaceDE/>
        <w:autoSpaceDN/>
        <w:bidi w:val="0"/>
        <w:adjustRightInd/>
        <w:snapToGrid/>
        <w:spacing w:line="500" w:lineRule="exact"/>
        <w:ind w:firstLine="420" w:firstLineChars="200"/>
        <w:textAlignment w:val="auto"/>
        <w:rPr>
          <w:rFonts w:hint="eastAsia" w:ascii="宋体" w:hAnsi="宋体" w:eastAsia="宋体" w:cs="宋体"/>
          <w:szCs w:val="21"/>
          <w:highlight w:val="none"/>
        </w:rPr>
      </w:pPr>
      <w:r>
        <w:rPr>
          <w:rFonts w:hint="eastAsia" w:ascii="宋体" w:hAnsi="宋体" w:eastAsia="宋体" w:cs="宋体"/>
          <w:szCs w:val="21"/>
          <w:highlight w:val="none"/>
        </w:rPr>
        <w:t>投标人有串通投标、弄虚作假（包括但不限于虚假资质、虚假证明、虚假应答等）、行贿等违法行为的；</w:t>
      </w:r>
    </w:p>
    <w:p w14:paraId="67119FD1">
      <w:pPr>
        <w:keepNext w:val="0"/>
        <w:keepLines w:val="0"/>
        <w:pageBreakBefore w:val="0"/>
        <w:widowControl w:val="0"/>
        <w:numPr>
          <w:ilvl w:val="0"/>
          <w:numId w:val="7"/>
        </w:numPr>
        <w:kinsoku/>
        <w:wordWrap/>
        <w:overflowPunct/>
        <w:topLinePunct w:val="0"/>
        <w:autoSpaceDE/>
        <w:autoSpaceDN/>
        <w:bidi w:val="0"/>
        <w:adjustRightInd/>
        <w:snapToGrid/>
        <w:spacing w:line="500" w:lineRule="exact"/>
        <w:ind w:firstLine="420" w:firstLineChars="200"/>
        <w:textAlignment w:val="auto"/>
        <w:rPr>
          <w:rFonts w:hint="eastAsia" w:ascii="宋体" w:hAnsi="宋体" w:eastAsia="宋体" w:cs="宋体"/>
          <w:szCs w:val="21"/>
          <w:highlight w:val="none"/>
        </w:rPr>
      </w:pPr>
      <w:r>
        <w:rPr>
          <w:rFonts w:hint="eastAsia" w:ascii="宋体" w:hAnsi="宋体" w:eastAsia="宋体" w:cs="宋体"/>
          <w:szCs w:val="21"/>
          <w:highlight w:val="none"/>
        </w:rPr>
        <w:t xml:space="preserve">法律、法规和招标文件规定的其他无效情形的。 </w:t>
      </w:r>
    </w:p>
    <w:p w14:paraId="2F1AE5DB">
      <w:pPr>
        <w:numPr>
          <w:ilvl w:val="0"/>
          <w:numId w:val="0"/>
        </w:numPr>
        <w:spacing w:before="240" w:after="120"/>
        <w:jc w:val="center"/>
        <w:outlineLvl w:val="2"/>
        <w:rPr>
          <w:rFonts w:hint="eastAsia" w:ascii="宋体" w:hAnsi="宋体" w:cs="宋体"/>
          <w:b/>
          <w:bCs/>
          <w:sz w:val="28"/>
          <w:highlight w:val="none"/>
        </w:rPr>
      </w:pPr>
      <w:r>
        <w:rPr>
          <w:rFonts w:hint="eastAsia" w:ascii="宋体" w:hAnsi="宋体" w:cs="宋体"/>
          <w:b/>
          <w:bCs/>
          <w:sz w:val="28"/>
          <w:highlight w:val="none"/>
        </w:rPr>
        <w:t>七、定标</w:t>
      </w:r>
    </w:p>
    <w:p w14:paraId="3FF3E2C1">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0" w:firstLineChars="0"/>
        <w:jc w:val="both"/>
        <w:textAlignment w:val="auto"/>
        <w:outlineLvl w:val="9"/>
        <w:rPr>
          <w:rFonts w:hint="eastAsia" w:ascii="宋体" w:hAnsi="宋体" w:cs="宋体"/>
          <w:b/>
          <w:bCs/>
          <w:kern w:val="0"/>
          <w:sz w:val="24"/>
          <w:highlight w:val="none"/>
        </w:rPr>
      </w:pPr>
      <w:r>
        <w:rPr>
          <w:rFonts w:hint="eastAsia" w:ascii="宋体" w:hAnsi="宋体" w:cs="宋体"/>
          <w:b/>
          <w:bCs/>
          <w:kern w:val="0"/>
          <w:sz w:val="24"/>
          <w:highlight w:val="none"/>
        </w:rPr>
        <w:t>3</w:t>
      </w:r>
      <w:r>
        <w:rPr>
          <w:rFonts w:hint="eastAsia" w:ascii="宋体" w:hAnsi="宋体" w:cs="宋体"/>
          <w:b/>
          <w:bCs/>
          <w:kern w:val="0"/>
          <w:sz w:val="24"/>
          <w:highlight w:val="none"/>
          <w:lang w:val="en-US" w:eastAsia="zh-CN"/>
        </w:rPr>
        <w:t>1</w:t>
      </w:r>
      <w:r>
        <w:rPr>
          <w:rFonts w:hint="eastAsia" w:ascii="宋体" w:hAnsi="宋体" w:cs="宋体"/>
          <w:b/>
          <w:bCs/>
          <w:kern w:val="0"/>
          <w:sz w:val="24"/>
          <w:highlight w:val="none"/>
        </w:rPr>
        <w:t>、定标原则</w:t>
      </w:r>
    </w:p>
    <w:p w14:paraId="6383EAF3">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0" w:firstLineChars="0"/>
        <w:jc w:val="both"/>
        <w:textAlignment w:val="auto"/>
        <w:outlineLvl w:val="9"/>
        <w:rPr>
          <w:rFonts w:hint="eastAsia"/>
          <w:highlight w:val="none"/>
        </w:rPr>
      </w:pPr>
      <w:r>
        <w:rPr>
          <w:rFonts w:hint="eastAsia"/>
          <w:highlight w:val="none"/>
          <w:lang w:val="en-US" w:eastAsia="zh-CN"/>
        </w:rPr>
        <w:t xml:space="preserve">    </w:t>
      </w:r>
      <w:r>
        <w:rPr>
          <w:rFonts w:hint="eastAsia"/>
          <w:highlight w:val="none"/>
        </w:rPr>
        <w:t>采购人根据评标委员会推荐的中标候选人名单，按顺序确定中标人。</w:t>
      </w:r>
    </w:p>
    <w:p w14:paraId="78062752">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0" w:firstLineChars="0"/>
        <w:jc w:val="both"/>
        <w:textAlignment w:val="auto"/>
        <w:outlineLvl w:val="9"/>
        <w:rPr>
          <w:rFonts w:hint="eastAsia" w:ascii="宋体" w:hAnsi="宋体" w:cs="宋体"/>
          <w:b/>
          <w:bCs/>
          <w:kern w:val="0"/>
          <w:sz w:val="24"/>
          <w:highlight w:val="none"/>
        </w:rPr>
      </w:pPr>
      <w:r>
        <w:rPr>
          <w:rFonts w:hint="eastAsia" w:ascii="宋体" w:hAnsi="宋体" w:cs="宋体"/>
          <w:b/>
          <w:bCs/>
          <w:kern w:val="0"/>
          <w:sz w:val="24"/>
          <w:highlight w:val="none"/>
        </w:rPr>
        <w:t>3</w:t>
      </w:r>
      <w:r>
        <w:rPr>
          <w:rFonts w:hint="eastAsia" w:ascii="宋体" w:hAnsi="宋体" w:cs="宋体"/>
          <w:b/>
          <w:bCs/>
          <w:kern w:val="0"/>
          <w:sz w:val="24"/>
          <w:highlight w:val="none"/>
          <w:lang w:val="en-US" w:eastAsia="zh-CN"/>
        </w:rPr>
        <w:t>2</w:t>
      </w:r>
      <w:r>
        <w:rPr>
          <w:rFonts w:hint="eastAsia" w:ascii="宋体" w:hAnsi="宋体" w:cs="宋体"/>
          <w:b/>
          <w:bCs/>
          <w:kern w:val="0"/>
          <w:sz w:val="24"/>
          <w:highlight w:val="none"/>
        </w:rPr>
        <w:t>、定标程序</w:t>
      </w:r>
    </w:p>
    <w:p w14:paraId="6333EF7C">
      <w:pPr>
        <w:numPr>
          <w:ilvl w:val="0"/>
          <w:numId w:val="0"/>
        </w:numPr>
        <w:spacing w:line="500" w:lineRule="exact"/>
        <w:ind w:firstLine="420" w:firstLineChars="200"/>
        <w:rPr>
          <w:rFonts w:hint="eastAsia" w:ascii="宋体" w:hAnsi="宋体" w:eastAsia="宋体" w:cs="宋体"/>
          <w:szCs w:val="21"/>
          <w:highlight w:val="none"/>
          <w:lang w:eastAsia="zh-CN"/>
        </w:rPr>
      </w:pPr>
      <w:r>
        <w:rPr>
          <w:rFonts w:hint="eastAsia" w:ascii="宋体" w:hAnsi="宋体" w:eastAsia="宋体" w:cs="宋体"/>
          <w:szCs w:val="21"/>
          <w:highlight w:val="none"/>
          <w:lang w:val="en-US" w:eastAsia="zh-CN"/>
        </w:rPr>
        <w:t>32</w:t>
      </w:r>
      <w:r>
        <w:rPr>
          <w:rFonts w:hint="eastAsia" w:ascii="宋体" w:hAnsi="宋体" w:eastAsia="宋体" w:cs="宋体"/>
          <w:szCs w:val="21"/>
          <w:highlight w:val="none"/>
          <w:lang w:eastAsia="zh-CN"/>
        </w:rPr>
        <w:t>.1评标委员会根据评标办法的规定对投标人进行评审排序，推荐一个以上三个以下中标候选人，形成评标报告，评审报告由评标委员会全体成员签字确认。</w:t>
      </w:r>
    </w:p>
    <w:p w14:paraId="0F9A2DCE">
      <w:pPr>
        <w:numPr>
          <w:ilvl w:val="0"/>
          <w:numId w:val="0"/>
        </w:numPr>
        <w:spacing w:line="500" w:lineRule="exact"/>
        <w:ind w:firstLine="420" w:firstLineChars="200"/>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3</w:t>
      </w:r>
      <w:r>
        <w:rPr>
          <w:rFonts w:hint="eastAsia" w:ascii="宋体" w:hAnsi="宋体" w:eastAsia="宋体" w:cs="宋体"/>
          <w:szCs w:val="21"/>
          <w:highlight w:val="none"/>
          <w:lang w:val="en-US" w:eastAsia="zh-CN"/>
        </w:rPr>
        <w:t>2</w:t>
      </w:r>
      <w:r>
        <w:rPr>
          <w:rFonts w:hint="eastAsia" w:ascii="宋体" w:hAnsi="宋体" w:eastAsia="宋体" w:cs="宋体"/>
          <w:szCs w:val="21"/>
          <w:highlight w:val="none"/>
          <w:lang w:eastAsia="zh-CN"/>
        </w:rPr>
        <w:t>.2采购代理机构应在评标结束后</w:t>
      </w:r>
      <w:r>
        <w:rPr>
          <w:rFonts w:hint="eastAsia" w:ascii="宋体" w:hAnsi="宋体" w:eastAsia="宋体" w:cs="宋体"/>
          <w:szCs w:val="21"/>
          <w:highlight w:val="none"/>
          <w:lang w:val="en-US" w:eastAsia="zh-CN"/>
        </w:rPr>
        <w:t>1</w:t>
      </w:r>
      <w:r>
        <w:rPr>
          <w:rFonts w:hint="eastAsia" w:ascii="宋体" w:hAnsi="宋体" w:eastAsia="宋体" w:cs="宋体"/>
          <w:szCs w:val="21"/>
          <w:highlight w:val="none"/>
          <w:lang w:eastAsia="zh-CN"/>
        </w:rPr>
        <w:t>个工作日内，将评标报告送采购人定标。</w:t>
      </w:r>
    </w:p>
    <w:p w14:paraId="12FEE62E">
      <w:pPr>
        <w:numPr>
          <w:ilvl w:val="0"/>
          <w:numId w:val="0"/>
        </w:numPr>
        <w:spacing w:line="500" w:lineRule="exact"/>
        <w:ind w:firstLine="420" w:firstLineChars="200"/>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3</w:t>
      </w:r>
      <w:r>
        <w:rPr>
          <w:rFonts w:hint="eastAsia" w:ascii="宋体" w:hAnsi="宋体" w:eastAsia="宋体" w:cs="宋体"/>
          <w:szCs w:val="21"/>
          <w:highlight w:val="none"/>
          <w:lang w:val="en-US" w:eastAsia="zh-CN"/>
        </w:rPr>
        <w:t>2</w:t>
      </w:r>
      <w:r>
        <w:rPr>
          <w:rFonts w:hint="eastAsia" w:ascii="宋体" w:hAnsi="宋体" w:eastAsia="宋体" w:cs="宋体"/>
          <w:szCs w:val="21"/>
          <w:highlight w:val="none"/>
          <w:lang w:eastAsia="zh-CN"/>
        </w:rPr>
        <w:t>.3采购人在收到评标报告后</w:t>
      </w:r>
      <w:r>
        <w:rPr>
          <w:rFonts w:hint="eastAsia" w:ascii="宋体" w:hAnsi="宋体" w:eastAsia="宋体" w:cs="宋体"/>
          <w:szCs w:val="21"/>
          <w:highlight w:val="none"/>
          <w:lang w:val="en-US" w:eastAsia="zh-CN"/>
        </w:rPr>
        <w:t>4</w:t>
      </w:r>
      <w:r>
        <w:rPr>
          <w:rFonts w:hint="eastAsia" w:ascii="宋体" w:hAnsi="宋体" w:eastAsia="宋体" w:cs="宋体"/>
          <w:szCs w:val="21"/>
          <w:highlight w:val="none"/>
          <w:lang w:eastAsia="zh-CN"/>
        </w:rPr>
        <w:t>个工作日内，根据评标报告中推荐的中标候选人排列顺序，确定排名第一的为中标人，也可以书面授权评标委员会评标后直接确定中标人，同时复函采购代理机构。</w:t>
      </w:r>
    </w:p>
    <w:p w14:paraId="3FFAC349">
      <w:pPr>
        <w:numPr>
          <w:ilvl w:val="0"/>
          <w:numId w:val="0"/>
        </w:numPr>
        <w:spacing w:line="500" w:lineRule="exact"/>
        <w:ind w:firstLine="420" w:firstLineChars="200"/>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3</w:t>
      </w:r>
      <w:r>
        <w:rPr>
          <w:rFonts w:hint="eastAsia" w:ascii="宋体" w:hAnsi="宋体" w:eastAsia="宋体" w:cs="宋体"/>
          <w:szCs w:val="21"/>
          <w:highlight w:val="none"/>
          <w:lang w:val="en-US" w:eastAsia="zh-CN"/>
        </w:rPr>
        <w:t>2</w:t>
      </w:r>
      <w:r>
        <w:rPr>
          <w:rFonts w:hint="eastAsia" w:ascii="宋体" w:hAnsi="宋体" w:eastAsia="宋体" w:cs="宋体"/>
          <w:szCs w:val="21"/>
          <w:highlight w:val="none"/>
          <w:lang w:eastAsia="zh-CN"/>
        </w:rPr>
        <w:t>.4采购代理机构在接到采购人的定标复函之日起</w:t>
      </w:r>
      <w:r>
        <w:rPr>
          <w:rFonts w:hint="eastAsia" w:ascii="宋体" w:hAnsi="宋体" w:eastAsia="宋体" w:cs="宋体"/>
          <w:szCs w:val="21"/>
          <w:highlight w:val="none"/>
          <w:lang w:val="en-US" w:eastAsia="zh-CN"/>
        </w:rPr>
        <w:t>1</w:t>
      </w:r>
      <w:r>
        <w:rPr>
          <w:rFonts w:hint="eastAsia" w:ascii="宋体" w:hAnsi="宋体" w:eastAsia="宋体" w:cs="宋体"/>
          <w:szCs w:val="21"/>
          <w:highlight w:val="none"/>
          <w:lang w:eastAsia="zh-CN"/>
        </w:rPr>
        <w:t>个工作日内，根据采购人确定的中标人，在财政部门指定的政府采购信息发布媒体上公告。</w:t>
      </w:r>
    </w:p>
    <w:p w14:paraId="1992B7E9">
      <w:pPr>
        <w:numPr>
          <w:ilvl w:val="0"/>
          <w:numId w:val="0"/>
        </w:numPr>
        <w:spacing w:line="500" w:lineRule="exact"/>
        <w:ind w:firstLine="420" w:firstLineChars="200"/>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3</w:t>
      </w:r>
      <w:r>
        <w:rPr>
          <w:rFonts w:hint="eastAsia" w:ascii="宋体" w:hAnsi="宋体" w:eastAsia="宋体" w:cs="宋体"/>
          <w:szCs w:val="21"/>
          <w:highlight w:val="none"/>
          <w:lang w:val="en-US" w:eastAsia="zh-CN"/>
        </w:rPr>
        <w:t>2</w:t>
      </w:r>
      <w:r>
        <w:rPr>
          <w:rFonts w:hint="eastAsia" w:ascii="宋体" w:hAnsi="宋体" w:eastAsia="宋体" w:cs="宋体"/>
          <w:szCs w:val="21"/>
          <w:highlight w:val="none"/>
          <w:lang w:eastAsia="zh-CN"/>
        </w:rPr>
        <w:t>.5采购单位不解释中标或落标原因，未中标人不得向评标委员会组成人员或其他有关人员索问评标过程的情况和材料。</w:t>
      </w:r>
    </w:p>
    <w:p w14:paraId="526C444C">
      <w:pPr>
        <w:numPr>
          <w:ilvl w:val="0"/>
          <w:numId w:val="0"/>
        </w:numPr>
        <w:spacing w:line="500" w:lineRule="exact"/>
        <w:ind w:firstLine="420" w:firstLineChars="200"/>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3</w:t>
      </w:r>
      <w:r>
        <w:rPr>
          <w:rFonts w:hint="eastAsia" w:ascii="宋体" w:hAnsi="宋体" w:eastAsia="宋体" w:cs="宋体"/>
          <w:szCs w:val="21"/>
          <w:highlight w:val="none"/>
          <w:lang w:val="en-US" w:eastAsia="zh-CN"/>
        </w:rPr>
        <w:t>2</w:t>
      </w:r>
      <w:r>
        <w:rPr>
          <w:rFonts w:hint="eastAsia" w:ascii="宋体" w:hAnsi="宋体" w:eastAsia="宋体" w:cs="宋体"/>
          <w:szCs w:val="21"/>
          <w:highlight w:val="none"/>
          <w:lang w:eastAsia="zh-CN"/>
        </w:rPr>
        <w:t>.6</w:t>
      </w:r>
      <w:r>
        <w:rPr>
          <w:rFonts w:hint="eastAsia" w:ascii="宋体" w:hAnsi="宋体" w:cs="宋体"/>
          <w:szCs w:val="21"/>
          <w:highlight w:val="none"/>
          <w:lang w:val="en-US" w:eastAsia="zh-CN"/>
        </w:rPr>
        <w:t xml:space="preserve"> </w:t>
      </w:r>
      <w:r>
        <w:rPr>
          <w:rFonts w:hint="eastAsia" w:ascii="宋体" w:hAnsi="宋体" w:eastAsia="宋体" w:cs="宋体"/>
          <w:szCs w:val="21"/>
          <w:highlight w:val="none"/>
          <w:lang w:eastAsia="zh-CN"/>
        </w:rPr>
        <w:t>投标人对中标公告有异议的，按照《中华人民共和国政府采购法》第五十二条之规定执行。提出质疑的投标人应当有明确的请求和必要的证明材料，应保证提出的质疑内容及相应证明材料的真实性及来源的合法性，并承担相应的法律责任。</w:t>
      </w:r>
    </w:p>
    <w:p w14:paraId="3AAEEA0B">
      <w:pPr>
        <w:numPr>
          <w:ilvl w:val="0"/>
          <w:numId w:val="0"/>
        </w:numPr>
        <w:spacing w:line="500" w:lineRule="exact"/>
        <w:ind w:firstLine="420" w:firstLineChars="200"/>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32.7</w:t>
      </w:r>
      <w:r>
        <w:rPr>
          <w:rFonts w:hint="eastAsia" w:ascii="宋体" w:hAnsi="宋体" w:cs="宋体"/>
          <w:szCs w:val="21"/>
          <w:highlight w:val="none"/>
          <w:lang w:val="en-US" w:eastAsia="zh-CN"/>
        </w:rPr>
        <w:t xml:space="preserve"> </w:t>
      </w:r>
      <w:r>
        <w:rPr>
          <w:rFonts w:hint="eastAsia" w:ascii="宋体" w:hAnsi="宋体" w:eastAsia="宋体" w:cs="宋体"/>
          <w:szCs w:val="21"/>
          <w:highlight w:val="none"/>
          <w:lang w:val="en-US" w:eastAsia="zh-CN"/>
        </w:rPr>
        <w:t>中标人拒绝与采购人签订合同的，采购人可以按照评审报告推荐的中标候选人名单排序，确定下一候选人为中标人，也可以重新开展政府采购活动。</w:t>
      </w:r>
    </w:p>
    <w:p w14:paraId="1ED5ECA5">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0" w:firstLineChars="0"/>
        <w:jc w:val="both"/>
        <w:textAlignment w:val="auto"/>
        <w:outlineLvl w:val="9"/>
        <w:rPr>
          <w:rFonts w:hint="eastAsia" w:ascii="宋体" w:hAnsi="宋体" w:cs="宋体"/>
          <w:b/>
          <w:bCs/>
          <w:kern w:val="0"/>
          <w:sz w:val="24"/>
          <w:highlight w:val="none"/>
          <w:lang w:eastAsia="zh-CN"/>
        </w:rPr>
      </w:pPr>
      <w:r>
        <w:rPr>
          <w:rFonts w:hint="eastAsia" w:ascii="宋体" w:hAnsi="宋体" w:cs="宋体"/>
          <w:b/>
          <w:bCs/>
          <w:kern w:val="0"/>
          <w:sz w:val="24"/>
          <w:highlight w:val="none"/>
          <w:lang w:eastAsia="zh-CN"/>
        </w:rPr>
        <w:t>3</w:t>
      </w:r>
      <w:r>
        <w:rPr>
          <w:rFonts w:hint="eastAsia" w:ascii="宋体" w:hAnsi="宋体" w:cs="宋体"/>
          <w:b/>
          <w:bCs/>
          <w:kern w:val="0"/>
          <w:sz w:val="24"/>
          <w:highlight w:val="none"/>
          <w:lang w:val="en-US" w:eastAsia="zh-CN"/>
        </w:rPr>
        <w:t>3</w:t>
      </w:r>
      <w:r>
        <w:rPr>
          <w:rFonts w:hint="eastAsia" w:ascii="宋体" w:hAnsi="宋体" w:cs="宋体"/>
          <w:b/>
          <w:bCs/>
          <w:kern w:val="0"/>
          <w:sz w:val="24"/>
          <w:highlight w:val="none"/>
          <w:lang w:eastAsia="zh-CN"/>
        </w:rPr>
        <w:t>、中标通知书</w:t>
      </w:r>
    </w:p>
    <w:p w14:paraId="1E44251F">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420" w:firstLineChars="200"/>
        <w:jc w:val="both"/>
        <w:textAlignment w:val="auto"/>
        <w:outlineLvl w:val="9"/>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3</w:t>
      </w:r>
      <w:r>
        <w:rPr>
          <w:rFonts w:hint="eastAsia" w:ascii="宋体" w:hAnsi="宋体" w:eastAsia="宋体" w:cs="宋体"/>
          <w:szCs w:val="21"/>
          <w:highlight w:val="none"/>
          <w:lang w:val="en-US" w:eastAsia="zh-CN"/>
        </w:rPr>
        <w:t>3</w:t>
      </w:r>
      <w:r>
        <w:rPr>
          <w:rFonts w:hint="eastAsia" w:ascii="宋体" w:hAnsi="宋体" w:eastAsia="宋体" w:cs="宋体"/>
          <w:szCs w:val="21"/>
          <w:highlight w:val="none"/>
          <w:lang w:eastAsia="zh-CN"/>
        </w:rPr>
        <w:t>.1</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lang w:eastAsia="zh-CN"/>
        </w:rPr>
        <w:t>中标人确定之后，</w:t>
      </w:r>
      <w:r>
        <w:rPr>
          <w:rFonts w:hint="eastAsia" w:ascii="宋体" w:hAnsi="宋体" w:cs="宋体"/>
          <w:szCs w:val="21"/>
          <w:highlight w:val="none"/>
          <w:lang w:eastAsia="zh-CN"/>
        </w:rPr>
        <w:t>瑞恒项目管理有限公司</w:t>
      </w:r>
      <w:r>
        <w:rPr>
          <w:rFonts w:hint="eastAsia" w:ascii="宋体" w:hAnsi="宋体" w:eastAsia="宋体" w:cs="宋体"/>
          <w:szCs w:val="21"/>
          <w:highlight w:val="none"/>
          <w:lang w:eastAsia="zh-CN"/>
        </w:rPr>
        <w:t>将发出《中标通知书》。</w:t>
      </w:r>
    </w:p>
    <w:p w14:paraId="3D3DDDB1">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420" w:firstLineChars="200"/>
        <w:jc w:val="both"/>
        <w:textAlignment w:val="auto"/>
        <w:outlineLvl w:val="9"/>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3</w:t>
      </w:r>
      <w:r>
        <w:rPr>
          <w:rFonts w:hint="eastAsia" w:ascii="宋体" w:hAnsi="宋体" w:eastAsia="宋体" w:cs="宋体"/>
          <w:szCs w:val="21"/>
          <w:highlight w:val="none"/>
          <w:lang w:val="en-US" w:eastAsia="zh-CN"/>
        </w:rPr>
        <w:t>3</w:t>
      </w:r>
      <w:r>
        <w:rPr>
          <w:rFonts w:hint="eastAsia" w:ascii="宋体" w:hAnsi="宋体" w:eastAsia="宋体" w:cs="宋体"/>
          <w:szCs w:val="21"/>
          <w:highlight w:val="none"/>
          <w:lang w:eastAsia="zh-CN"/>
        </w:rPr>
        <w:t xml:space="preserve">.2 </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lang w:eastAsia="zh-CN"/>
        </w:rPr>
        <w:t>中标通知书为签订政府采购合同的依据，是合同的重要组成部分。</w:t>
      </w:r>
    </w:p>
    <w:p w14:paraId="3189A5FA">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420" w:firstLineChars="200"/>
        <w:jc w:val="both"/>
        <w:textAlignment w:val="auto"/>
        <w:outlineLvl w:val="9"/>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3</w:t>
      </w:r>
      <w:r>
        <w:rPr>
          <w:rFonts w:hint="eastAsia" w:ascii="宋体" w:hAnsi="宋体" w:eastAsia="宋体" w:cs="宋体"/>
          <w:szCs w:val="21"/>
          <w:highlight w:val="none"/>
          <w:lang w:val="en-US" w:eastAsia="zh-CN"/>
        </w:rPr>
        <w:t>3</w:t>
      </w:r>
      <w:r>
        <w:rPr>
          <w:rFonts w:hint="eastAsia" w:ascii="宋体" w:hAnsi="宋体" w:eastAsia="宋体" w:cs="宋体"/>
          <w:szCs w:val="21"/>
          <w:highlight w:val="none"/>
          <w:lang w:eastAsia="zh-CN"/>
        </w:rPr>
        <w:t xml:space="preserve">.3 </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lang w:eastAsia="zh-CN"/>
        </w:rPr>
        <w:t>中标通知书对采购人和中标人均具有法律效力。中标通知书发出后，采购人改变中标结果，或者中标人无正当理由放弃中标的，应当承担相应的法律责任。</w:t>
      </w:r>
    </w:p>
    <w:p w14:paraId="0B04ED5A">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420" w:firstLineChars="200"/>
        <w:jc w:val="both"/>
        <w:textAlignment w:val="auto"/>
        <w:outlineLvl w:val="9"/>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3</w:t>
      </w:r>
      <w:r>
        <w:rPr>
          <w:rFonts w:hint="eastAsia" w:ascii="宋体" w:hAnsi="宋体" w:eastAsia="宋体" w:cs="宋体"/>
          <w:szCs w:val="21"/>
          <w:highlight w:val="none"/>
          <w:lang w:val="en-US" w:eastAsia="zh-CN"/>
        </w:rPr>
        <w:t>3</w:t>
      </w:r>
      <w:r>
        <w:rPr>
          <w:rFonts w:hint="eastAsia" w:ascii="宋体" w:hAnsi="宋体" w:eastAsia="宋体" w:cs="宋体"/>
          <w:szCs w:val="21"/>
          <w:highlight w:val="none"/>
          <w:lang w:eastAsia="zh-CN"/>
        </w:rPr>
        <w:t xml:space="preserve">.4 </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lang w:eastAsia="zh-CN"/>
        </w:rPr>
        <w:t>中标人在接到采购代理机构通知之日起</w:t>
      </w:r>
      <w:r>
        <w:rPr>
          <w:rFonts w:hint="eastAsia" w:ascii="宋体" w:hAnsi="宋体" w:eastAsia="宋体" w:cs="宋体"/>
          <w:szCs w:val="21"/>
          <w:highlight w:val="none"/>
          <w:lang w:val="en-US" w:eastAsia="zh-CN"/>
        </w:rPr>
        <w:t>7</w:t>
      </w:r>
      <w:r>
        <w:rPr>
          <w:rFonts w:hint="eastAsia" w:ascii="宋体" w:hAnsi="宋体" w:eastAsia="宋体" w:cs="宋体"/>
          <w:szCs w:val="21"/>
          <w:highlight w:val="none"/>
          <w:lang w:eastAsia="zh-CN"/>
        </w:rPr>
        <w:t>日内领取《中标通知书》。如果已中标的投标人不能按投标文件，包括补充文件（如澄清、承诺等）中承诺的条件履行签约行为，采购人有权取消其中标资格。</w:t>
      </w:r>
    </w:p>
    <w:p w14:paraId="6618E171">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420" w:firstLineChars="200"/>
        <w:jc w:val="both"/>
        <w:textAlignment w:val="auto"/>
        <w:outlineLvl w:val="9"/>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3</w:t>
      </w:r>
      <w:r>
        <w:rPr>
          <w:rFonts w:hint="eastAsia" w:ascii="宋体" w:hAnsi="宋体" w:eastAsia="宋体" w:cs="宋体"/>
          <w:szCs w:val="21"/>
          <w:highlight w:val="none"/>
          <w:lang w:val="en-US" w:eastAsia="zh-CN"/>
        </w:rPr>
        <w:t>3</w:t>
      </w:r>
      <w:r>
        <w:rPr>
          <w:rFonts w:hint="eastAsia" w:ascii="宋体" w:hAnsi="宋体" w:eastAsia="宋体" w:cs="宋体"/>
          <w:szCs w:val="21"/>
          <w:highlight w:val="none"/>
          <w:lang w:eastAsia="zh-CN"/>
        </w:rPr>
        <w:t xml:space="preserve">.5 </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lang w:eastAsia="zh-CN"/>
        </w:rPr>
        <w:t>在《中标通知书》发出后，发现中标人有政府采购法律法规规章制度规定的中标无效情形的，采购代理机构在取得监督管理机构的认定以后，应当宣布发出的《中标通知书》无效，并收回发出的《中标通知书》（中标人也应当缴回），依法重新确定中标人或者重新开展采购活动。</w:t>
      </w:r>
    </w:p>
    <w:p w14:paraId="11C70EA0">
      <w:pPr>
        <w:numPr>
          <w:ilvl w:val="0"/>
          <w:numId w:val="0"/>
        </w:numPr>
        <w:spacing w:line="500" w:lineRule="exact"/>
        <w:ind w:firstLine="420" w:firstLineChars="200"/>
        <w:rPr>
          <w:rFonts w:hint="eastAsia"/>
          <w:highlight w:val="none"/>
        </w:rPr>
      </w:pPr>
      <w:r>
        <w:rPr>
          <w:rFonts w:hint="eastAsia" w:ascii="宋体" w:hAnsi="宋体" w:eastAsia="宋体" w:cs="宋体"/>
          <w:szCs w:val="21"/>
          <w:highlight w:val="none"/>
          <w:lang w:eastAsia="zh-CN"/>
        </w:rPr>
        <w:t>3</w:t>
      </w:r>
      <w:r>
        <w:rPr>
          <w:rFonts w:hint="eastAsia" w:ascii="宋体" w:hAnsi="宋体" w:eastAsia="宋体" w:cs="宋体"/>
          <w:szCs w:val="21"/>
          <w:highlight w:val="none"/>
          <w:lang w:val="en-US" w:eastAsia="zh-CN"/>
        </w:rPr>
        <w:t>3</w:t>
      </w:r>
      <w:r>
        <w:rPr>
          <w:rFonts w:hint="eastAsia" w:ascii="宋体" w:hAnsi="宋体" w:eastAsia="宋体" w:cs="宋体"/>
          <w:szCs w:val="21"/>
          <w:highlight w:val="none"/>
          <w:lang w:eastAsia="zh-CN"/>
        </w:rPr>
        <w:t xml:space="preserve">.6 </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lang w:eastAsia="zh-CN"/>
        </w:rPr>
        <w:t>若排名第一的中标候选人放弃中标、因不可抗力不能履行合同、或者被查实存在影响中标结果的违法行为等情形，不符合中标条件的，采购人可以按照评标委员会提出的中标候选人名单排序依次确定其他中标候选人为中标人，也可以重新招标。</w:t>
      </w:r>
    </w:p>
    <w:p w14:paraId="24AB8129">
      <w:pPr>
        <w:numPr>
          <w:ilvl w:val="0"/>
          <w:numId w:val="0"/>
        </w:numPr>
        <w:spacing w:before="240" w:after="120"/>
        <w:jc w:val="center"/>
        <w:outlineLvl w:val="2"/>
        <w:rPr>
          <w:rFonts w:hint="eastAsia" w:ascii="宋体" w:hAnsi="宋体" w:cs="宋体"/>
          <w:b/>
          <w:bCs/>
          <w:sz w:val="28"/>
          <w:highlight w:val="none"/>
        </w:rPr>
      </w:pPr>
      <w:r>
        <w:rPr>
          <w:rFonts w:hint="eastAsia" w:ascii="宋体" w:hAnsi="宋体" w:cs="宋体"/>
          <w:b/>
          <w:bCs/>
          <w:sz w:val="28"/>
          <w:highlight w:val="none"/>
        </w:rPr>
        <w:t>八、废标</w:t>
      </w:r>
    </w:p>
    <w:p w14:paraId="4E8A9752">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0" w:firstLineChars="0"/>
        <w:jc w:val="both"/>
        <w:textAlignment w:val="auto"/>
        <w:outlineLvl w:val="9"/>
        <w:rPr>
          <w:rFonts w:hint="eastAsia" w:ascii="宋体" w:hAnsi="宋体" w:eastAsia="宋体" w:cs="宋体"/>
          <w:b/>
          <w:bCs/>
          <w:kern w:val="0"/>
          <w:sz w:val="24"/>
          <w:highlight w:val="none"/>
          <w:lang w:val="en-US" w:eastAsia="zh-CN"/>
        </w:rPr>
      </w:pPr>
      <w:r>
        <w:rPr>
          <w:rFonts w:hint="eastAsia" w:ascii="宋体" w:hAnsi="宋体" w:cs="宋体"/>
          <w:b/>
          <w:bCs/>
          <w:kern w:val="0"/>
          <w:sz w:val="24"/>
          <w:highlight w:val="none"/>
        </w:rPr>
        <w:t>3</w:t>
      </w:r>
      <w:r>
        <w:rPr>
          <w:rFonts w:hint="eastAsia" w:ascii="宋体" w:hAnsi="宋体" w:cs="宋体"/>
          <w:b/>
          <w:bCs/>
          <w:kern w:val="0"/>
          <w:sz w:val="24"/>
          <w:highlight w:val="none"/>
          <w:lang w:val="en-US" w:eastAsia="zh-CN"/>
        </w:rPr>
        <w:t>4</w:t>
      </w:r>
      <w:r>
        <w:rPr>
          <w:rFonts w:hint="eastAsia" w:ascii="宋体" w:hAnsi="宋体" w:cs="宋体"/>
          <w:b/>
          <w:bCs/>
          <w:kern w:val="0"/>
          <w:sz w:val="24"/>
          <w:highlight w:val="none"/>
        </w:rPr>
        <w:t>、废标的情形</w:t>
      </w:r>
      <w:r>
        <w:rPr>
          <w:rFonts w:hint="eastAsia" w:ascii="宋体" w:hAnsi="宋体" w:cs="宋体"/>
          <w:b/>
          <w:bCs/>
          <w:kern w:val="0"/>
          <w:sz w:val="24"/>
          <w:highlight w:val="none"/>
          <w:lang w:val="en-US" w:eastAsia="zh-CN"/>
        </w:rPr>
        <w:t xml:space="preserve"> </w:t>
      </w:r>
    </w:p>
    <w:p w14:paraId="3451C600">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0" w:firstLineChars="0"/>
        <w:jc w:val="both"/>
        <w:textAlignment w:val="auto"/>
        <w:outlineLvl w:val="9"/>
        <w:rPr>
          <w:rFonts w:hint="eastAsia" w:ascii="宋体" w:hAnsi="宋体" w:eastAsia="宋体" w:cs="宋体"/>
          <w:sz w:val="21"/>
          <w:szCs w:val="21"/>
          <w:highlight w:val="none"/>
        </w:rPr>
      </w:pPr>
      <w:r>
        <w:rPr>
          <w:rFonts w:hint="eastAsia"/>
          <w:highlight w:val="none"/>
        </w:rPr>
        <w:t xml:space="preserve">   </w:t>
      </w:r>
      <w:r>
        <w:rPr>
          <w:rFonts w:hint="eastAsia" w:ascii="宋体" w:hAnsi="宋体" w:eastAsia="宋体" w:cs="宋体"/>
          <w:sz w:val="21"/>
          <w:szCs w:val="21"/>
          <w:highlight w:val="none"/>
        </w:rPr>
        <w:t xml:space="preserve"> 招标采购中，出现下列情形之一的，予以废标：</w:t>
      </w:r>
    </w:p>
    <w:p w14:paraId="317C9B6C">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0" w:firstLineChars="0"/>
        <w:jc w:val="both"/>
        <w:textAlignment w:val="auto"/>
        <w:outlineLvl w:val="9"/>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（1）出现影响采购公正的违法、违规行为的；</w:t>
      </w:r>
    </w:p>
    <w:p w14:paraId="7E28022A">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0" w:firstLineChars="0"/>
        <w:jc w:val="both"/>
        <w:textAlignment w:val="auto"/>
        <w:outlineLvl w:val="9"/>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（2）投标人的</w:t>
      </w:r>
      <w:r>
        <w:rPr>
          <w:rFonts w:hint="eastAsia" w:ascii="宋体" w:hAnsi="宋体" w:eastAsia="宋体" w:cs="宋体"/>
          <w:sz w:val="21"/>
          <w:szCs w:val="21"/>
          <w:highlight w:val="none"/>
          <w:lang w:eastAsia="zh-CN"/>
        </w:rPr>
        <w:t>投标</w:t>
      </w:r>
      <w:r>
        <w:rPr>
          <w:rFonts w:hint="eastAsia" w:ascii="宋体" w:hAnsi="宋体" w:eastAsia="宋体" w:cs="宋体"/>
          <w:sz w:val="21"/>
          <w:szCs w:val="21"/>
          <w:highlight w:val="none"/>
        </w:rPr>
        <w:t>报价均超过了采购预算</w:t>
      </w:r>
      <w:r>
        <w:rPr>
          <w:rFonts w:hint="eastAsia" w:ascii="宋体" w:hAnsi="宋体" w:eastAsia="宋体" w:cs="宋体"/>
          <w:sz w:val="21"/>
          <w:szCs w:val="21"/>
          <w:highlight w:val="none"/>
          <w:lang w:val="en-US" w:eastAsia="zh-CN"/>
        </w:rPr>
        <w:t>或最高限价</w:t>
      </w:r>
      <w:r>
        <w:rPr>
          <w:rFonts w:hint="eastAsia" w:ascii="宋体" w:hAnsi="宋体" w:eastAsia="宋体" w:cs="宋体"/>
          <w:sz w:val="21"/>
          <w:szCs w:val="21"/>
          <w:highlight w:val="none"/>
        </w:rPr>
        <w:t>，采购人不能支付的；</w:t>
      </w:r>
    </w:p>
    <w:p w14:paraId="3EB6C5AF">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0" w:firstLineChars="0"/>
        <w:jc w:val="both"/>
        <w:textAlignment w:val="auto"/>
        <w:outlineLvl w:val="9"/>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（3）评标委员会三分之二以上的评委认定所有投标报价存在价格不实的现象；</w:t>
      </w:r>
    </w:p>
    <w:p w14:paraId="77561257">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420" w:firstLineChars="0"/>
        <w:jc w:val="both"/>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（4）有证据证明有围标现象的发生；</w:t>
      </w:r>
    </w:p>
    <w:p w14:paraId="429432BD">
      <w:pPr>
        <w:autoSpaceDE w:val="0"/>
        <w:autoSpaceDN w:val="0"/>
        <w:adjustRightInd w:val="0"/>
        <w:spacing w:line="500" w:lineRule="exact"/>
        <w:ind w:right="6"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有证据证明有《中华人民共和国财政部令第</w:t>
      </w:r>
      <w:r>
        <w:rPr>
          <w:rFonts w:hint="eastAsia" w:ascii="宋体" w:hAnsi="宋体" w:eastAsia="宋体" w:cs="宋体"/>
          <w:color w:val="auto"/>
          <w:sz w:val="21"/>
          <w:szCs w:val="21"/>
          <w:highlight w:val="none"/>
          <w:lang w:val="en-US" w:eastAsia="zh-CN"/>
        </w:rPr>
        <w:t>87号》第37条串标情形的；</w:t>
      </w:r>
    </w:p>
    <w:p w14:paraId="040A9766">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0" w:firstLineChars="0"/>
        <w:jc w:val="both"/>
        <w:textAlignment w:val="auto"/>
        <w:outlineLvl w:val="9"/>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w:t>
      </w:r>
      <w:r>
        <w:rPr>
          <w:rFonts w:hint="eastAsia" w:ascii="宋体" w:hAnsi="宋体" w:eastAsia="宋体" w:cs="宋体"/>
          <w:sz w:val="21"/>
          <w:szCs w:val="21"/>
          <w:highlight w:val="none"/>
          <w:lang w:val="en-US" w:eastAsia="zh-CN"/>
        </w:rPr>
        <w:t>6</w:t>
      </w:r>
      <w:r>
        <w:rPr>
          <w:rFonts w:hint="eastAsia" w:ascii="宋体" w:hAnsi="宋体" w:eastAsia="宋体" w:cs="宋体"/>
          <w:sz w:val="21"/>
          <w:szCs w:val="21"/>
          <w:highlight w:val="none"/>
        </w:rPr>
        <w:t>）因重大变故，采购任务取消的。</w:t>
      </w:r>
    </w:p>
    <w:p w14:paraId="17A4D94E">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0" w:firstLineChars="0"/>
        <w:jc w:val="both"/>
        <w:textAlignment w:val="auto"/>
        <w:outlineLvl w:val="9"/>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废标后，采购代理机构应在财政部门指定采购网上公告，并公告废标的详细理由。</w:t>
      </w:r>
    </w:p>
    <w:p w14:paraId="7C847FCF">
      <w:pPr>
        <w:numPr>
          <w:ilvl w:val="0"/>
          <w:numId w:val="0"/>
        </w:numPr>
        <w:spacing w:before="240" w:after="120"/>
        <w:jc w:val="center"/>
        <w:outlineLvl w:val="2"/>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九、合同授予</w:t>
      </w:r>
    </w:p>
    <w:p w14:paraId="5C8C9731">
      <w:pPr>
        <w:autoSpaceDE w:val="0"/>
        <w:autoSpaceDN w:val="0"/>
        <w:adjustRightInd w:val="0"/>
        <w:spacing w:line="500" w:lineRule="exact"/>
        <w:ind w:right="6"/>
        <w:rPr>
          <w:rFonts w:hint="eastAsia" w:ascii="宋体" w:hAnsi="宋体" w:eastAsia="宋体" w:cs="宋体"/>
          <w:color w:val="000000"/>
          <w:sz w:val="21"/>
          <w:szCs w:val="21"/>
          <w:highlight w:val="none"/>
        </w:rPr>
      </w:pPr>
      <w:r>
        <w:rPr>
          <w:rFonts w:hint="eastAsia" w:ascii="宋体" w:hAnsi="宋体" w:eastAsia="宋体" w:cs="宋体"/>
          <w:b/>
          <w:bCs/>
          <w:color w:val="auto"/>
          <w:kern w:val="0"/>
          <w:sz w:val="21"/>
          <w:szCs w:val="21"/>
          <w:highlight w:val="none"/>
          <w:lang w:val="en-US" w:eastAsia="zh-CN"/>
        </w:rPr>
        <w:t>35、</w:t>
      </w:r>
      <w:r>
        <w:rPr>
          <w:rFonts w:hint="eastAsia" w:ascii="宋体" w:hAnsi="宋体" w:eastAsia="宋体" w:cs="宋体"/>
          <w:b/>
          <w:bCs/>
          <w:color w:val="auto"/>
          <w:kern w:val="0"/>
          <w:sz w:val="21"/>
          <w:szCs w:val="21"/>
          <w:highlight w:val="none"/>
        </w:rPr>
        <w:t>履约担保</w:t>
      </w:r>
      <w:r>
        <w:rPr>
          <w:rFonts w:hint="eastAsia" w:ascii="宋体" w:hAnsi="宋体" w:eastAsia="宋体" w:cs="宋体"/>
          <w:b/>
          <w:bCs/>
          <w:color w:val="auto"/>
          <w:kern w:val="0"/>
          <w:sz w:val="21"/>
          <w:szCs w:val="21"/>
          <w:highlight w:val="none"/>
          <w:lang w:eastAsia="zh-CN"/>
        </w:rPr>
        <w:t>（若有）</w:t>
      </w:r>
    </w:p>
    <w:p w14:paraId="2AA2E801">
      <w:pPr>
        <w:autoSpaceDE w:val="0"/>
        <w:autoSpaceDN w:val="0"/>
        <w:adjustRightInd w:val="0"/>
        <w:spacing w:line="500" w:lineRule="exact"/>
        <w:ind w:right="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3</w:t>
      </w:r>
      <w:r>
        <w:rPr>
          <w:rFonts w:hint="eastAsia" w:ascii="宋体" w:hAnsi="宋体" w:eastAsia="宋体" w:cs="宋体"/>
          <w:color w:val="000000"/>
          <w:sz w:val="21"/>
          <w:szCs w:val="21"/>
          <w:highlight w:val="none"/>
          <w:lang w:val="en-US" w:eastAsia="zh-CN"/>
        </w:rPr>
        <w:t>5</w:t>
      </w:r>
      <w:r>
        <w:rPr>
          <w:rFonts w:hint="eastAsia" w:ascii="宋体" w:hAnsi="宋体" w:eastAsia="宋体" w:cs="宋体"/>
          <w:color w:val="000000"/>
          <w:sz w:val="21"/>
          <w:szCs w:val="21"/>
          <w:highlight w:val="none"/>
        </w:rPr>
        <w:t>.</w:t>
      </w:r>
      <w:r>
        <w:rPr>
          <w:rFonts w:hint="eastAsia" w:ascii="宋体" w:hAnsi="宋体" w:cs="宋体"/>
          <w:color w:val="000000"/>
          <w:sz w:val="21"/>
          <w:szCs w:val="21"/>
          <w:highlight w:val="none"/>
          <w:lang w:val="en-US" w:eastAsia="zh-CN"/>
        </w:rPr>
        <w:t>1</w:t>
      </w:r>
      <w:r>
        <w:rPr>
          <w:rFonts w:hint="eastAsia" w:ascii="宋体" w:hAnsi="宋体" w:eastAsia="宋体" w:cs="宋体"/>
          <w:color w:val="000000"/>
          <w:sz w:val="21"/>
          <w:szCs w:val="21"/>
          <w:highlight w:val="none"/>
        </w:rPr>
        <w:t>采用银行保函时，出具银行保函的银行级别在</w:t>
      </w:r>
      <w:r>
        <w:rPr>
          <w:rFonts w:hint="eastAsia" w:ascii="宋体" w:hAnsi="宋体" w:eastAsia="宋体" w:cs="宋体"/>
          <w:color w:val="000000"/>
          <w:sz w:val="21"/>
          <w:szCs w:val="21"/>
          <w:highlight w:val="none"/>
          <w:lang w:eastAsia="zh-CN"/>
        </w:rPr>
        <w:t>投标人</w:t>
      </w:r>
      <w:r>
        <w:rPr>
          <w:rFonts w:hint="eastAsia" w:ascii="宋体" w:hAnsi="宋体" w:eastAsia="宋体" w:cs="宋体"/>
          <w:color w:val="000000"/>
          <w:sz w:val="21"/>
          <w:szCs w:val="21"/>
          <w:highlight w:val="none"/>
        </w:rPr>
        <w:t>须知前附表中说明，所需的费用由</w:t>
      </w:r>
      <w:r>
        <w:rPr>
          <w:rFonts w:hint="eastAsia" w:ascii="宋体" w:hAnsi="宋体" w:eastAsia="宋体" w:cs="宋体"/>
          <w:color w:val="000000"/>
          <w:sz w:val="21"/>
          <w:szCs w:val="21"/>
          <w:highlight w:val="none"/>
          <w:lang w:eastAsia="zh-CN"/>
        </w:rPr>
        <w:t>中标人</w:t>
      </w:r>
      <w:r>
        <w:rPr>
          <w:rFonts w:hint="eastAsia" w:ascii="宋体" w:hAnsi="宋体" w:eastAsia="宋体" w:cs="宋体"/>
          <w:color w:val="000000"/>
          <w:sz w:val="21"/>
          <w:szCs w:val="21"/>
          <w:highlight w:val="none"/>
        </w:rPr>
        <w:t>承担，</w:t>
      </w:r>
      <w:r>
        <w:rPr>
          <w:rFonts w:hint="eastAsia" w:ascii="宋体" w:hAnsi="宋体" w:eastAsia="宋体" w:cs="宋体"/>
          <w:color w:val="000000"/>
          <w:sz w:val="21"/>
          <w:szCs w:val="21"/>
          <w:highlight w:val="none"/>
          <w:lang w:eastAsia="zh-CN"/>
        </w:rPr>
        <w:t>中标人</w:t>
      </w:r>
      <w:r>
        <w:rPr>
          <w:rFonts w:hint="eastAsia" w:ascii="宋体" w:hAnsi="宋体" w:eastAsia="宋体" w:cs="宋体"/>
          <w:color w:val="000000"/>
          <w:sz w:val="21"/>
          <w:szCs w:val="21"/>
          <w:highlight w:val="none"/>
        </w:rPr>
        <w:t>应保证银行保函有效。</w:t>
      </w:r>
    </w:p>
    <w:p w14:paraId="39333960">
      <w:pPr>
        <w:autoSpaceDE w:val="0"/>
        <w:autoSpaceDN w:val="0"/>
        <w:adjustRightInd w:val="0"/>
        <w:spacing w:line="500" w:lineRule="exact"/>
        <w:ind w:right="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3</w:t>
      </w:r>
      <w:r>
        <w:rPr>
          <w:rFonts w:hint="eastAsia" w:ascii="宋体" w:hAnsi="宋体" w:eastAsia="宋体" w:cs="宋体"/>
          <w:color w:val="000000"/>
          <w:sz w:val="21"/>
          <w:szCs w:val="21"/>
          <w:highlight w:val="none"/>
          <w:lang w:val="en-US" w:eastAsia="zh-CN"/>
        </w:rPr>
        <w:t>5</w:t>
      </w:r>
      <w:r>
        <w:rPr>
          <w:rFonts w:hint="eastAsia" w:ascii="宋体" w:hAnsi="宋体" w:eastAsia="宋体" w:cs="宋体"/>
          <w:color w:val="000000"/>
          <w:sz w:val="21"/>
          <w:szCs w:val="21"/>
          <w:highlight w:val="none"/>
        </w:rPr>
        <w:t>.</w:t>
      </w:r>
      <w:r>
        <w:rPr>
          <w:rFonts w:hint="eastAsia" w:ascii="宋体" w:hAnsi="宋体" w:cs="宋体"/>
          <w:color w:val="000000"/>
          <w:sz w:val="21"/>
          <w:szCs w:val="21"/>
          <w:highlight w:val="none"/>
          <w:lang w:val="en-US" w:eastAsia="zh-CN"/>
        </w:rPr>
        <w:t>2</w:t>
      </w:r>
      <w:r>
        <w:rPr>
          <w:rFonts w:hint="eastAsia" w:ascii="宋体" w:hAnsi="宋体" w:eastAsia="宋体" w:cs="宋体"/>
          <w:color w:val="000000"/>
          <w:sz w:val="21"/>
          <w:szCs w:val="21"/>
          <w:highlight w:val="none"/>
        </w:rPr>
        <w:t xml:space="preserve"> 履约保证金用于补偿采购人因</w:t>
      </w:r>
      <w:r>
        <w:rPr>
          <w:rFonts w:hint="eastAsia" w:ascii="宋体" w:hAnsi="宋体" w:eastAsia="宋体" w:cs="宋体"/>
          <w:color w:val="000000"/>
          <w:sz w:val="21"/>
          <w:szCs w:val="21"/>
          <w:highlight w:val="none"/>
          <w:lang w:eastAsia="zh-CN"/>
        </w:rPr>
        <w:t>中标人</w:t>
      </w:r>
      <w:r>
        <w:rPr>
          <w:rFonts w:hint="eastAsia" w:ascii="宋体" w:hAnsi="宋体" w:eastAsia="宋体" w:cs="宋体"/>
          <w:color w:val="000000"/>
          <w:sz w:val="21"/>
          <w:szCs w:val="21"/>
          <w:highlight w:val="none"/>
        </w:rPr>
        <w:t>不能完成其合同义务而蒙受的损失。</w:t>
      </w:r>
    </w:p>
    <w:p w14:paraId="03D2A202">
      <w:pPr>
        <w:autoSpaceDE w:val="0"/>
        <w:autoSpaceDN w:val="0"/>
        <w:adjustRightInd w:val="0"/>
        <w:spacing w:line="500" w:lineRule="exact"/>
        <w:ind w:right="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3</w:t>
      </w:r>
      <w:r>
        <w:rPr>
          <w:rFonts w:hint="eastAsia" w:ascii="宋体" w:hAnsi="宋体" w:eastAsia="宋体" w:cs="宋体"/>
          <w:color w:val="000000"/>
          <w:sz w:val="21"/>
          <w:szCs w:val="21"/>
          <w:highlight w:val="none"/>
          <w:lang w:val="en-US" w:eastAsia="zh-CN"/>
        </w:rPr>
        <w:t>5</w:t>
      </w:r>
      <w:r>
        <w:rPr>
          <w:rFonts w:hint="eastAsia" w:ascii="宋体" w:hAnsi="宋体" w:eastAsia="宋体" w:cs="宋体"/>
          <w:color w:val="000000"/>
          <w:sz w:val="21"/>
          <w:szCs w:val="21"/>
          <w:highlight w:val="none"/>
        </w:rPr>
        <w:t>.</w:t>
      </w:r>
      <w:r>
        <w:rPr>
          <w:rFonts w:hint="eastAsia" w:ascii="宋体" w:hAnsi="宋体" w:cs="宋体"/>
          <w:color w:val="000000"/>
          <w:sz w:val="21"/>
          <w:szCs w:val="21"/>
          <w:highlight w:val="none"/>
          <w:lang w:val="en-US" w:eastAsia="zh-CN"/>
        </w:rPr>
        <w:t>3</w:t>
      </w:r>
      <w:r>
        <w:rPr>
          <w:rFonts w:hint="eastAsia" w:ascii="宋体" w:hAnsi="宋体" w:eastAsia="宋体" w:cs="宋体"/>
          <w:color w:val="000000"/>
          <w:sz w:val="21"/>
          <w:szCs w:val="21"/>
          <w:highlight w:val="none"/>
        </w:rPr>
        <w:t xml:space="preserve"> 若</w:t>
      </w:r>
      <w:r>
        <w:rPr>
          <w:rFonts w:hint="eastAsia" w:ascii="宋体" w:hAnsi="宋体" w:eastAsia="宋体" w:cs="宋体"/>
          <w:color w:val="000000"/>
          <w:sz w:val="21"/>
          <w:szCs w:val="21"/>
          <w:highlight w:val="none"/>
          <w:lang w:eastAsia="zh-CN"/>
        </w:rPr>
        <w:t>中标人</w:t>
      </w:r>
      <w:r>
        <w:rPr>
          <w:rFonts w:hint="eastAsia" w:ascii="宋体" w:hAnsi="宋体" w:eastAsia="宋体" w:cs="宋体"/>
          <w:color w:val="000000"/>
          <w:sz w:val="21"/>
          <w:szCs w:val="21"/>
          <w:highlight w:val="none"/>
        </w:rPr>
        <w:t>不能按本须知规定交纳履约保证金的，视为放弃</w:t>
      </w:r>
      <w:r>
        <w:rPr>
          <w:rFonts w:hint="eastAsia" w:ascii="宋体" w:hAnsi="宋体" w:eastAsia="宋体" w:cs="宋体"/>
          <w:color w:val="000000"/>
          <w:sz w:val="21"/>
          <w:szCs w:val="21"/>
          <w:highlight w:val="none"/>
          <w:lang w:eastAsia="zh-CN"/>
        </w:rPr>
        <w:t>中标</w:t>
      </w:r>
      <w:r>
        <w:rPr>
          <w:rFonts w:hint="eastAsia" w:ascii="宋体" w:hAnsi="宋体" w:eastAsia="宋体" w:cs="宋体"/>
          <w:color w:val="000000"/>
          <w:sz w:val="21"/>
          <w:szCs w:val="21"/>
          <w:highlight w:val="none"/>
        </w:rPr>
        <w:t>，给采购人造成的损失超过</w:t>
      </w:r>
      <w:r>
        <w:rPr>
          <w:rFonts w:hint="eastAsia" w:ascii="宋体" w:hAnsi="宋体" w:cs="宋体"/>
          <w:color w:val="000000"/>
          <w:sz w:val="21"/>
          <w:szCs w:val="21"/>
          <w:highlight w:val="none"/>
          <w:lang w:val="en-US" w:eastAsia="zh-CN"/>
        </w:rPr>
        <w:t>履约</w:t>
      </w:r>
      <w:r>
        <w:rPr>
          <w:rFonts w:hint="eastAsia" w:ascii="宋体" w:hAnsi="宋体" w:eastAsia="宋体" w:cs="宋体"/>
          <w:color w:val="000000"/>
          <w:sz w:val="21"/>
          <w:szCs w:val="21"/>
          <w:highlight w:val="none"/>
        </w:rPr>
        <w:t>保证金数额的，</w:t>
      </w:r>
      <w:r>
        <w:rPr>
          <w:rFonts w:hint="eastAsia" w:ascii="宋体" w:hAnsi="宋体" w:eastAsia="宋体" w:cs="宋体"/>
          <w:color w:val="000000"/>
          <w:sz w:val="21"/>
          <w:szCs w:val="21"/>
          <w:highlight w:val="none"/>
          <w:lang w:eastAsia="zh-CN"/>
        </w:rPr>
        <w:t>中标人</w:t>
      </w:r>
      <w:r>
        <w:rPr>
          <w:rFonts w:hint="eastAsia" w:ascii="宋体" w:hAnsi="宋体" w:eastAsia="宋体" w:cs="宋体"/>
          <w:color w:val="000000"/>
          <w:sz w:val="21"/>
          <w:szCs w:val="21"/>
          <w:highlight w:val="none"/>
        </w:rPr>
        <w:t>还应当对超过部分予以赔偿。</w:t>
      </w:r>
    </w:p>
    <w:p w14:paraId="0BB9B9D6">
      <w:pPr>
        <w:autoSpaceDE w:val="0"/>
        <w:autoSpaceDN w:val="0"/>
        <w:adjustRightInd w:val="0"/>
        <w:spacing w:line="500" w:lineRule="exact"/>
        <w:ind w:right="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3</w:t>
      </w:r>
      <w:r>
        <w:rPr>
          <w:rFonts w:hint="eastAsia" w:ascii="宋体" w:hAnsi="宋体" w:eastAsia="宋体" w:cs="宋体"/>
          <w:color w:val="000000"/>
          <w:sz w:val="21"/>
          <w:szCs w:val="21"/>
          <w:highlight w:val="none"/>
          <w:lang w:val="en-US" w:eastAsia="zh-CN"/>
        </w:rPr>
        <w:t>5</w:t>
      </w:r>
      <w:r>
        <w:rPr>
          <w:rFonts w:hint="eastAsia" w:ascii="宋体" w:hAnsi="宋体" w:eastAsia="宋体" w:cs="宋体"/>
          <w:color w:val="000000"/>
          <w:sz w:val="21"/>
          <w:szCs w:val="21"/>
          <w:highlight w:val="none"/>
        </w:rPr>
        <w:t>.</w:t>
      </w:r>
      <w:r>
        <w:rPr>
          <w:rFonts w:hint="eastAsia" w:ascii="宋体" w:hAnsi="宋体" w:cs="宋体"/>
          <w:color w:val="000000"/>
          <w:sz w:val="21"/>
          <w:szCs w:val="21"/>
          <w:highlight w:val="none"/>
          <w:lang w:val="en-US" w:eastAsia="zh-CN"/>
        </w:rPr>
        <w:t>4</w:t>
      </w:r>
      <w:r>
        <w:rPr>
          <w:rFonts w:hint="eastAsia" w:ascii="宋体" w:hAnsi="宋体" w:eastAsia="宋体" w:cs="宋体"/>
          <w:color w:val="000000"/>
          <w:sz w:val="21"/>
          <w:szCs w:val="21"/>
          <w:highlight w:val="none"/>
        </w:rPr>
        <w:t xml:space="preserve"> 若</w:t>
      </w:r>
      <w:r>
        <w:rPr>
          <w:rFonts w:hint="eastAsia" w:ascii="宋体" w:hAnsi="宋体" w:eastAsia="宋体" w:cs="宋体"/>
          <w:color w:val="000000"/>
          <w:sz w:val="21"/>
          <w:szCs w:val="21"/>
          <w:highlight w:val="none"/>
          <w:lang w:eastAsia="zh-CN"/>
        </w:rPr>
        <w:t>中标人</w:t>
      </w:r>
      <w:r>
        <w:rPr>
          <w:rFonts w:hint="eastAsia" w:ascii="宋体" w:hAnsi="宋体" w:eastAsia="宋体" w:cs="宋体"/>
          <w:color w:val="000000"/>
          <w:sz w:val="21"/>
          <w:szCs w:val="21"/>
          <w:highlight w:val="none"/>
        </w:rPr>
        <w:t>未能履行合同规定的义务，采购人有权没收履约保证金取得补偿，因此给采购人造成的损失超过</w:t>
      </w:r>
      <w:r>
        <w:rPr>
          <w:rFonts w:hint="eastAsia" w:ascii="宋体" w:hAnsi="宋体" w:cs="宋体"/>
          <w:color w:val="000000"/>
          <w:sz w:val="21"/>
          <w:szCs w:val="21"/>
          <w:highlight w:val="none"/>
          <w:lang w:val="en-US" w:eastAsia="zh-CN"/>
        </w:rPr>
        <w:t>履约保证金</w:t>
      </w:r>
      <w:r>
        <w:rPr>
          <w:rFonts w:hint="eastAsia" w:ascii="宋体" w:hAnsi="宋体" w:eastAsia="宋体" w:cs="宋体"/>
          <w:color w:val="000000"/>
          <w:sz w:val="21"/>
          <w:szCs w:val="21"/>
          <w:highlight w:val="none"/>
        </w:rPr>
        <w:t>数额的，还应当对超过部分予以赔偿。</w:t>
      </w:r>
    </w:p>
    <w:p w14:paraId="63CA62AE">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420" w:firstLineChars="200"/>
        <w:jc w:val="both"/>
        <w:textAlignment w:val="auto"/>
        <w:outlineLvl w:val="9"/>
        <w:rPr>
          <w:rFonts w:hint="eastAsia" w:ascii="宋体" w:hAnsi="宋体" w:eastAsia="宋体" w:cs="宋体"/>
          <w:b/>
          <w:bCs/>
          <w:kern w:val="0"/>
          <w:sz w:val="21"/>
          <w:szCs w:val="21"/>
          <w:highlight w:val="none"/>
        </w:rPr>
      </w:pPr>
      <w:r>
        <w:rPr>
          <w:rFonts w:hint="eastAsia" w:ascii="宋体" w:hAnsi="宋体" w:eastAsia="宋体" w:cs="宋体"/>
          <w:color w:val="000000"/>
          <w:sz w:val="21"/>
          <w:szCs w:val="21"/>
          <w:highlight w:val="none"/>
        </w:rPr>
        <w:t>3</w:t>
      </w:r>
      <w:r>
        <w:rPr>
          <w:rFonts w:hint="eastAsia" w:ascii="宋体" w:hAnsi="宋体" w:eastAsia="宋体" w:cs="宋体"/>
          <w:color w:val="000000"/>
          <w:sz w:val="21"/>
          <w:szCs w:val="21"/>
          <w:highlight w:val="none"/>
          <w:lang w:val="en-US" w:eastAsia="zh-CN"/>
        </w:rPr>
        <w:t>5</w:t>
      </w:r>
      <w:r>
        <w:rPr>
          <w:rFonts w:hint="eastAsia" w:ascii="宋体" w:hAnsi="宋体" w:eastAsia="宋体" w:cs="宋体"/>
          <w:color w:val="000000"/>
          <w:sz w:val="21"/>
          <w:szCs w:val="21"/>
          <w:highlight w:val="none"/>
        </w:rPr>
        <w:t>.</w:t>
      </w:r>
      <w:r>
        <w:rPr>
          <w:rFonts w:hint="eastAsia" w:ascii="宋体" w:hAnsi="宋体" w:cs="宋体"/>
          <w:color w:val="000000"/>
          <w:sz w:val="21"/>
          <w:szCs w:val="21"/>
          <w:highlight w:val="none"/>
          <w:lang w:val="en-US" w:eastAsia="zh-CN"/>
        </w:rPr>
        <w:t>5</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eastAsia="zh-CN"/>
        </w:rPr>
        <w:t>中标人</w:t>
      </w:r>
      <w:r>
        <w:rPr>
          <w:rFonts w:hint="eastAsia" w:ascii="宋体" w:hAnsi="宋体" w:eastAsia="宋体" w:cs="宋体"/>
          <w:color w:val="000000"/>
          <w:sz w:val="21"/>
          <w:szCs w:val="21"/>
          <w:highlight w:val="none"/>
        </w:rPr>
        <w:t>履约担保有效期为本项目合同终止之日，采购人应当在</w:t>
      </w:r>
      <w:r>
        <w:rPr>
          <w:rFonts w:hint="eastAsia" w:ascii="宋体" w:hAnsi="宋体" w:eastAsia="宋体" w:cs="宋体"/>
          <w:color w:val="000000"/>
          <w:sz w:val="21"/>
          <w:szCs w:val="21"/>
          <w:highlight w:val="none"/>
          <w:lang w:eastAsia="zh-CN"/>
        </w:rPr>
        <w:t>中标人</w:t>
      </w:r>
      <w:r>
        <w:rPr>
          <w:rFonts w:hint="eastAsia" w:ascii="宋体" w:hAnsi="宋体" w:eastAsia="宋体" w:cs="宋体"/>
          <w:color w:val="000000"/>
          <w:sz w:val="21"/>
          <w:szCs w:val="21"/>
          <w:highlight w:val="none"/>
        </w:rPr>
        <w:t>履约担保有效期截止后，</w:t>
      </w:r>
      <w:r>
        <w:rPr>
          <w:rFonts w:hint="eastAsia" w:ascii="宋体" w:hAnsi="宋体" w:eastAsia="宋体" w:cs="宋体"/>
          <w:color w:val="000000"/>
          <w:sz w:val="21"/>
          <w:szCs w:val="21"/>
          <w:highlight w:val="none"/>
          <w:lang w:eastAsia="zh-CN"/>
        </w:rPr>
        <w:t>向</w:t>
      </w:r>
      <w:r>
        <w:rPr>
          <w:rFonts w:hint="eastAsia" w:ascii="宋体" w:hAnsi="宋体" w:eastAsia="宋体" w:cs="宋体"/>
          <w:color w:val="000000"/>
          <w:sz w:val="21"/>
          <w:szCs w:val="21"/>
          <w:highlight w:val="none"/>
        </w:rPr>
        <w:t>财务部门</w:t>
      </w:r>
      <w:r>
        <w:rPr>
          <w:rFonts w:hint="eastAsia" w:ascii="宋体" w:hAnsi="宋体" w:eastAsia="宋体" w:cs="宋体"/>
          <w:color w:val="000000"/>
          <w:sz w:val="21"/>
          <w:szCs w:val="21"/>
          <w:highlight w:val="none"/>
          <w:lang w:eastAsia="zh-CN"/>
        </w:rPr>
        <w:t>出具</w:t>
      </w:r>
      <w:r>
        <w:rPr>
          <w:rFonts w:hint="eastAsia" w:ascii="宋体" w:hAnsi="宋体" w:eastAsia="宋体" w:cs="宋体"/>
          <w:color w:val="000000"/>
          <w:sz w:val="21"/>
          <w:szCs w:val="21"/>
          <w:highlight w:val="none"/>
        </w:rPr>
        <w:t>确认</w:t>
      </w:r>
      <w:r>
        <w:rPr>
          <w:rFonts w:hint="eastAsia" w:ascii="宋体" w:hAnsi="宋体" w:eastAsia="宋体" w:cs="宋体"/>
          <w:color w:val="000000"/>
          <w:sz w:val="21"/>
          <w:szCs w:val="21"/>
          <w:highlight w:val="none"/>
          <w:lang w:eastAsia="zh-CN"/>
        </w:rPr>
        <w:t>投标人履行完毕</w:t>
      </w:r>
      <w:r>
        <w:rPr>
          <w:rFonts w:hint="eastAsia" w:ascii="宋体" w:hAnsi="宋体" w:eastAsia="宋体" w:cs="宋体"/>
          <w:color w:val="000000"/>
          <w:sz w:val="21"/>
          <w:szCs w:val="21"/>
          <w:highlight w:val="none"/>
        </w:rPr>
        <w:t>本合同</w:t>
      </w:r>
      <w:r>
        <w:rPr>
          <w:rFonts w:hint="eastAsia" w:ascii="宋体" w:hAnsi="宋体" w:eastAsia="宋体" w:cs="宋体"/>
          <w:color w:val="000000"/>
          <w:sz w:val="21"/>
          <w:szCs w:val="21"/>
          <w:highlight w:val="none"/>
          <w:lang w:eastAsia="zh-CN"/>
        </w:rPr>
        <w:t>相关</w:t>
      </w:r>
      <w:r>
        <w:rPr>
          <w:rFonts w:hint="eastAsia" w:ascii="宋体" w:hAnsi="宋体" w:eastAsia="宋体" w:cs="宋体"/>
          <w:color w:val="000000"/>
          <w:sz w:val="21"/>
          <w:szCs w:val="21"/>
          <w:highlight w:val="none"/>
        </w:rPr>
        <w:t>约定事项的正式书面文件，</w:t>
      </w:r>
      <w:r>
        <w:rPr>
          <w:rFonts w:hint="eastAsia" w:ascii="宋体" w:hAnsi="宋体" w:eastAsia="宋体" w:cs="宋体"/>
          <w:color w:val="000000"/>
          <w:sz w:val="21"/>
          <w:szCs w:val="21"/>
          <w:highlight w:val="none"/>
          <w:lang w:eastAsia="zh-CN"/>
        </w:rPr>
        <w:t>财务部门方可退还中标人</w:t>
      </w:r>
      <w:r>
        <w:rPr>
          <w:rFonts w:hint="eastAsia" w:ascii="宋体" w:hAnsi="宋体" w:eastAsia="宋体" w:cs="宋体"/>
          <w:color w:val="000000"/>
          <w:sz w:val="21"/>
          <w:szCs w:val="21"/>
          <w:highlight w:val="none"/>
        </w:rPr>
        <w:t>履约保证金</w:t>
      </w:r>
      <w:r>
        <w:rPr>
          <w:rFonts w:hint="eastAsia" w:ascii="宋体" w:hAnsi="宋体" w:eastAsia="宋体" w:cs="宋体"/>
          <w:color w:val="000000"/>
          <w:sz w:val="21"/>
          <w:szCs w:val="21"/>
          <w:highlight w:val="none"/>
          <w:lang w:eastAsia="zh-CN"/>
        </w:rPr>
        <w:t>（视项目情况而定）</w:t>
      </w:r>
      <w:r>
        <w:rPr>
          <w:rFonts w:hint="eastAsia" w:ascii="宋体" w:hAnsi="宋体" w:eastAsia="宋体" w:cs="宋体"/>
          <w:color w:val="000000"/>
          <w:sz w:val="21"/>
          <w:szCs w:val="21"/>
          <w:highlight w:val="none"/>
        </w:rPr>
        <w:t>。</w:t>
      </w:r>
    </w:p>
    <w:p w14:paraId="15D4ED6B">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0" w:firstLineChars="0"/>
        <w:jc w:val="both"/>
        <w:textAlignment w:val="auto"/>
        <w:outlineLvl w:val="9"/>
        <w:rPr>
          <w:rFonts w:hint="eastAsia" w:ascii="宋体" w:hAnsi="宋体" w:cs="宋体"/>
          <w:b/>
          <w:bCs/>
          <w:kern w:val="0"/>
          <w:sz w:val="24"/>
          <w:highlight w:val="none"/>
        </w:rPr>
      </w:pPr>
      <w:r>
        <w:rPr>
          <w:rFonts w:hint="eastAsia" w:ascii="宋体" w:hAnsi="宋体" w:cs="宋体"/>
          <w:b/>
          <w:bCs/>
          <w:kern w:val="0"/>
          <w:sz w:val="24"/>
          <w:highlight w:val="none"/>
        </w:rPr>
        <w:t>3</w:t>
      </w:r>
      <w:r>
        <w:rPr>
          <w:rFonts w:hint="eastAsia" w:ascii="宋体" w:hAnsi="宋体" w:cs="宋体"/>
          <w:b/>
          <w:bCs/>
          <w:kern w:val="0"/>
          <w:sz w:val="24"/>
          <w:highlight w:val="none"/>
          <w:lang w:val="en-US" w:eastAsia="zh-CN"/>
        </w:rPr>
        <w:t>6</w:t>
      </w:r>
      <w:r>
        <w:rPr>
          <w:rFonts w:hint="eastAsia" w:ascii="宋体" w:hAnsi="宋体" w:cs="宋体"/>
          <w:b/>
          <w:bCs/>
          <w:kern w:val="0"/>
          <w:sz w:val="24"/>
          <w:highlight w:val="none"/>
        </w:rPr>
        <w:t>、签订合同</w:t>
      </w:r>
    </w:p>
    <w:p w14:paraId="652485FC">
      <w:pPr>
        <w:keepNext w:val="0"/>
        <w:keepLines w:val="0"/>
        <w:pageBreakBefore w:val="0"/>
        <w:widowControl w:val="0"/>
        <w:kinsoku/>
        <w:wordWrap/>
        <w:overflowPunct/>
        <w:topLinePunct w:val="0"/>
        <w:autoSpaceDE w:val="0"/>
        <w:autoSpaceDN w:val="0"/>
        <w:bidi w:val="0"/>
        <w:adjustRightInd w:val="0"/>
        <w:snapToGrid/>
        <w:spacing w:line="500" w:lineRule="exact"/>
        <w:ind w:right="6"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36</w:t>
      </w:r>
      <w:r>
        <w:rPr>
          <w:rFonts w:hint="eastAsia" w:ascii="宋体" w:hAnsi="宋体" w:eastAsia="宋体" w:cs="宋体"/>
          <w:color w:val="000000"/>
          <w:sz w:val="21"/>
          <w:szCs w:val="21"/>
          <w:highlight w:val="none"/>
        </w:rPr>
        <w:t>.1</w:t>
      </w:r>
      <w:r>
        <w:rPr>
          <w:rFonts w:hint="eastAsia" w:ascii="宋体" w:hAnsi="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eastAsia="zh-CN"/>
        </w:rPr>
        <w:t>采购</w:t>
      </w:r>
      <w:r>
        <w:rPr>
          <w:rFonts w:hint="eastAsia" w:ascii="宋体" w:hAnsi="宋体" w:eastAsia="宋体" w:cs="宋体"/>
          <w:color w:val="000000"/>
          <w:sz w:val="21"/>
          <w:szCs w:val="21"/>
          <w:highlight w:val="none"/>
        </w:rPr>
        <w:t>人应</w:t>
      </w:r>
      <w:r>
        <w:rPr>
          <w:rFonts w:hint="eastAsia" w:ascii="宋体" w:hAnsi="宋体" w:eastAsia="宋体" w:cs="宋体"/>
          <w:color w:val="000000"/>
          <w:sz w:val="21"/>
          <w:szCs w:val="21"/>
          <w:highlight w:val="none"/>
          <w:lang w:eastAsia="zh-CN"/>
        </w:rPr>
        <w:t>当自</w:t>
      </w:r>
      <w:r>
        <w:rPr>
          <w:rFonts w:hint="eastAsia" w:ascii="宋体" w:hAnsi="宋体" w:eastAsia="宋体" w:cs="宋体"/>
          <w:color w:val="000000"/>
          <w:sz w:val="21"/>
          <w:szCs w:val="21"/>
          <w:highlight w:val="none"/>
        </w:rPr>
        <w:t>《中标通知书》发出之日起30日内</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rPr>
        <w:t>按照招标文件和中标</w:t>
      </w:r>
      <w:r>
        <w:rPr>
          <w:rFonts w:hint="eastAsia" w:ascii="宋体" w:hAnsi="宋体" w:eastAsia="宋体" w:cs="宋体"/>
          <w:color w:val="000000"/>
          <w:sz w:val="21"/>
          <w:szCs w:val="21"/>
          <w:highlight w:val="none"/>
          <w:lang w:eastAsia="zh-CN"/>
        </w:rPr>
        <w:t>人</w:t>
      </w:r>
      <w:r>
        <w:rPr>
          <w:rFonts w:hint="eastAsia" w:ascii="宋体" w:hAnsi="宋体" w:eastAsia="宋体" w:cs="宋体"/>
          <w:color w:val="000000"/>
          <w:sz w:val="21"/>
          <w:szCs w:val="21"/>
          <w:highlight w:val="none"/>
        </w:rPr>
        <w:t>投标文件（包括评标中形成的澄清文件）的约定，与中标</w:t>
      </w:r>
      <w:r>
        <w:rPr>
          <w:rFonts w:hint="eastAsia" w:ascii="宋体" w:hAnsi="宋体" w:eastAsia="宋体" w:cs="宋体"/>
          <w:color w:val="000000"/>
          <w:sz w:val="21"/>
          <w:szCs w:val="21"/>
          <w:highlight w:val="none"/>
          <w:lang w:eastAsia="zh-CN"/>
        </w:rPr>
        <w:t>人</w:t>
      </w:r>
      <w:r>
        <w:rPr>
          <w:rFonts w:hint="eastAsia" w:ascii="宋体" w:hAnsi="宋体" w:eastAsia="宋体" w:cs="宋体"/>
          <w:color w:val="000000"/>
          <w:sz w:val="21"/>
          <w:szCs w:val="21"/>
          <w:highlight w:val="none"/>
        </w:rPr>
        <w:t>签订书面合同。所签订的合同不得对招标文件和中标</w:t>
      </w:r>
      <w:r>
        <w:rPr>
          <w:rFonts w:hint="eastAsia" w:ascii="宋体" w:hAnsi="宋体" w:eastAsia="宋体" w:cs="宋体"/>
          <w:color w:val="000000"/>
          <w:sz w:val="21"/>
          <w:szCs w:val="21"/>
          <w:highlight w:val="none"/>
          <w:lang w:eastAsia="zh-CN"/>
        </w:rPr>
        <w:t>人</w:t>
      </w:r>
      <w:r>
        <w:rPr>
          <w:rFonts w:hint="eastAsia" w:ascii="宋体" w:hAnsi="宋体" w:eastAsia="宋体" w:cs="宋体"/>
          <w:color w:val="000000"/>
          <w:sz w:val="21"/>
          <w:szCs w:val="21"/>
          <w:highlight w:val="none"/>
        </w:rPr>
        <w:t>的投标文件（包括评标中形成的澄清文件）作实质性修改。</w:t>
      </w:r>
    </w:p>
    <w:p w14:paraId="29C69505">
      <w:pPr>
        <w:keepNext w:val="0"/>
        <w:keepLines w:val="0"/>
        <w:pageBreakBefore w:val="0"/>
        <w:widowControl w:val="0"/>
        <w:kinsoku/>
        <w:wordWrap/>
        <w:overflowPunct/>
        <w:topLinePunct w:val="0"/>
        <w:autoSpaceDE w:val="0"/>
        <w:autoSpaceDN w:val="0"/>
        <w:bidi w:val="0"/>
        <w:adjustRightInd w:val="0"/>
        <w:snapToGrid/>
        <w:spacing w:line="500" w:lineRule="exact"/>
        <w:ind w:right="6"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w:t>
      </w:r>
      <w:r>
        <w:rPr>
          <w:rFonts w:hint="eastAsia" w:ascii="宋体" w:hAnsi="宋体" w:eastAsia="宋体" w:cs="宋体"/>
          <w:color w:val="000000"/>
          <w:sz w:val="21"/>
          <w:szCs w:val="21"/>
          <w:highlight w:val="none"/>
          <w:lang w:val="en-US" w:eastAsia="zh-CN"/>
        </w:rPr>
        <w:t>6</w:t>
      </w:r>
      <w:r>
        <w:rPr>
          <w:rFonts w:hint="eastAsia" w:ascii="宋体" w:hAnsi="宋体" w:eastAsia="宋体" w:cs="宋体"/>
          <w:color w:val="000000"/>
          <w:sz w:val="21"/>
          <w:szCs w:val="21"/>
          <w:highlight w:val="none"/>
        </w:rPr>
        <w:t>.</w:t>
      </w:r>
      <w:r>
        <w:rPr>
          <w:rFonts w:hint="eastAsia" w:ascii="宋体" w:hAnsi="宋体" w:eastAsia="宋体" w:cs="宋体"/>
          <w:color w:val="000000"/>
          <w:sz w:val="21"/>
          <w:szCs w:val="21"/>
          <w:highlight w:val="none"/>
          <w:lang w:val="en-US" w:eastAsia="zh-CN"/>
        </w:rPr>
        <w:t>2</w:t>
      </w:r>
      <w:r>
        <w:rPr>
          <w:rFonts w:hint="eastAsia" w:ascii="宋体" w:hAnsi="宋体" w:eastAsia="宋体" w:cs="宋体"/>
          <w:color w:val="000000"/>
          <w:sz w:val="21"/>
          <w:szCs w:val="21"/>
          <w:highlight w:val="none"/>
        </w:rPr>
        <w:t xml:space="preserve"> 中标人因不可抗力</w:t>
      </w:r>
      <w:r>
        <w:rPr>
          <w:rFonts w:hint="eastAsia" w:ascii="宋体" w:hAnsi="宋体" w:eastAsia="宋体" w:cs="宋体"/>
          <w:color w:val="000000"/>
          <w:sz w:val="21"/>
          <w:szCs w:val="21"/>
          <w:highlight w:val="none"/>
          <w:lang w:eastAsia="zh-CN"/>
        </w:rPr>
        <w:t>或者自身</w:t>
      </w:r>
      <w:r>
        <w:rPr>
          <w:rFonts w:hint="eastAsia" w:ascii="宋体" w:hAnsi="宋体" w:eastAsia="宋体" w:cs="宋体"/>
          <w:color w:val="000000"/>
          <w:sz w:val="21"/>
          <w:szCs w:val="21"/>
          <w:highlight w:val="none"/>
        </w:rPr>
        <w:t>原因不能履行采购合同或放弃中标的，采购人可以与排在中标人之后第一位的中标候选人签订</w:t>
      </w:r>
      <w:r>
        <w:rPr>
          <w:rFonts w:hint="eastAsia" w:ascii="宋体" w:hAnsi="宋体" w:eastAsia="宋体" w:cs="宋体"/>
          <w:color w:val="000000"/>
          <w:sz w:val="21"/>
          <w:szCs w:val="21"/>
          <w:highlight w:val="none"/>
          <w:lang w:eastAsia="zh-CN"/>
        </w:rPr>
        <w:t>政府</w:t>
      </w:r>
      <w:r>
        <w:rPr>
          <w:rFonts w:hint="eastAsia" w:ascii="宋体" w:hAnsi="宋体" w:eastAsia="宋体" w:cs="宋体"/>
          <w:color w:val="000000"/>
          <w:sz w:val="21"/>
          <w:szCs w:val="21"/>
          <w:highlight w:val="none"/>
        </w:rPr>
        <w:t>采购合同，以此类推。</w:t>
      </w:r>
    </w:p>
    <w:p w14:paraId="1138036F">
      <w:pPr>
        <w:keepNext w:val="0"/>
        <w:keepLines w:val="0"/>
        <w:pageBreakBefore w:val="0"/>
        <w:widowControl w:val="0"/>
        <w:kinsoku/>
        <w:wordWrap/>
        <w:overflowPunct/>
        <w:topLinePunct w:val="0"/>
        <w:autoSpaceDE w:val="0"/>
        <w:autoSpaceDN w:val="0"/>
        <w:bidi w:val="0"/>
        <w:adjustRightInd w:val="0"/>
        <w:snapToGrid/>
        <w:spacing w:line="500" w:lineRule="exact"/>
        <w:ind w:right="6" w:firstLine="420" w:firstLineChars="200"/>
        <w:textAlignment w:val="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3</w:t>
      </w:r>
      <w:r>
        <w:rPr>
          <w:rFonts w:hint="eastAsia" w:ascii="宋体" w:hAnsi="宋体" w:eastAsia="宋体" w:cs="宋体"/>
          <w:color w:val="000000"/>
          <w:sz w:val="21"/>
          <w:szCs w:val="21"/>
          <w:highlight w:val="none"/>
          <w:lang w:val="en-US" w:eastAsia="zh-CN"/>
        </w:rPr>
        <w:t>6</w:t>
      </w:r>
      <w:r>
        <w:rPr>
          <w:rFonts w:hint="eastAsia" w:ascii="宋体" w:hAnsi="宋体" w:eastAsia="宋体" w:cs="宋体"/>
          <w:color w:val="000000"/>
          <w:sz w:val="21"/>
          <w:szCs w:val="21"/>
          <w:highlight w:val="none"/>
        </w:rPr>
        <w:t>.</w:t>
      </w:r>
      <w:r>
        <w:rPr>
          <w:rFonts w:hint="eastAsia" w:ascii="宋体" w:hAnsi="宋体" w:eastAsia="宋体" w:cs="宋体"/>
          <w:color w:val="000000"/>
          <w:sz w:val="21"/>
          <w:szCs w:val="21"/>
          <w:highlight w:val="none"/>
          <w:lang w:val="en-US" w:eastAsia="zh-CN"/>
        </w:rPr>
        <w:t>3</w:t>
      </w:r>
      <w:r>
        <w:rPr>
          <w:rFonts w:hint="eastAsia" w:ascii="宋体" w:hAnsi="宋体" w:eastAsia="宋体" w:cs="宋体"/>
          <w:color w:val="000000"/>
          <w:sz w:val="21"/>
          <w:szCs w:val="21"/>
          <w:highlight w:val="none"/>
        </w:rPr>
        <w:t xml:space="preserve"> 采购人自政府采购合同签订之日起</w:t>
      </w:r>
      <w:r>
        <w:rPr>
          <w:rFonts w:hint="eastAsia" w:ascii="宋体" w:hAnsi="宋体" w:eastAsia="宋体" w:cs="宋体"/>
          <w:color w:val="000000"/>
          <w:sz w:val="21"/>
          <w:szCs w:val="21"/>
          <w:highlight w:val="none"/>
          <w:lang w:val="en-US" w:eastAsia="zh-CN"/>
        </w:rPr>
        <w:t>2</w:t>
      </w:r>
      <w:r>
        <w:rPr>
          <w:rFonts w:hint="eastAsia" w:ascii="宋体" w:hAnsi="宋体" w:eastAsia="宋体" w:cs="宋体"/>
          <w:color w:val="000000"/>
          <w:sz w:val="21"/>
          <w:szCs w:val="21"/>
          <w:highlight w:val="none"/>
        </w:rPr>
        <w:t>个工作日内，将政府采购合同在省级以上人民政府财政部门指定的媒体上公告，但政府采购合同中涉及国家秘密、商业秘密的内容除外。</w:t>
      </w:r>
    </w:p>
    <w:p w14:paraId="3EA10703">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0" w:firstLineChars="0"/>
        <w:jc w:val="both"/>
        <w:textAlignment w:val="auto"/>
        <w:outlineLvl w:val="9"/>
        <w:rPr>
          <w:rFonts w:hint="eastAsia" w:ascii="宋体" w:hAnsi="宋体" w:cs="宋体"/>
          <w:b/>
          <w:bCs/>
          <w:kern w:val="0"/>
          <w:sz w:val="24"/>
          <w:highlight w:val="none"/>
        </w:rPr>
      </w:pPr>
      <w:r>
        <w:rPr>
          <w:rFonts w:hint="eastAsia" w:ascii="宋体" w:hAnsi="宋体" w:cs="宋体"/>
          <w:b/>
          <w:bCs/>
          <w:kern w:val="0"/>
          <w:sz w:val="24"/>
          <w:highlight w:val="none"/>
          <w:lang w:val="en-US" w:eastAsia="zh-CN"/>
        </w:rPr>
        <w:t>37</w:t>
      </w:r>
      <w:r>
        <w:rPr>
          <w:rFonts w:hint="eastAsia" w:ascii="宋体" w:hAnsi="宋体" w:cs="宋体"/>
          <w:b/>
          <w:bCs/>
          <w:kern w:val="0"/>
          <w:sz w:val="24"/>
          <w:highlight w:val="none"/>
        </w:rPr>
        <w:t>、合同实施</w:t>
      </w:r>
    </w:p>
    <w:p w14:paraId="23BBC468">
      <w:pPr>
        <w:keepNext w:val="0"/>
        <w:keepLines w:val="0"/>
        <w:pageBreakBefore w:val="0"/>
        <w:widowControl w:val="0"/>
        <w:kinsoku/>
        <w:wordWrap/>
        <w:overflowPunct/>
        <w:topLinePunct w:val="0"/>
        <w:autoSpaceDE w:val="0"/>
        <w:autoSpaceDN w:val="0"/>
        <w:bidi w:val="0"/>
        <w:adjustRightInd w:val="0"/>
        <w:snapToGrid/>
        <w:spacing w:line="500" w:lineRule="exact"/>
        <w:ind w:right="6" w:firstLine="420" w:firstLineChars="200"/>
        <w:textAlignment w:va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37.1  中标人应在合同签订后7个日历日内安排人员与使用单位就</w:t>
      </w:r>
      <w:r>
        <w:rPr>
          <w:rFonts w:hint="eastAsia" w:ascii="宋体" w:hAnsi="宋体" w:cs="宋体"/>
          <w:color w:val="000000"/>
          <w:sz w:val="21"/>
          <w:szCs w:val="21"/>
          <w:highlight w:val="none"/>
          <w:lang w:val="en-US" w:eastAsia="zh-CN"/>
        </w:rPr>
        <w:t>本项目</w:t>
      </w:r>
      <w:r>
        <w:rPr>
          <w:rFonts w:hint="eastAsia" w:ascii="宋体" w:hAnsi="宋体" w:eastAsia="宋体" w:cs="宋体"/>
          <w:color w:val="000000"/>
          <w:sz w:val="21"/>
          <w:szCs w:val="21"/>
          <w:highlight w:val="none"/>
          <w:lang w:val="en-US" w:eastAsia="zh-CN"/>
        </w:rPr>
        <w:t>工作进行安排、部署。</w:t>
      </w:r>
    </w:p>
    <w:p w14:paraId="3889AB82">
      <w:pPr>
        <w:keepNext w:val="0"/>
        <w:keepLines w:val="0"/>
        <w:pageBreakBefore w:val="0"/>
        <w:widowControl w:val="0"/>
        <w:kinsoku/>
        <w:wordWrap/>
        <w:overflowPunct/>
        <w:topLinePunct w:val="0"/>
        <w:autoSpaceDE w:val="0"/>
        <w:autoSpaceDN w:val="0"/>
        <w:bidi w:val="0"/>
        <w:adjustRightInd w:val="0"/>
        <w:snapToGrid/>
        <w:spacing w:line="500" w:lineRule="exact"/>
        <w:ind w:right="6" w:firstLine="420" w:firstLineChars="200"/>
        <w:textAlignment w:va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37.2  若未能在</w:t>
      </w:r>
      <w:r>
        <w:rPr>
          <w:rFonts w:hint="eastAsia" w:ascii="宋体" w:hAnsi="宋体" w:cs="宋体"/>
          <w:color w:val="000000"/>
          <w:sz w:val="21"/>
          <w:szCs w:val="21"/>
          <w:highlight w:val="none"/>
          <w:lang w:val="en-US" w:eastAsia="zh-CN"/>
        </w:rPr>
        <w:t>要求时间</w:t>
      </w:r>
      <w:r>
        <w:rPr>
          <w:rFonts w:hint="eastAsia" w:ascii="宋体" w:hAnsi="宋体" w:eastAsia="宋体" w:cs="宋体"/>
          <w:color w:val="000000"/>
          <w:sz w:val="21"/>
          <w:szCs w:val="21"/>
          <w:highlight w:val="none"/>
          <w:lang w:val="en-US" w:eastAsia="zh-CN"/>
        </w:rPr>
        <w:t>内完成合同规定的义务，由此对采购人造成的延误和一切损失，由中标人承担和赔偿。</w:t>
      </w:r>
    </w:p>
    <w:p w14:paraId="33DE4B81">
      <w:pPr>
        <w:keepNext w:val="0"/>
        <w:keepLines w:val="0"/>
        <w:pageBreakBefore w:val="0"/>
        <w:widowControl w:val="0"/>
        <w:kinsoku/>
        <w:wordWrap/>
        <w:overflowPunct/>
        <w:topLinePunct w:val="0"/>
        <w:autoSpaceDE w:val="0"/>
        <w:autoSpaceDN w:val="0"/>
        <w:bidi w:val="0"/>
        <w:adjustRightInd w:val="0"/>
        <w:snapToGrid/>
        <w:spacing w:line="500" w:lineRule="exact"/>
        <w:ind w:right="6" w:firstLine="420" w:firstLineChars="200"/>
        <w:textAlignment w:va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37.3  政府采购合同订立后，合同各方不得擅自变更、中止或者终止合同。政府采购合同需要变更的，采购人应将有关合同变更内容，以书面形式报政府采购监督管理部门备案；因特殊情况需要中止或终止合同的，采购人应将中止或终止合同的理由以及相应措施，以书面形式报政府采购监督管理部门备案。</w:t>
      </w:r>
    </w:p>
    <w:p w14:paraId="5B095D57">
      <w:pPr>
        <w:keepNext w:val="0"/>
        <w:keepLines w:val="0"/>
        <w:pageBreakBefore w:val="0"/>
        <w:widowControl w:val="0"/>
        <w:kinsoku/>
        <w:wordWrap/>
        <w:overflowPunct/>
        <w:topLinePunct w:val="0"/>
        <w:autoSpaceDE w:val="0"/>
        <w:autoSpaceDN w:val="0"/>
        <w:bidi w:val="0"/>
        <w:adjustRightInd w:val="0"/>
        <w:snapToGrid/>
        <w:spacing w:line="500" w:lineRule="exact"/>
        <w:ind w:right="6" w:firstLine="420" w:firstLineChars="200"/>
        <w:textAlignment w:va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 37.4  政府采购合同履行中，采购人需追加与合同标的相同的货物的，在不改变合同其他条款的前提下，可以与投标人签订补充合同，但所补充合同的采购金额不得超过原合同采购金额的百分之十。签订补充合同的应按规定备案。</w:t>
      </w:r>
    </w:p>
    <w:p w14:paraId="3797B3E1">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0" w:firstLineChars="0"/>
        <w:jc w:val="both"/>
        <w:textAlignment w:val="auto"/>
        <w:outlineLvl w:val="9"/>
        <w:rPr>
          <w:rFonts w:hint="eastAsia" w:ascii="宋体" w:hAnsi="宋体" w:cs="宋体"/>
          <w:b/>
          <w:bCs/>
          <w:color w:val="000000"/>
          <w:kern w:val="0"/>
          <w:sz w:val="24"/>
          <w:highlight w:val="none"/>
        </w:rPr>
      </w:pPr>
      <w:r>
        <w:rPr>
          <w:rFonts w:hint="eastAsia" w:ascii="宋体" w:hAnsi="宋体" w:cs="宋体"/>
          <w:b/>
          <w:bCs/>
          <w:color w:val="000000"/>
          <w:kern w:val="0"/>
          <w:sz w:val="24"/>
          <w:highlight w:val="none"/>
          <w:lang w:val="en-US" w:eastAsia="zh-CN"/>
        </w:rPr>
        <w:t>38</w:t>
      </w:r>
      <w:r>
        <w:rPr>
          <w:rFonts w:hint="eastAsia" w:ascii="宋体" w:hAnsi="宋体" w:cs="宋体"/>
          <w:b/>
          <w:bCs/>
          <w:color w:val="000000"/>
          <w:kern w:val="0"/>
          <w:sz w:val="24"/>
          <w:highlight w:val="none"/>
        </w:rPr>
        <w:t>、转包与分包</w:t>
      </w:r>
    </w:p>
    <w:p w14:paraId="47158698">
      <w:pPr>
        <w:keepNext w:val="0"/>
        <w:keepLines w:val="0"/>
        <w:pageBreakBefore w:val="0"/>
        <w:widowControl w:val="0"/>
        <w:kinsoku/>
        <w:wordWrap/>
        <w:overflowPunct/>
        <w:topLinePunct w:val="0"/>
        <w:autoSpaceDE w:val="0"/>
        <w:autoSpaceDN w:val="0"/>
        <w:bidi w:val="0"/>
        <w:adjustRightInd w:val="0"/>
        <w:snapToGrid/>
        <w:spacing w:line="500" w:lineRule="exact"/>
        <w:ind w:right="6" w:firstLine="420" w:firstLineChars="200"/>
        <w:textAlignment w:val="auto"/>
        <w:rPr>
          <w:rFonts w:hint="eastAsia" w:ascii="宋体" w:hAnsi="宋体" w:eastAsia="宋体" w:cs="宋体"/>
          <w:color w:val="000000"/>
          <w:sz w:val="21"/>
          <w:szCs w:val="21"/>
          <w:highlight w:val="none"/>
          <w:lang w:val="en-US" w:eastAsia="zh-CN"/>
        </w:rPr>
      </w:pPr>
      <w:r>
        <w:rPr>
          <w:rFonts w:hint="eastAsia"/>
          <w:highlight w:val="none"/>
          <w:lang w:val="en-US" w:eastAsia="zh-CN"/>
        </w:rPr>
        <w:t xml:space="preserve">  </w:t>
      </w:r>
      <w:r>
        <w:rPr>
          <w:rFonts w:hint="eastAsia" w:ascii="宋体" w:hAnsi="宋体" w:eastAsia="宋体" w:cs="宋体"/>
          <w:color w:val="000000"/>
          <w:sz w:val="21"/>
          <w:szCs w:val="21"/>
          <w:highlight w:val="none"/>
          <w:lang w:val="en-US" w:eastAsia="zh-CN"/>
        </w:rPr>
        <w:t>38.1  本项目不允许采取转包</w:t>
      </w:r>
      <w:r>
        <w:rPr>
          <w:rFonts w:hint="eastAsia" w:ascii="宋体" w:hAnsi="宋体" w:cs="宋体"/>
          <w:color w:val="000000"/>
          <w:sz w:val="21"/>
          <w:szCs w:val="21"/>
          <w:highlight w:val="none"/>
          <w:lang w:val="en-US" w:eastAsia="zh-CN"/>
        </w:rPr>
        <w:t>与分包</w:t>
      </w:r>
      <w:r>
        <w:rPr>
          <w:rFonts w:hint="eastAsia" w:ascii="宋体" w:hAnsi="宋体" w:eastAsia="宋体" w:cs="宋体"/>
          <w:color w:val="000000"/>
          <w:sz w:val="21"/>
          <w:szCs w:val="21"/>
          <w:highlight w:val="none"/>
          <w:lang w:val="en-US" w:eastAsia="zh-CN"/>
        </w:rPr>
        <w:t>方式履行合同。</w:t>
      </w:r>
    </w:p>
    <w:p w14:paraId="3387107D">
      <w:pPr>
        <w:numPr>
          <w:ilvl w:val="0"/>
          <w:numId w:val="0"/>
        </w:numPr>
        <w:spacing w:before="240" w:after="120"/>
        <w:jc w:val="center"/>
        <w:outlineLvl w:val="2"/>
        <w:rPr>
          <w:rFonts w:hint="eastAsia" w:ascii="宋体" w:hAnsi="宋体" w:cs="宋体"/>
          <w:b/>
          <w:bCs/>
          <w:sz w:val="28"/>
          <w:highlight w:val="none"/>
        </w:rPr>
      </w:pPr>
      <w:r>
        <w:rPr>
          <w:rFonts w:hint="eastAsia" w:ascii="宋体" w:hAnsi="宋体" w:cs="宋体"/>
          <w:b/>
          <w:bCs/>
          <w:sz w:val="28"/>
          <w:highlight w:val="none"/>
        </w:rPr>
        <w:t>十、其他</w:t>
      </w:r>
    </w:p>
    <w:p w14:paraId="426CDA55">
      <w:pPr>
        <w:keepNext w:val="0"/>
        <w:keepLines w:val="0"/>
        <w:pageBreakBefore w:val="0"/>
        <w:widowControl w:val="0"/>
        <w:kinsoku/>
        <w:wordWrap/>
        <w:overflowPunct/>
        <w:topLinePunct w:val="0"/>
        <w:autoSpaceDE w:val="0"/>
        <w:autoSpaceDN w:val="0"/>
        <w:bidi w:val="0"/>
        <w:adjustRightInd w:val="0"/>
        <w:snapToGrid/>
        <w:spacing w:line="460" w:lineRule="exact"/>
        <w:ind w:left="0" w:leftChars="0" w:right="6" w:rightChars="0" w:firstLine="0" w:firstLineChars="0"/>
        <w:jc w:val="both"/>
        <w:textAlignment w:val="auto"/>
        <w:outlineLvl w:val="9"/>
        <w:rPr>
          <w:rFonts w:hint="eastAsia" w:ascii="宋体" w:hAnsi="宋体" w:cs="宋体"/>
          <w:b/>
          <w:bCs/>
          <w:kern w:val="0"/>
          <w:sz w:val="24"/>
          <w:highlight w:val="none"/>
        </w:rPr>
      </w:pPr>
      <w:r>
        <w:rPr>
          <w:rFonts w:hint="eastAsia" w:ascii="宋体" w:hAnsi="宋体" w:cs="宋体"/>
          <w:b/>
          <w:bCs/>
          <w:kern w:val="0"/>
          <w:sz w:val="24"/>
          <w:highlight w:val="none"/>
          <w:lang w:val="en-US" w:eastAsia="zh-CN"/>
        </w:rPr>
        <w:t>39</w:t>
      </w:r>
      <w:r>
        <w:rPr>
          <w:rFonts w:hint="eastAsia" w:ascii="宋体" w:hAnsi="宋体" w:cs="宋体"/>
          <w:b/>
          <w:bCs/>
          <w:kern w:val="0"/>
          <w:sz w:val="24"/>
          <w:highlight w:val="none"/>
        </w:rPr>
        <w:t>、</w:t>
      </w:r>
      <w:r>
        <w:rPr>
          <w:rFonts w:hint="eastAsia" w:ascii="宋体" w:hAnsi="宋体" w:cs="宋体"/>
          <w:b/>
          <w:bCs/>
          <w:kern w:val="0"/>
          <w:sz w:val="24"/>
          <w:highlight w:val="none"/>
          <w:lang w:eastAsia="zh-CN"/>
        </w:rPr>
        <w:t>采购</w:t>
      </w:r>
      <w:r>
        <w:rPr>
          <w:rFonts w:hint="eastAsia" w:ascii="宋体" w:hAnsi="宋体" w:cs="宋体"/>
          <w:b/>
          <w:bCs/>
          <w:kern w:val="0"/>
          <w:sz w:val="24"/>
          <w:highlight w:val="none"/>
        </w:rPr>
        <w:t>代理服务费</w:t>
      </w:r>
    </w:p>
    <w:p w14:paraId="5A5C71DD">
      <w:pPr>
        <w:keepNext w:val="0"/>
        <w:keepLines w:val="0"/>
        <w:pageBreakBefore w:val="0"/>
        <w:widowControl w:val="0"/>
        <w:kinsoku/>
        <w:wordWrap/>
        <w:overflowPunct/>
        <w:topLinePunct w:val="0"/>
        <w:autoSpaceDE w:val="0"/>
        <w:autoSpaceDN w:val="0"/>
        <w:bidi w:val="0"/>
        <w:adjustRightInd w:val="0"/>
        <w:snapToGrid/>
        <w:spacing w:line="460" w:lineRule="exact"/>
        <w:ind w:left="0" w:leftChars="0" w:right="6" w:rightChars="0" w:firstLine="0" w:firstLineChars="0"/>
        <w:jc w:val="both"/>
        <w:textAlignment w:val="auto"/>
        <w:outlineLvl w:val="9"/>
        <w:rPr>
          <w:rFonts w:hint="eastAsia" w:ascii="宋体" w:hAnsi="宋体" w:eastAsia="宋体" w:cs="宋体"/>
          <w:highlight w:val="none"/>
        </w:rPr>
      </w:pPr>
      <w:r>
        <w:rPr>
          <w:rFonts w:hint="eastAsia"/>
          <w:highlight w:val="none"/>
        </w:rPr>
        <w:t xml:space="preserve">   </w:t>
      </w:r>
      <w:r>
        <w:rPr>
          <w:rFonts w:hint="eastAsia" w:ascii="宋体" w:hAnsi="宋体" w:eastAsia="宋体" w:cs="宋体"/>
          <w:highlight w:val="none"/>
        </w:rPr>
        <w:t xml:space="preserve"> </w:t>
      </w:r>
      <w:r>
        <w:rPr>
          <w:rFonts w:hint="eastAsia" w:ascii="宋体" w:hAnsi="宋体" w:eastAsia="宋体" w:cs="宋体"/>
          <w:highlight w:val="none"/>
          <w:lang w:val="en-US" w:eastAsia="zh-CN"/>
        </w:rPr>
        <w:t>39</w:t>
      </w:r>
      <w:r>
        <w:rPr>
          <w:rFonts w:hint="eastAsia" w:ascii="宋体" w:hAnsi="宋体" w:eastAsia="宋体" w:cs="宋体"/>
          <w:highlight w:val="none"/>
        </w:rPr>
        <w:t>.1</w:t>
      </w:r>
      <w:r>
        <w:rPr>
          <w:rFonts w:hint="eastAsia" w:ascii="宋体" w:hAnsi="宋体" w:eastAsia="宋体" w:cs="宋体"/>
          <w:highlight w:val="none"/>
          <w:lang w:val="en-US" w:eastAsia="zh-CN"/>
        </w:rPr>
        <w:t xml:space="preserve">  </w:t>
      </w:r>
      <w:r>
        <w:rPr>
          <w:rFonts w:hint="eastAsia" w:ascii="宋体" w:hAnsi="宋体" w:eastAsia="宋体" w:cs="宋体"/>
          <w:highlight w:val="none"/>
        </w:rPr>
        <w:t>不论投标结果如何，投标人应承担其参加本招标活动自身所发生的全部费用。</w:t>
      </w:r>
    </w:p>
    <w:p w14:paraId="457E897B">
      <w:pPr>
        <w:keepNext w:val="0"/>
        <w:keepLines w:val="0"/>
        <w:pageBreakBefore w:val="0"/>
        <w:widowControl w:val="0"/>
        <w:kinsoku/>
        <w:wordWrap/>
        <w:overflowPunct/>
        <w:topLinePunct w:val="0"/>
        <w:autoSpaceDE w:val="0"/>
        <w:autoSpaceDN w:val="0"/>
        <w:bidi w:val="0"/>
        <w:adjustRightInd w:val="0"/>
        <w:snapToGrid/>
        <w:spacing w:line="460" w:lineRule="exact"/>
        <w:ind w:left="0" w:leftChars="0" w:right="6" w:rightChars="0" w:firstLine="0" w:firstLineChars="0"/>
        <w:jc w:val="both"/>
        <w:textAlignment w:val="auto"/>
        <w:outlineLvl w:val="9"/>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lang w:val="en-US" w:eastAsia="zh-CN"/>
        </w:rPr>
        <w:t>39</w:t>
      </w:r>
      <w:r>
        <w:rPr>
          <w:rFonts w:hint="eastAsia" w:ascii="宋体" w:hAnsi="宋体" w:eastAsia="宋体" w:cs="宋体"/>
          <w:highlight w:val="none"/>
        </w:rPr>
        <w:t xml:space="preserve">.2 </w:t>
      </w:r>
      <w:r>
        <w:rPr>
          <w:rFonts w:hint="eastAsia" w:ascii="宋体" w:hAnsi="宋体" w:eastAsia="宋体" w:cs="宋体"/>
          <w:highlight w:val="none"/>
          <w:lang w:val="en-US" w:eastAsia="zh-CN"/>
        </w:rPr>
        <w:t xml:space="preserve"> </w:t>
      </w:r>
      <w:r>
        <w:rPr>
          <w:rFonts w:hint="eastAsia" w:ascii="宋体" w:hAnsi="宋体" w:eastAsia="宋体" w:cs="宋体"/>
          <w:highlight w:val="none"/>
        </w:rPr>
        <w:t>中标人应向采购代理机构交纳</w:t>
      </w:r>
      <w:r>
        <w:rPr>
          <w:rFonts w:hint="eastAsia" w:ascii="宋体" w:hAnsi="宋体" w:eastAsia="宋体" w:cs="宋体"/>
          <w:highlight w:val="none"/>
          <w:lang w:eastAsia="zh-CN"/>
        </w:rPr>
        <w:t>采购</w:t>
      </w:r>
      <w:r>
        <w:rPr>
          <w:rFonts w:hint="eastAsia" w:ascii="宋体" w:hAnsi="宋体" w:eastAsia="宋体" w:cs="宋体"/>
          <w:highlight w:val="none"/>
        </w:rPr>
        <w:t>代理服务费。此服务费应计入投标报价中，但不需要单独开列。</w:t>
      </w:r>
    </w:p>
    <w:p w14:paraId="552F330E">
      <w:pPr>
        <w:autoSpaceDE w:val="0"/>
        <w:autoSpaceDN w:val="0"/>
        <w:adjustRightInd w:val="0"/>
        <w:spacing w:line="500" w:lineRule="exact"/>
        <w:ind w:right="6" w:firstLine="420"/>
        <w:rPr>
          <w:rFonts w:hint="eastAsia" w:ascii="宋体" w:hAnsi="宋体" w:eastAsia="宋体" w:cs="宋体"/>
          <w:highlight w:val="none"/>
          <w:lang w:eastAsia="zh-CN"/>
        </w:rPr>
      </w:pPr>
      <w:r>
        <w:rPr>
          <w:rFonts w:hint="eastAsia" w:ascii="宋体" w:hAnsi="宋体" w:eastAsia="宋体" w:cs="宋体"/>
          <w:highlight w:val="none"/>
          <w:lang w:val="en-US" w:eastAsia="zh-CN"/>
        </w:rPr>
        <w:t>39</w:t>
      </w:r>
      <w:r>
        <w:rPr>
          <w:rFonts w:hint="eastAsia" w:ascii="宋体" w:hAnsi="宋体" w:eastAsia="宋体" w:cs="宋体"/>
          <w:highlight w:val="none"/>
        </w:rPr>
        <w:t xml:space="preserve">.3 </w:t>
      </w:r>
      <w:r>
        <w:rPr>
          <w:rFonts w:hint="eastAsia" w:ascii="宋体" w:hAnsi="宋体" w:eastAsia="宋体" w:cs="宋体"/>
          <w:highlight w:val="none"/>
          <w:lang w:val="en-US" w:eastAsia="zh-CN"/>
        </w:rPr>
        <w:t xml:space="preserve"> </w:t>
      </w:r>
      <w:r>
        <w:rPr>
          <w:rFonts w:hint="eastAsia" w:ascii="宋体" w:hAnsi="宋体" w:eastAsia="宋体" w:cs="宋体"/>
          <w:highlight w:val="none"/>
          <w:lang w:eastAsia="zh-CN"/>
        </w:rPr>
        <w:t>采购</w:t>
      </w:r>
      <w:r>
        <w:rPr>
          <w:rFonts w:hint="eastAsia" w:ascii="宋体" w:hAnsi="宋体" w:eastAsia="宋体" w:cs="宋体"/>
          <w:highlight w:val="none"/>
        </w:rPr>
        <w:t>代理服务费的交纳方式：中标人在领取《中标通知书》前，须向采购代理机构交纳</w:t>
      </w:r>
      <w:r>
        <w:rPr>
          <w:rFonts w:hint="eastAsia" w:ascii="宋体" w:hAnsi="宋体" w:eastAsia="宋体" w:cs="宋体"/>
          <w:highlight w:val="none"/>
          <w:lang w:eastAsia="zh-CN"/>
        </w:rPr>
        <w:t>采购</w:t>
      </w:r>
      <w:r>
        <w:rPr>
          <w:rFonts w:hint="eastAsia" w:ascii="宋体" w:hAnsi="宋体" w:eastAsia="宋体" w:cs="宋体"/>
          <w:highlight w:val="none"/>
        </w:rPr>
        <w:t>代理服务费，采用现金、银行转账方式一次性交纳</w:t>
      </w:r>
      <w:r>
        <w:rPr>
          <w:rFonts w:hint="eastAsia" w:ascii="宋体" w:hAnsi="宋体" w:cs="宋体"/>
          <w:highlight w:val="none"/>
          <w:lang w:eastAsia="zh-CN"/>
        </w:rPr>
        <w:t>。</w:t>
      </w:r>
    </w:p>
    <w:p w14:paraId="11B7A694">
      <w:pPr>
        <w:keepNext w:val="0"/>
        <w:keepLines w:val="0"/>
        <w:pageBreakBefore w:val="0"/>
        <w:widowControl w:val="0"/>
        <w:kinsoku/>
        <w:wordWrap/>
        <w:overflowPunct/>
        <w:topLinePunct w:val="0"/>
        <w:autoSpaceDE w:val="0"/>
        <w:autoSpaceDN w:val="0"/>
        <w:bidi w:val="0"/>
        <w:adjustRightInd w:val="0"/>
        <w:snapToGrid/>
        <w:spacing w:line="460" w:lineRule="exact"/>
        <w:ind w:left="0" w:leftChars="0" w:right="6" w:rightChars="0" w:firstLine="420" w:firstLineChars="0"/>
        <w:jc w:val="both"/>
        <w:textAlignment w:val="auto"/>
        <w:outlineLvl w:val="9"/>
        <w:rPr>
          <w:rFonts w:hint="eastAsia" w:ascii="宋体" w:hAnsi="宋体" w:eastAsia="宋体" w:cs="宋体"/>
          <w:color w:val="FF0000"/>
          <w:highlight w:val="none"/>
        </w:rPr>
      </w:pPr>
      <w:r>
        <w:rPr>
          <w:rFonts w:hint="eastAsia" w:ascii="宋体" w:hAnsi="宋体" w:eastAsia="宋体" w:cs="宋体"/>
          <w:highlight w:val="none"/>
          <w:lang w:val="en-US" w:eastAsia="zh-CN"/>
        </w:rPr>
        <w:t>39</w:t>
      </w:r>
      <w:r>
        <w:rPr>
          <w:rFonts w:hint="eastAsia" w:ascii="宋体" w:hAnsi="宋体" w:eastAsia="宋体" w:cs="宋体"/>
          <w:highlight w:val="none"/>
        </w:rPr>
        <w:t xml:space="preserve">.4 </w:t>
      </w:r>
      <w:r>
        <w:rPr>
          <w:rFonts w:hint="eastAsia" w:ascii="宋体" w:hAnsi="宋体" w:eastAsia="宋体" w:cs="宋体"/>
          <w:color w:val="auto"/>
          <w:highlight w:val="none"/>
          <w:lang w:val="en-US" w:eastAsia="zh-CN"/>
        </w:rPr>
        <w:t xml:space="preserve"> 采购代理服务费的金额参照《国家计委关于印发&lt;招标代理服务收费管理暂行办法&gt;的通知》（计价格[2002]1980号）和国家发改委办公厅颁发的《关于招标代理服务收费有关问题的通知》（发改办价格【2003】857号）的有关规定收取招标代理服务费。由中标（成交）单位支付，在领取中标（成交）通知书前一次性向代理机构支付。</w:t>
      </w:r>
    </w:p>
    <w:p w14:paraId="4CE20AC5">
      <w:pPr>
        <w:keepNext w:val="0"/>
        <w:keepLines w:val="0"/>
        <w:pageBreakBefore w:val="0"/>
        <w:widowControl w:val="0"/>
        <w:kinsoku/>
        <w:wordWrap/>
        <w:overflowPunct/>
        <w:topLinePunct w:val="0"/>
        <w:autoSpaceDE w:val="0"/>
        <w:autoSpaceDN w:val="0"/>
        <w:bidi w:val="0"/>
        <w:adjustRightInd w:val="0"/>
        <w:snapToGrid/>
        <w:spacing w:line="460" w:lineRule="exact"/>
        <w:ind w:right="6" w:rightChars="0"/>
        <w:jc w:val="both"/>
        <w:textAlignment w:val="auto"/>
        <w:outlineLvl w:val="9"/>
        <w:rPr>
          <w:rFonts w:hint="eastAsia" w:ascii="宋体" w:hAnsi="宋体" w:cs="宋体"/>
          <w:b/>
          <w:bCs/>
          <w:kern w:val="0"/>
          <w:sz w:val="24"/>
          <w:highlight w:val="none"/>
        </w:rPr>
      </w:pPr>
      <w:r>
        <w:rPr>
          <w:rFonts w:hint="eastAsia" w:ascii="宋体" w:hAnsi="宋体" w:cs="宋体"/>
          <w:b/>
          <w:bCs/>
          <w:kern w:val="0"/>
          <w:sz w:val="24"/>
          <w:highlight w:val="none"/>
          <w:lang w:val="en-US" w:eastAsia="zh-CN"/>
        </w:rPr>
        <w:t>40</w:t>
      </w:r>
      <w:r>
        <w:rPr>
          <w:rFonts w:hint="eastAsia" w:ascii="宋体" w:hAnsi="宋体" w:cs="宋体"/>
          <w:b/>
          <w:bCs/>
          <w:kern w:val="0"/>
          <w:sz w:val="24"/>
          <w:highlight w:val="none"/>
        </w:rPr>
        <w:t>、重新招标或者变更采购方式</w:t>
      </w:r>
    </w:p>
    <w:p w14:paraId="494CB9B0">
      <w:pPr>
        <w:keepNext w:val="0"/>
        <w:keepLines w:val="0"/>
        <w:pageBreakBefore w:val="0"/>
        <w:widowControl w:val="0"/>
        <w:kinsoku/>
        <w:wordWrap/>
        <w:overflowPunct/>
        <w:topLinePunct w:val="0"/>
        <w:autoSpaceDE w:val="0"/>
        <w:autoSpaceDN w:val="0"/>
        <w:bidi w:val="0"/>
        <w:adjustRightInd w:val="0"/>
        <w:snapToGrid/>
        <w:spacing w:line="460" w:lineRule="exact"/>
        <w:ind w:left="0" w:leftChars="0" w:right="6" w:rightChars="0" w:firstLine="0" w:firstLineChars="0"/>
        <w:jc w:val="both"/>
        <w:textAlignment w:val="auto"/>
        <w:outlineLvl w:val="9"/>
        <w:rPr>
          <w:rFonts w:hint="eastAsia" w:ascii="宋体" w:hAnsi="宋体" w:eastAsia="宋体" w:cs="宋体"/>
          <w:sz w:val="21"/>
          <w:szCs w:val="21"/>
          <w:highlight w:val="none"/>
        </w:rPr>
      </w:pPr>
      <w:r>
        <w:rPr>
          <w:rFonts w:hint="eastAsia"/>
          <w:highlight w:val="none"/>
          <w:lang w:val="en-US" w:eastAsia="zh-CN"/>
        </w:rPr>
        <w:t xml:space="preserve">   </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4</w:t>
      </w:r>
      <w:r>
        <w:rPr>
          <w:rFonts w:hint="eastAsia" w:ascii="宋体" w:hAnsi="宋体" w:eastAsia="宋体" w:cs="宋体"/>
          <w:sz w:val="21"/>
          <w:szCs w:val="21"/>
          <w:highlight w:val="none"/>
          <w:lang w:val="en-US" w:eastAsia="zh-CN"/>
        </w:rPr>
        <w:t>0.</w:t>
      </w:r>
      <w:r>
        <w:rPr>
          <w:rFonts w:hint="eastAsia" w:ascii="宋体" w:hAnsi="宋体" w:eastAsia="宋体" w:cs="宋体"/>
          <w:sz w:val="21"/>
          <w:szCs w:val="21"/>
          <w:highlight w:val="none"/>
        </w:rPr>
        <w:t>1</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投标截止时间结束后，参加投标的</w:t>
      </w:r>
      <w:r>
        <w:rPr>
          <w:rFonts w:hint="eastAsia" w:ascii="宋体" w:hAnsi="宋体" w:eastAsia="宋体" w:cs="宋体"/>
          <w:sz w:val="21"/>
          <w:szCs w:val="21"/>
          <w:highlight w:val="none"/>
          <w:lang w:eastAsia="zh-CN"/>
        </w:rPr>
        <w:t>投标人</w:t>
      </w:r>
      <w:r>
        <w:rPr>
          <w:rFonts w:hint="eastAsia" w:ascii="宋体" w:hAnsi="宋体" w:eastAsia="宋体" w:cs="宋体"/>
          <w:sz w:val="21"/>
          <w:szCs w:val="21"/>
          <w:highlight w:val="none"/>
        </w:rPr>
        <w:t>不足三家或在评标期间，出现符合专业条件的</w:t>
      </w:r>
      <w:r>
        <w:rPr>
          <w:rFonts w:hint="eastAsia" w:ascii="宋体" w:hAnsi="宋体" w:eastAsia="宋体" w:cs="宋体"/>
          <w:sz w:val="21"/>
          <w:szCs w:val="21"/>
          <w:highlight w:val="none"/>
          <w:lang w:eastAsia="zh-CN"/>
        </w:rPr>
        <w:t>投标人</w:t>
      </w:r>
      <w:r>
        <w:rPr>
          <w:rFonts w:hint="eastAsia" w:ascii="宋体" w:hAnsi="宋体" w:eastAsia="宋体" w:cs="宋体"/>
          <w:sz w:val="21"/>
          <w:szCs w:val="21"/>
          <w:highlight w:val="none"/>
        </w:rPr>
        <w:t>不足三家或对招标文件实质响应的</w:t>
      </w:r>
      <w:r>
        <w:rPr>
          <w:rFonts w:hint="eastAsia" w:ascii="宋体" w:hAnsi="宋体" w:eastAsia="宋体" w:cs="宋体"/>
          <w:sz w:val="21"/>
          <w:szCs w:val="21"/>
          <w:highlight w:val="none"/>
          <w:lang w:eastAsia="zh-CN"/>
        </w:rPr>
        <w:t>投标人</w:t>
      </w:r>
      <w:r>
        <w:rPr>
          <w:rFonts w:hint="eastAsia" w:ascii="宋体" w:hAnsi="宋体" w:eastAsia="宋体" w:cs="宋体"/>
          <w:sz w:val="21"/>
          <w:szCs w:val="21"/>
          <w:highlight w:val="none"/>
        </w:rPr>
        <w:t>不足三家，</w:t>
      </w:r>
      <w:r>
        <w:rPr>
          <w:rFonts w:hint="eastAsia" w:ascii="宋体" w:hAnsi="宋体" w:eastAsia="宋体" w:cs="宋体"/>
          <w:color w:val="auto"/>
          <w:sz w:val="21"/>
          <w:szCs w:val="21"/>
          <w:highlight w:val="none"/>
        </w:rPr>
        <w:t>按《政府采购货物和服务招标投标管理办法》（第</w:t>
      </w:r>
      <w:r>
        <w:rPr>
          <w:rFonts w:hint="eastAsia" w:ascii="宋体" w:hAnsi="宋体" w:eastAsia="宋体" w:cs="宋体"/>
          <w:color w:val="auto"/>
          <w:sz w:val="21"/>
          <w:szCs w:val="21"/>
          <w:highlight w:val="none"/>
          <w:lang w:eastAsia="zh-CN"/>
        </w:rPr>
        <w:t>87号令</w:t>
      </w:r>
      <w:r>
        <w:rPr>
          <w:rFonts w:hint="eastAsia" w:ascii="宋体" w:hAnsi="宋体" w:eastAsia="宋体" w:cs="宋体"/>
          <w:color w:val="auto"/>
          <w:sz w:val="21"/>
          <w:szCs w:val="21"/>
          <w:highlight w:val="none"/>
        </w:rPr>
        <w:t>）</w:t>
      </w:r>
      <w:r>
        <w:rPr>
          <w:rFonts w:hint="eastAsia" w:ascii="宋体" w:hAnsi="宋体" w:eastAsia="宋体" w:cs="宋体"/>
          <w:sz w:val="21"/>
          <w:szCs w:val="21"/>
          <w:highlight w:val="none"/>
        </w:rPr>
        <w:t>第四十三条规定的相关原则处理。</w:t>
      </w:r>
    </w:p>
    <w:p w14:paraId="29332A4B">
      <w:pPr>
        <w:keepNext w:val="0"/>
        <w:keepLines w:val="0"/>
        <w:pageBreakBefore w:val="0"/>
        <w:widowControl w:val="0"/>
        <w:kinsoku/>
        <w:wordWrap/>
        <w:overflowPunct/>
        <w:topLinePunct w:val="0"/>
        <w:autoSpaceDE w:val="0"/>
        <w:autoSpaceDN w:val="0"/>
        <w:bidi w:val="0"/>
        <w:adjustRightInd w:val="0"/>
        <w:snapToGrid/>
        <w:spacing w:line="460" w:lineRule="exact"/>
        <w:ind w:right="6"/>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4</w:t>
      </w:r>
      <w:r>
        <w:rPr>
          <w:rFonts w:hint="eastAsia" w:ascii="宋体" w:hAnsi="宋体" w:eastAsia="宋体" w:cs="宋体"/>
          <w:b/>
          <w:bCs/>
          <w:color w:val="auto"/>
          <w:kern w:val="0"/>
          <w:sz w:val="21"/>
          <w:szCs w:val="21"/>
          <w:highlight w:val="none"/>
          <w:lang w:val="en-US" w:eastAsia="zh-CN"/>
        </w:rPr>
        <w:t>1</w:t>
      </w:r>
      <w:r>
        <w:rPr>
          <w:rFonts w:hint="eastAsia" w:ascii="宋体" w:hAnsi="宋体" w:eastAsia="宋体" w:cs="宋体"/>
          <w:b/>
          <w:bCs/>
          <w:color w:val="auto"/>
          <w:kern w:val="0"/>
          <w:sz w:val="21"/>
          <w:szCs w:val="21"/>
          <w:highlight w:val="none"/>
        </w:rPr>
        <w:t xml:space="preserve">、质疑和投诉 </w:t>
      </w:r>
    </w:p>
    <w:p w14:paraId="2E1FFC11">
      <w:pPr>
        <w:keepNext w:val="0"/>
        <w:keepLines w:val="0"/>
        <w:pageBreakBefore w:val="0"/>
        <w:widowControl w:val="0"/>
        <w:kinsoku/>
        <w:wordWrap/>
        <w:overflowPunct/>
        <w:topLinePunct w:val="0"/>
        <w:autoSpaceDE w:val="0"/>
        <w:autoSpaceDN w:val="0"/>
        <w:bidi w:val="0"/>
        <w:adjustRightInd w:val="0"/>
        <w:snapToGrid/>
        <w:spacing w:line="400" w:lineRule="exact"/>
        <w:ind w:right="6"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4</w:t>
      </w:r>
      <w:r>
        <w:rPr>
          <w:rFonts w:hint="eastAsia" w:ascii="宋体" w:hAnsi="宋体" w:eastAsia="宋体" w:cs="宋体"/>
          <w:color w:val="000000"/>
          <w:sz w:val="21"/>
          <w:szCs w:val="21"/>
          <w:highlight w:val="none"/>
          <w:lang w:val="en-US" w:eastAsia="zh-CN"/>
        </w:rPr>
        <w:t>1</w:t>
      </w:r>
      <w:r>
        <w:rPr>
          <w:rFonts w:hint="eastAsia" w:ascii="宋体" w:hAnsi="宋体" w:eastAsia="宋体" w:cs="宋体"/>
          <w:color w:val="000000"/>
          <w:sz w:val="21"/>
          <w:szCs w:val="21"/>
          <w:highlight w:val="none"/>
        </w:rPr>
        <w:t>.1</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质疑。</w:t>
      </w:r>
      <w:r>
        <w:rPr>
          <w:rFonts w:hint="eastAsia" w:ascii="宋体" w:hAnsi="宋体" w:cs="宋体"/>
          <w:color w:val="000000"/>
          <w:sz w:val="21"/>
          <w:szCs w:val="21"/>
          <w:highlight w:val="none"/>
          <w:lang w:eastAsia="zh-CN"/>
        </w:rPr>
        <w:t>投标人</w:t>
      </w:r>
      <w:r>
        <w:rPr>
          <w:rFonts w:hint="eastAsia" w:ascii="宋体" w:hAnsi="宋体" w:eastAsia="宋体" w:cs="宋体"/>
          <w:color w:val="000000"/>
          <w:sz w:val="21"/>
          <w:szCs w:val="21"/>
          <w:highlight w:val="none"/>
        </w:rPr>
        <w:t>认为采购文件、采购过程和中标、成交结果使自己的权益受到损害的，可以在知道或者应知其权益受到损害之日起七个工作日内，</w:t>
      </w:r>
      <w:r>
        <w:rPr>
          <w:rFonts w:hint="eastAsia" w:ascii="宋体" w:hAnsi="宋体" w:eastAsia="宋体" w:cs="宋体"/>
          <w:color w:val="000000"/>
          <w:sz w:val="21"/>
          <w:szCs w:val="21"/>
          <w:highlight w:val="none"/>
          <w:lang w:eastAsia="zh-CN"/>
        </w:rPr>
        <w:t>按照《政府采购质疑和投诉办法》</w:t>
      </w:r>
      <w:r>
        <w:rPr>
          <w:rFonts w:hint="eastAsia" w:ascii="宋体" w:hAnsi="宋体" w:eastAsia="宋体" w:cs="宋体"/>
          <w:color w:val="000000"/>
          <w:sz w:val="21"/>
          <w:szCs w:val="21"/>
          <w:highlight w:val="none"/>
        </w:rPr>
        <w:t>以书面形式</w:t>
      </w:r>
      <w:r>
        <w:rPr>
          <w:rFonts w:hint="eastAsia" w:ascii="宋体" w:hAnsi="宋体" w:eastAsia="宋体" w:cs="宋体"/>
          <w:color w:val="000000"/>
          <w:sz w:val="21"/>
          <w:szCs w:val="21"/>
          <w:highlight w:val="none"/>
          <w:lang w:eastAsia="zh-CN"/>
        </w:rPr>
        <w:t>一次性</w:t>
      </w:r>
      <w:r>
        <w:rPr>
          <w:rFonts w:hint="eastAsia" w:ascii="宋体" w:hAnsi="宋体" w:eastAsia="宋体" w:cs="宋体"/>
          <w:color w:val="000000"/>
          <w:sz w:val="21"/>
          <w:szCs w:val="21"/>
          <w:highlight w:val="none"/>
        </w:rPr>
        <w:t>向采购人提出质疑。采购人委托采购代理机构采购的，</w:t>
      </w:r>
      <w:r>
        <w:rPr>
          <w:rFonts w:hint="eastAsia" w:ascii="宋体" w:hAnsi="宋体" w:cs="宋体"/>
          <w:color w:val="000000"/>
          <w:sz w:val="21"/>
          <w:szCs w:val="21"/>
          <w:highlight w:val="none"/>
          <w:lang w:eastAsia="zh-CN"/>
        </w:rPr>
        <w:t>投标人</w:t>
      </w:r>
      <w:r>
        <w:rPr>
          <w:rFonts w:hint="eastAsia" w:ascii="宋体" w:hAnsi="宋体" w:eastAsia="宋体" w:cs="宋体"/>
          <w:color w:val="000000"/>
          <w:sz w:val="21"/>
          <w:szCs w:val="21"/>
          <w:highlight w:val="none"/>
        </w:rPr>
        <w:t xml:space="preserve">可以向采购代理机构提出询问或者质疑。 </w:t>
      </w:r>
    </w:p>
    <w:p w14:paraId="2D4BE488">
      <w:pPr>
        <w:keepNext w:val="0"/>
        <w:keepLines w:val="0"/>
        <w:pageBreakBefore w:val="0"/>
        <w:widowControl w:val="0"/>
        <w:kinsoku/>
        <w:wordWrap/>
        <w:overflowPunct/>
        <w:topLinePunct w:val="0"/>
        <w:autoSpaceDE w:val="0"/>
        <w:autoSpaceDN w:val="0"/>
        <w:bidi w:val="0"/>
        <w:adjustRightInd w:val="0"/>
        <w:snapToGrid/>
        <w:spacing w:line="400" w:lineRule="exact"/>
        <w:ind w:right="6"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质疑函接收人：</w:t>
      </w:r>
      <w:r>
        <w:rPr>
          <w:rFonts w:hint="eastAsia" w:ascii="宋体" w:hAnsi="宋体" w:cs="宋体"/>
          <w:color w:val="auto"/>
          <w:sz w:val="21"/>
          <w:szCs w:val="21"/>
          <w:highlight w:val="none"/>
          <w:lang w:val="en-US" w:eastAsia="zh-CN"/>
        </w:rPr>
        <w:t>王莹</w:t>
      </w:r>
      <w:r>
        <w:rPr>
          <w:rFonts w:hint="eastAsia" w:ascii="宋体" w:hAnsi="宋体" w:eastAsia="宋体" w:cs="宋体"/>
          <w:color w:val="auto"/>
          <w:sz w:val="21"/>
          <w:szCs w:val="21"/>
          <w:highlight w:val="none"/>
        </w:rPr>
        <w:t xml:space="preserve"> </w:t>
      </w:r>
    </w:p>
    <w:p w14:paraId="7AC6FF71">
      <w:pPr>
        <w:keepNext w:val="0"/>
        <w:keepLines w:val="0"/>
        <w:pageBreakBefore w:val="0"/>
        <w:widowControl w:val="0"/>
        <w:kinsoku/>
        <w:wordWrap/>
        <w:overflowPunct/>
        <w:topLinePunct w:val="0"/>
        <w:autoSpaceDE w:val="0"/>
        <w:autoSpaceDN w:val="0"/>
        <w:bidi w:val="0"/>
        <w:adjustRightInd w:val="0"/>
        <w:snapToGrid/>
        <w:spacing w:line="400" w:lineRule="exact"/>
        <w:ind w:right="6"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电话：</w:t>
      </w:r>
      <w:r>
        <w:rPr>
          <w:rFonts w:hint="eastAsia" w:ascii="宋体" w:hAnsi="宋体" w:cs="宋体"/>
          <w:color w:val="000000"/>
          <w:sz w:val="21"/>
          <w:szCs w:val="21"/>
          <w:highlight w:val="none"/>
          <w:lang w:eastAsia="zh-CN"/>
        </w:rPr>
        <w:t>13309156131</w:t>
      </w:r>
      <w:r>
        <w:rPr>
          <w:rFonts w:hint="eastAsia" w:ascii="宋体" w:hAnsi="宋体" w:eastAsia="宋体" w:cs="宋体"/>
          <w:color w:val="000000"/>
          <w:sz w:val="21"/>
          <w:szCs w:val="21"/>
          <w:highlight w:val="none"/>
        </w:rPr>
        <w:t xml:space="preserve"> </w:t>
      </w:r>
    </w:p>
    <w:p w14:paraId="39330981">
      <w:pPr>
        <w:keepNext w:val="0"/>
        <w:keepLines w:val="0"/>
        <w:pageBreakBefore w:val="0"/>
        <w:widowControl w:val="0"/>
        <w:kinsoku/>
        <w:wordWrap/>
        <w:overflowPunct/>
        <w:topLinePunct w:val="0"/>
        <w:autoSpaceDE w:val="0"/>
        <w:autoSpaceDN w:val="0"/>
        <w:bidi w:val="0"/>
        <w:adjustRightInd w:val="0"/>
        <w:snapToGrid/>
        <w:spacing w:line="400" w:lineRule="exact"/>
        <w:ind w:right="6"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地址：</w:t>
      </w:r>
      <w:r>
        <w:rPr>
          <w:rFonts w:hint="eastAsia" w:ascii="宋体" w:hAnsi="宋体" w:cs="宋体"/>
          <w:color w:val="000000"/>
          <w:sz w:val="21"/>
          <w:szCs w:val="21"/>
          <w:highlight w:val="none"/>
          <w:lang w:eastAsia="zh-CN"/>
        </w:rPr>
        <w:t>安康市汉滨区水景湾15幢1单元门面房</w:t>
      </w:r>
      <w:r>
        <w:rPr>
          <w:rFonts w:hint="eastAsia" w:ascii="宋体" w:hAnsi="宋体" w:eastAsia="宋体" w:cs="宋体"/>
          <w:color w:val="000000"/>
          <w:sz w:val="21"/>
          <w:szCs w:val="21"/>
          <w:highlight w:val="none"/>
        </w:rPr>
        <w:t xml:space="preserve"> </w:t>
      </w:r>
    </w:p>
    <w:p w14:paraId="0A85FB28">
      <w:pPr>
        <w:keepNext w:val="0"/>
        <w:keepLines w:val="0"/>
        <w:pageBreakBefore w:val="0"/>
        <w:widowControl w:val="0"/>
        <w:kinsoku/>
        <w:wordWrap/>
        <w:overflowPunct/>
        <w:topLinePunct w:val="0"/>
        <w:autoSpaceDE w:val="0"/>
        <w:autoSpaceDN w:val="0"/>
        <w:bidi w:val="0"/>
        <w:adjustRightInd w:val="0"/>
        <w:snapToGrid/>
        <w:spacing w:line="400" w:lineRule="exact"/>
        <w:ind w:right="6"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4</w:t>
      </w:r>
      <w:r>
        <w:rPr>
          <w:rFonts w:hint="eastAsia" w:ascii="宋体" w:hAnsi="宋体" w:eastAsia="宋体" w:cs="宋体"/>
          <w:color w:val="000000"/>
          <w:sz w:val="21"/>
          <w:szCs w:val="21"/>
          <w:highlight w:val="none"/>
          <w:lang w:val="en-US" w:eastAsia="zh-CN"/>
        </w:rPr>
        <w:t>1</w:t>
      </w:r>
      <w:r>
        <w:rPr>
          <w:rFonts w:hint="eastAsia" w:ascii="宋体" w:hAnsi="宋体" w:eastAsia="宋体" w:cs="宋体"/>
          <w:color w:val="000000"/>
          <w:sz w:val="21"/>
          <w:szCs w:val="21"/>
          <w:highlight w:val="none"/>
        </w:rPr>
        <w:t>.2</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投诉。质疑</w:t>
      </w:r>
      <w:r>
        <w:rPr>
          <w:rFonts w:hint="eastAsia" w:ascii="宋体" w:hAnsi="宋体" w:cs="宋体"/>
          <w:color w:val="000000"/>
          <w:sz w:val="21"/>
          <w:szCs w:val="21"/>
          <w:highlight w:val="none"/>
          <w:lang w:eastAsia="zh-CN"/>
        </w:rPr>
        <w:t>投标人</w:t>
      </w:r>
      <w:r>
        <w:rPr>
          <w:rFonts w:hint="eastAsia" w:ascii="宋体" w:hAnsi="宋体" w:eastAsia="宋体" w:cs="宋体"/>
          <w:color w:val="000000"/>
          <w:sz w:val="21"/>
          <w:szCs w:val="21"/>
          <w:highlight w:val="none"/>
        </w:rPr>
        <w:t>对采购人、采购代理机构的答复不满意或者采购人、采购代理机构未在规定的时间内作出答复的，可以在答复期满后十五个工作日内</w:t>
      </w:r>
      <w:r>
        <w:rPr>
          <w:rFonts w:hint="eastAsia" w:ascii="宋体" w:hAnsi="宋体" w:eastAsia="宋体" w:cs="宋体"/>
          <w:color w:val="000000"/>
          <w:sz w:val="21"/>
          <w:szCs w:val="21"/>
          <w:highlight w:val="none"/>
          <w:lang w:eastAsia="zh-CN"/>
        </w:rPr>
        <w:t>按照《政府采购质疑和投诉办法》</w:t>
      </w:r>
      <w:r>
        <w:rPr>
          <w:rFonts w:hint="eastAsia" w:ascii="宋体" w:hAnsi="宋体" w:eastAsia="宋体" w:cs="宋体"/>
          <w:color w:val="000000"/>
          <w:sz w:val="21"/>
          <w:szCs w:val="21"/>
          <w:highlight w:val="none"/>
        </w:rPr>
        <w:t>以书面形式向同级政府采购监督管理部门投诉。</w:t>
      </w:r>
    </w:p>
    <w:p w14:paraId="2EC74EC5">
      <w:pPr>
        <w:rPr>
          <w:rFonts w:hint="eastAsia" w:ascii="宋体" w:hAnsi="宋体" w:eastAsia="宋体" w:cs="宋体"/>
          <w:b/>
          <w:bCs/>
          <w:sz w:val="36"/>
          <w:szCs w:val="36"/>
          <w:highlight w:val="none"/>
          <w:lang w:eastAsia="zh-CN"/>
        </w:rPr>
      </w:pPr>
      <w:r>
        <w:rPr>
          <w:rFonts w:hint="eastAsia" w:ascii="宋体" w:hAnsi="宋体" w:eastAsia="宋体" w:cs="宋体"/>
          <w:b/>
          <w:bCs/>
          <w:sz w:val="36"/>
          <w:szCs w:val="36"/>
          <w:highlight w:val="none"/>
          <w:lang w:eastAsia="zh-CN"/>
        </w:rPr>
        <w:br w:type="page"/>
      </w:r>
    </w:p>
    <w:p w14:paraId="39740CC9">
      <w:pPr>
        <w:pStyle w:val="2"/>
        <w:numPr>
          <w:ilvl w:val="0"/>
          <w:numId w:val="0"/>
        </w:numPr>
        <w:tabs>
          <w:tab w:val="clear" w:pos="324"/>
        </w:tabs>
        <w:ind w:leftChars="0"/>
        <w:jc w:val="center"/>
        <w:rPr>
          <w:rFonts w:hint="eastAsia" w:ascii="宋体" w:hAnsi="宋体" w:eastAsia="宋体" w:cs="宋体"/>
          <w:b/>
          <w:bCs/>
          <w:sz w:val="36"/>
          <w:szCs w:val="36"/>
          <w:highlight w:val="none"/>
          <w:lang w:eastAsia="zh-CN"/>
        </w:rPr>
      </w:pPr>
    </w:p>
    <w:p w14:paraId="1367A58E">
      <w:pPr>
        <w:pStyle w:val="2"/>
        <w:numPr>
          <w:ilvl w:val="0"/>
          <w:numId w:val="0"/>
        </w:numPr>
        <w:tabs>
          <w:tab w:val="clear" w:pos="324"/>
        </w:tabs>
        <w:ind w:leftChars="0"/>
        <w:jc w:val="center"/>
        <w:rPr>
          <w:rFonts w:hint="eastAsia" w:ascii="宋体" w:hAnsi="宋体" w:eastAsia="宋体" w:cs="宋体"/>
          <w:b/>
          <w:bCs/>
          <w:sz w:val="36"/>
          <w:szCs w:val="36"/>
          <w:highlight w:val="none"/>
          <w:lang w:eastAsia="zh-CN"/>
        </w:rPr>
      </w:pPr>
    </w:p>
    <w:p w14:paraId="490C003B">
      <w:pPr>
        <w:pStyle w:val="2"/>
        <w:numPr>
          <w:ilvl w:val="0"/>
          <w:numId w:val="0"/>
        </w:numPr>
        <w:tabs>
          <w:tab w:val="clear" w:pos="324"/>
        </w:tabs>
        <w:ind w:leftChars="0"/>
        <w:jc w:val="center"/>
        <w:rPr>
          <w:rFonts w:hint="eastAsia" w:ascii="宋体" w:hAnsi="宋体" w:eastAsia="宋体" w:cs="宋体"/>
          <w:b/>
          <w:bCs/>
          <w:sz w:val="36"/>
          <w:szCs w:val="36"/>
          <w:highlight w:val="none"/>
          <w:lang w:eastAsia="zh-CN"/>
        </w:rPr>
      </w:pPr>
    </w:p>
    <w:p w14:paraId="48A2E593">
      <w:pPr>
        <w:pStyle w:val="2"/>
        <w:numPr>
          <w:ilvl w:val="0"/>
          <w:numId w:val="0"/>
        </w:numPr>
        <w:tabs>
          <w:tab w:val="clear" w:pos="324"/>
        </w:tabs>
        <w:ind w:leftChars="0"/>
        <w:jc w:val="center"/>
        <w:rPr>
          <w:rFonts w:hint="eastAsia" w:ascii="宋体" w:hAnsi="宋体" w:eastAsia="宋体" w:cs="宋体"/>
          <w:b/>
          <w:bCs/>
          <w:sz w:val="36"/>
          <w:szCs w:val="36"/>
          <w:highlight w:val="none"/>
          <w:lang w:eastAsia="zh-CN"/>
        </w:rPr>
      </w:pPr>
    </w:p>
    <w:p w14:paraId="2FAB4299">
      <w:pPr>
        <w:pStyle w:val="2"/>
        <w:numPr>
          <w:ilvl w:val="0"/>
          <w:numId w:val="0"/>
        </w:numPr>
        <w:tabs>
          <w:tab w:val="clear" w:pos="324"/>
        </w:tabs>
        <w:ind w:leftChars="0"/>
        <w:jc w:val="center"/>
        <w:rPr>
          <w:rFonts w:hint="eastAsia" w:ascii="宋体" w:hAnsi="宋体" w:eastAsia="宋体" w:cs="宋体"/>
          <w:b/>
          <w:bCs/>
          <w:sz w:val="36"/>
          <w:szCs w:val="36"/>
          <w:highlight w:val="none"/>
          <w:lang w:eastAsia="zh-CN"/>
        </w:rPr>
      </w:pPr>
    </w:p>
    <w:p w14:paraId="130EE462">
      <w:pPr>
        <w:pStyle w:val="2"/>
        <w:numPr>
          <w:ilvl w:val="0"/>
          <w:numId w:val="0"/>
        </w:numPr>
        <w:tabs>
          <w:tab w:val="clear" w:pos="324"/>
        </w:tabs>
        <w:ind w:leftChars="0"/>
        <w:jc w:val="center"/>
        <w:rPr>
          <w:rFonts w:hint="eastAsia" w:ascii="宋体" w:hAnsi="宋体" w:eastAsia="宋体" w:cs="宋体"/>
          <w:b/>
          <w:bCs/>
          <w:sz w:val="36"/>
          <w:szCs w:val="36"/>
          <w:highlight w:val="none"/>
          <w:lang w:eastAsia="zh-CN"/>
        </w:rPr>
      </w:pPr>
    </w:p>
    <w:p w14:paraId="28B6F17C">
      <w:pPr>
        <w:pStyle w:val="2"/>
        <w:numPr>
          <w:ilvl w:val="0"/>
          <w:numId w:val="0"/>
        </w:numPr>
        <w:tabs>
          <w:tab w:val="clear" w:pos="324"/>
        </w:tabs>
        <w:ind w:leftChars="0"/>
        <w:jc w:val="center"/>
        <w:rPr>
          <w:rFonts w:hint="eastAsia" w:ascii="宋体" w:hAnsi="宋体" w:eastAsia="宋体" w:cs="宋体"/>
          <w:b/>
          <w:bCs/>
          <w:sz w:val="36"/>
          <w:szCs w:val="36"/>
          <w:highlight w:val="none"/>
          <w:lang w:eastAsia="zh-CN"/>
        </w:rPr>
      </w:pPr>
    </w:p>
    <w:p w14:paraId="5E2EA024">
      <w:pPr>
        <w:pStyle w:val="2"/>
        <w:numPr>
          <w:ilvl w:val="0"/>
          <w:numId w:val="0"/>
        </w:numPr>
        <w:tabs>
          <w:tab w:val="clear" w:pos="324"/>
        </w:tabs>
        <w:ind w:leftChars="0"/>
        <w:jc w:val="center"/>
        <w:rPr>
          <w:rFonts w:hint="eastAsia" w:ascii="宋体" w:hAnsi="宋体" w:eastAsia="宋体" w:cs="宋体"/>
          <w:b/>
          <w:bCs/>
          <w:sz w:val="36"/>
          <w:szCs w:val="36"/>
          <w:highlight w:val="none"/>
          <w:lang w:eastAsia="zh-CN"/>
        </w:rPr>
      </w:pPr>
    </w:p>
    <w:p w14:paraId="56D0B25B">
      <w:pPr>
        <w:pStyle w:val="2"/>
        <w:numPr>
          <w:ilvl w:val="0"/>
          <w:numId w:val="0"/>
        </w:numPr>
        <w:tabs>
          <w:tab w:val="clear" w:pos="324"/>
        </w:tabs>
        <w:ind w:leftChars="0"/>
        <w:jc w:val="center"/>
        <w:rPr>
          <w:rFonts w:hint="eastAsia" w:ascii="宋体" w:hAnsi="宋体" w:eastAsia="宋体" w:cs="宋体"/>
          <w:b/>
          <w:bCs/>
          <w:sz w:val="36"/>
          <w:szCs w:val="36"/>
          <w:highlight w:val="none"/>
        </w:rPr>
      </w:pPr>
      <w:bookmarkStart w:id="14" w:name="_Toc18171"/>
      <w:r>
        <w:rPr>
          <w:rFonts w:hint="eastAsia" w:ascii="宋体" w:hAnsi="宋体" w:eastAsia="宋体" w:cs="宋体"/>
          <w:b/>
          <w:bCs/>
          <w:sz w:val="36"/>
          <w:szCs w:val="36"/>
          <w:highlight w:val="none"/>
          <w:lang w:eastAsia="zh-CN"/>
        </w:rPr>
        <w:t>第三章</w:t>
      </w:r>
      <w:r>
        <w:rPr>
          <w:rFonts w:hint="eastAsia" w:ascii="宋体" w:hAnsi="宋体" w:eastAsia="宋体" w:cs="宋体"/>
          <w:b/>
          <w:bCs/>
          <w:sz w:val="36"/>
          <w:szCs w:val="36"/>
          <w:highlight w:val="none"/>
          <w:lang w:val="en-US" w:eastAsia="zh-CN"/>
        </w:rPr>
        <w:t xml:space="preserve">  </w:t>
      </w:r>
      <w:r>
        <w:rPr>
          <w:rFonts w:hint="eastAsia" w:ascii="宋体" w:hAnsi="宋体" w:eastAsia="宋体" w:cs="宋体"/>
          <w:b/>
          <w:bCs/>
          <w:sz w:val="36"/>
          <w:szCs w:val="36"/>
          <w:highlight w:val="none"/>
        </w:rPr>
        <w:t>评标办法</w:t>
      </w:r>
      <w:bookmarkEnd w:id="14"/>
    </w:p>
    <w:p w14:paraId="05D69FDB">
      <w:pPr>
        <w:rPr>
          <w:rFonts w:hint="eastAsia" w:ascii="宋体" w:hAnsi="宋体" w:eastAsia="宋体" w:cs="宋体"/>
          <w:b w:val="0"/>
          <w:bCs w:val="0"/>
          <w:sz w:val="21"/>
          <w:szCs w:val="21"/>
          <w:highlight w:val="none"/>
        </w:rPr>
      </w:pPr>
      <w:bookmarkStart w:id="15" w:name="_Toc222740127"/>
      <w:r>
        <w:rPr>
          <w:rFonts w:hint="eastAsia" w:ascii="宋体" w:hAnsi="宋体" w:eastAsia="宋体" w:cs="宋体"/>
          <w:b w:val="0"/>
          <w:bCs w:val="0"/>
          <w:sz w:val="21"/>
          <w:szCs w:val="21"/>
          <w:highlight w:val="none"/>
        </w:rPr>
        <w:br w:type="page"/>
      </w:r>
    </w:p>
    <w:p w14:paraId="42F8C2A5">
      <w:pPr>
        <w:keepNext w:val="0"/>
        <w:keepLines w:val="0"/>
        <w:pageBreakBefore w:val="0"/>
        <w:widowControl w:val="0"/>
        <w:kinsoku/>
        <w:wordWrap/>
        <w:overflowPunct/>
        <w:topLinePunct w:val="0"/>
        <w:autoSpaceDE/>
        <w:autoSpaceDN/>
        <w:bidi w:val="0"/>
        <w:adjustRightInd/>
        <w:snapToGrid w:val="0"/>
        <w:spacing w:line="360" w:lineRule="auto"/>
        <w:ind w:firstLine="420" w:firstLineChars="200"/>
        <w:textAlignment w:val="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根据《中华人民共和国政府采购法》、中华人民共和国2015年第658号国务院令--《中华人民共和国政府采购法实施条例》和中华人民共和国财政部20</w:t>
      </w:r>
      <w:r>
        <w:rPr>
          <w:rFonts w:hint="eastAsia" w:ascii="宋体" w:hAnsi="宋体" w:cs="宋体"/>
          <w:b w:val="0"/>
          <w:bCs w:val="0"/>
          <w:sz w:val="21"/>
          <w:szCs w:val="21"/>
          <w:highlight w:val="none"/>
          <w:lang w:val="en-US" w:eastAsia="zh-CN"/>
        </w:rPr>
        <w:t>17</w:t>
      </w:r>
      <w:r>
        <w:rPr>
          <w:rFonts w:hint="eastAsia" w:ascii="宋体" w:hAnsi="宋体" w:eastAsia="宋体" w:cs="宋体"/>
          <w:b w:val="0"/>
          <w:bCs w:val="0"/>
          <w:sz w:val="21"/>
          <w:szCs w:val="21"/>
          <w:highlight w:val="none"/>
        </w:rPr>
        <w:t>年</w:t>
      </w:r>
      <w:r>
        <w:rPr>
          <w:rFonts w:hint="eastAsia" w:ascii="宋体" w:hAnsi="宋体" w:eastAsia="宋体" w:cs="宋体"/>
          <w:b w:val="0"/>
          <w:bCs w:val="0"/>
          <w:color w:val="auto"/>
          <w:sz w:val="21"/>
          <w:szCs w:val="21"/>
          <w:highlight w:val="none"/>
        </w:rPr>
        <w:t>第</w:t>
      </w:r>
      <w:r>
        <w:rPr>
          <w:rFonts w:hint="eastAsia" w:ascii="宋体" w:hAnsi="宋体" w:cs="宋体"/>
          <w:b w:val="0"/>
          <w:bCs w:val="0"/>
          <w:color w:val="auto"/>
          <w:sz w:val="21"/>
          <w:szCs w:val="21"/>
          <w:highlight w:val="none"/>
          <w:lang w:val="en-US" w:eastAsia="zh-CN"/>
        </w:rPr>
        <w:t>87</w:t>
      </w:r>
      <w:r>
        <w:rPr>
          <w:rFonts w:hint="eastAsia" w:ascii="宋体" w:hAnsi="宋体" w:eastAsia="宋体" w:cs="宋体"/>
          <w:b w:val="0"/>
          <w:bCs w:val="0"/>
          <w:color w:val="auto"/>
          <w:sz w:val="21"/>
          <w:szCs w:val="21"/>
          <w:highlight w:val="none"/>
        </w:rPr>
        <w:t>号令</w:t>
      </w:r>
      <w:r>
        <w:rPr>
          <w:rFonts w:hint="eastAsia" w:ascii="宋体" w:hAnsi="宋体" w:eastAsia="宋体" w:cs="宋体"/>
          <w:b w:val="0"/>
          <w:bCs w:val="0"/>
          <w:sz w:val="21"/>
          <w:szCs w:val="21"/>
          <w:highlight w:val="none"/>
        </w:rPr>
        <w:t>--《政府采购货物和服务招标投标管理办法》的规定，结合采购项目特点制定本评标办法。</w:t>
      </w:r>
    </w:p>
    <w:p w14:paraId="448834FF">
      <w:pPr>
        <w:spacing w:before="240" w:after="120"/>
        <w:jc w:val="left"/>
        <w:outlineLvl w:val="2"/>
        <w:rPr>
          <w:rFonts w:hint="eastAsia" w:ascii="宋体" w:hAnsi="宋体" w:cs="宋体"/>
          <w:b/>
          <w:bCs/>
          <w:sz w:val="28"/>
          <w:highlight w:val="none"/>
        </w:rPr>
      </w:pPr>
      <w:r>
        <w:rPr>
          <w:rFonts w:hint="eastAsia" w:ascii="宋体" w:hAnsi="宋体" w:cs="宋体"/>
          <w:b/>
          <w:bCs/>
          <w:sz w:val="28"/>
          <w:highlight w:val="none"/>
          <w:lang w:val="en-US" w:eastAsia="zh-CN"/>
        </w:rPr>
        <w:t>1、</w:t>
      </w:r>
      <w:r>
        <w:rPr>
          <w:rFonts w:hint="eastAsia" w:ascii="宋体" w:hAnsi="宋体" w:cs="宋体"/>
          <w:b/>
          <w:bCs/>
          <w:sz w:val="28"/>
          <w:highlight w:val="none"/>
        </w:rPr>
        <w:t>评标程序</w:t>
      </w:r>
    </w:p>
    <w:p w14:paraId="690EF37B">
      <w:pPr>
        <w:spacing w:before="240" w:after="120"/>
        <w:jc w:val="left"/>
        <w:outlineLvl w:val="2"/>
        <w:rPr>
          <w:rFonts w:hint="eastAsia" w:ascii="宋体" w:hAnsi="宋体" w:cs="宋体"/>
          <w:b/>
          <w:bCs/>
          <w:kern w:val="0"/>
          <w:sz w:val="24"/>
          <w:highlight w:val="none"/>
        </w:rPr>
      </w:pPr>
      <w:r>
        <w:rPr>
          <w:rFonts w:hint="eastAsia" w:ascii="宋体" w:hAnsi="宋体" w:cs="宋体"/>
          <w:b/>
          <w:bCs/>
          <w:kern w:val="0"/>
          <w:sz w:val="24"/>
          <w:highlight w:val="none"/>
          <w:lang w:val="en-US" w:eastAsia="zh-CN"/>
        </w:rPr>
        <w:t xml:space="preserve">1.1  </w:t>
      </w:r>
      <w:r>
        <w:rPr>
          <w:rFonts w:hint="eastAsia" w:ascii="宋体" w:hAnsi="宋体" w:cs="宋体"/>
          <w:b/>
          <w:bCs/>
          <w:kern w:val="0"/>
          <w:sz w:val="24"/>
          <w:highlight w:val="none"/>
        </w:rPr>
        <w:t>本采购项目评标按照下列工作程序进行：</w:t>
      </w:r>
    </w:p>
    <w:p w14:paraId="39354AA8">
      <w:pPr>
        <w:keepNext w:val="0"/>
        <w:keepLines w:val="0"/>
        <w:pageBreakBefore w:val="0"/>
        <w:widowControl w:val="0"/>
        <w:kinsoku/>
        <w:wordWrap/>
        <w:overflowPunct/>
        <w:topLinePunct w:val="0"/>
        <w:autoSpaceDE/>
        <w:autoSpaceDN/>
        <w:bidi w:val="0"/>
        <w:adjustRightInd/>
        <w:snapToGrid/>
        <w:spacing w:line="500" w:lineRule="exact"/>
        <w:ind w:right="0" w:rightChars="0"/>
        <w:jc w:val="both"/>
        <w:textAlignment w:val="auto"/>
        <w:outlineLvl w:val="9"/>
        <w:rPr>
          <w:rFonts w:hint="eastAsia" w:ascii="宋体" w:hAnsi="宋体" w:eastAsia="宋体" w:cs="宋体"/>
          <w:b w:val="0"/>
          <w:bCs w:val="0"/>
          <w:sz w:val="21"/>
          <w:szCs w:val="21"/>
          <w:highlight w:val="none"/>
        </w:rPr>
      </w:pPr>
      <w:r>
        <w:rPr>
          <w:rFonts w:hint="eastAsia" w:ascii="Times New Roman" w:hAnsi="Times New Roman" w:eastAsia="宋体" w:cs="Times New Roman"/>
          <w:b w:val="0"/>
          <w:bCs w:val="0"/>
          <w:sz w:val="21"/>
          <w:szCs w:val="21"/>
          <w:highlight w:val="none"/>
          <w:lang w:val="en-US" w:eastAsia="zh-CN"/>
        </w:rPr>
        <w:t xml:space="preserve">   </w:t>
      </w:r>
      <w:r>
        <w:rPr>
          <w:rFonts w:hint="eastAsia" w:ascii="宋体" w:hAnsi="宋体" w:eastAsia="宋体" w:cs="宋体"/>
          <w:b w:val="0"/>
          <w:bCs w:val="0"/>
          <w:sz w:val="21"/>
          <w:szCs w:val="21"/>
          <w:highlight w:val="none"/>
          <w:lang w:val="en-US" w:eastAsia="zh-CN"/>
        </w:rPr>
        <w:t xml:space="preserve"> 1.</w:t>
      </w:r>
      <w:r>
        <w:rPr>
          <w:rFonts w:hint="eastAsia" w:ascii="宋体" w:hAnsi="宋体" w:eastAsia="宋体" w:cs="宋体"/>
          <w:b w:val="0"/>
          <w:bCs w:val="0"/>
          <w:sz w:val="21"/>
          <w:szCs w:val="21"/>
          <w:highlight w:val="none"/>
        </w:rPr>
        <w:t>1.1 投标文件</w:t>
      </w:r>
      <w:r>
        <w:rPr>
          <w:rFonts w:hint="eastAsia" w:ascii="宋体" w:hAnsi="宋体" w:eastAsia="宋体" w:cs="宋体"/>
          <w:b w:val="0"/>
          <w:bCs w:val="0"/>
          <w:sz w:val="21"/>
          <w:szCs w:val="21"/>
          <w:highlight w:val="none"/>
          <w:lang w:eastAsia="zh-CN"/>
        </w:rPr>
        <w:t>初审</w:t>
      </w:r>
      <w:r>
        <w:rPr>
          <w:rFonts w:hint="eastAsia" w:ascii="宋体" w:hAnsi="宋体" w:eastAsia="宋体" w:cs="宋体"/>
          <w:b w:val="0"/>
          <w:bCs w:val="0"/>
          <w:sz w:val="21"/>
          <w:szCs w:val="21"/>
          <w:highlight w:val="none"/>
        </w:rPr>
        <w:t>；</w:t>
      </w:r>
    </w:p>
    <w:p w14:paraId="23A68444">
      <w:pPr>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420" w:firstLineChars="200"/>
        <w:jc w:val="both"/>
        <w:textAlignment w:val="auto"/>
        <w:outlineLvl w:val="9"/>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val="en-US" w:eastAsia="zh-CN"/>
        </w:rPr>
        <w:t>1.</w:t>
      </w:r>
      <w:r>
        <w:rPr>
          <w:rFonts w:hint="eastAsia" w:ascii="宋体" w:hAnsi="宋体" w:eastAsia="宋体" w:cs="宋体"/>
          <w:b w:val="0"/>
          <w:bCs w:val="0"/>
          <w:sz w:val="21"/>
          <w:szCs w:val="21"/>
          <w:highlight w:val="none"/>
        </w:rPr>
        <w:t>1.2 澄清有关问题；</w:t>
      </w:r>
    </w:p>
    <w:p w14:paraId="212BCAAD">
      <w:pPr>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420" w:firstLineChars="200"/>
        <w:jc w:val="both"/>
        <w:textAlignment w:val="auto"/>
        <w:outlineLvl w:val="9"/>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val="en-US" w:eastAsia="zh-CN"/>
        </w:rPr>
        <w:t>1.</w:t>
      </w:r>
      <w:r>
        <w:rPr>
          <w:rFonts w:hint="eastAsia" w:ascii="宋体" w:hAnsi="宋体" w:eastAsia="宋体" w:cs="宋体"/>
          <w:b w:val="0"/>
          <w:bCs w:val="0"/>
          <w:sz w:val="21"/>
          <w:szCs w:val="21"/>
          <w:highlight w:val="none"/>
        </w:rPr>
        <w:t>1.3 比较与评价；</w:t>
      </w:r>
    </w:p>
    <w:p w14:paraId="010EF100">
      <w:pPr>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420" w:firstLineChars="200"/>
        <w:jc w:val="both"/>
        <w:textAlignment w:val="auto"/>
        <w:outlineLvl w:val="9"/>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val="en-US" w:eastAsia="zh-CN"/>
        </w:rPr>
        <w:t>1.</w:t>
      </w:r>
      <w:r>
        <w:rPr>
          <w:rFonts w:hint="eastAsia" w:ascii="宋体" w:hAnsi="宋体" w:eastAsia="宋体" w:cs="宋体"/>
          <w:b w:val="0"/>
          <w:bCs w:val="0"/>
          <w:sz w:val="21"/>
          <w:szCs w:val="21"/>
          <w:highlight w:val="none"/>
        </w:rPr>
        <w:t>1.4 推荐中标</w:t>
      </w:r>
      <w:r>
        <w:rPr>
          <w:rFonts w:hint="eastAsia" w:ascii="宋体" w:hAnsi="宋体" w:eastAsia="宋体" w:cs="宋体"/>
          <w:b w:val="0"/>
          <w:bCs w:val="0"/>
          <w:sz w:val="21"/>
          <w:szCs w:val="21"/>
          <w:highlight w:val="none"/>
          <w:lang w:eastAsia="zh-CN"/>
        </w:rPr>
        <w:t>人</w:t>
      </w:r>
      <w:r>
        <w:rPr>
          <w:rFonts w:hint="eastAsia" w:ascii="宋体" w:hAnsi="宋体" w:eastAsia="宋体" w:cs="宋体"/>
          <w:b w:val="0"/>
          <w:bCs w:val="0"/>
          <w:sz w:val="21"/>
          <w:szCs w:val="21"/>
          <w:highlight w:val="none"/>
        </w:rPr>
        <w:t>名单；</w:t>
      </w:r>
    </w:p>
    <w:p w14:paraId="52A92A6F">
      <w:pPr>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420" w:firstLineChars="200"/>
        <w:jc w:val="both"/>
        <w:textAlignment w:val="auto"/>
        <w:outlineLvl w:val="9"/>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val="en-US" w:eastAsia="zh-CN"/>
        </w:rPr>
        <w:t>1.</w:t>
      </w:r>
      <w:r>
        <w:rPr>
          <w:rFonts w:hint="eastAsia" w:ascii="宋体" w:hAnsi="宋体" w:eastAsia="宋体" w:cs="宋体"/>
          <w:b w:val="0"/>
          <w:bCs w:val="0"/>
          <w:sz w:val="21"/>
          <w:szCs w:val="21"/>
          <w:highlight w:val="none"/>
        </w:rPr>
        <w:t>1.5 编写评标报告。</w:t>
      </w:r>
    </w:p>
    <w:p w14:paraId="2E29E8FC">
      <w:pPr>
        <w:spacing w:before="240" w:after="120"/>
        <w:jc w:val="left"/>
        <w:outlineLvl w:val="2"/>
        <w:rPr>
          <w:rFonts w:hint="eastAsia" w:ascii="宋体" w:hAnsi="宋体" w:cs="宋体"/>
          <w:b/>
          <w:bCs/>
          <w:kern w:val="0"/>
          <w:sz w:val="24"/>
          <w:highlight w:val="none"/>
          <w:lang w:eastAsia="zh-CN"/>
        </w:rPr>
      </w:pPr>
      <w:r>
        <w:rPr>
          <w:rFonts w:hint="eastAsia" w:ascii="宋体" w:hAnsi="宋体" w:cs="宋体"/>
          <w:b/>
          <w:bCs/>
          <w:kern w:val="0"/>
          <w:sz w:val="24"/>
          <w:highlight w:val="none"/>
          <w:lang w:val="en-US" w:eastAsia="zh-CN"/>
        </w:rPr>
        <w:t>1.</w:t>
      </w:r>
      <w:r>
        <w:rPr>
          <w:rFonts w:hint="eastAsia" w:ascii="宋体" w:hAnsi="宋体" w:cs="宋体"/>
          <w:b/>
          <w:bCs/>
          <w:kern w:val="0"/>
          <w:sz w:val="24"/>
          <w:highlight w:val="none"/>
        </w:rPr>
        <w:t>2</w:t>
      </w:r>
      <w:r>
        <w:rPr>
          <w:rFonts w:hint="eastAsia" w:ascii="宋体" w:hAnsi="宋体" w:cs="宋体"/>
          <w:b/>
          <w:bCs/>
          <w:kern w:val="0"/>
          <w:sz w:val="24"/>
          <w:highlight w:val="none"/>
          <w:lang w:val="en-US" w:eastAsia="zh-CN"/>
        </w:rPr>
        <w:t xml:space="preserve">  </w:t>
      </w:r>
      <w:r>
        <w:rPr>
          <w:rFonts w:hint="eastAsia" w:ascii="宋体" w:hAnsi="宋体" w:cs="宋体"/>
          <w:b/>
          <w:bCs/>
          <w:kern w:val="0"/>
          <w:sz w:val="24"/>
          <w:highlight w:val="none"/>
        </w:rPr>
        <w:t>投标文件</w:t>
      </w:r>
      <w:r>
        <w:rPr>
          <w:rFonts w:hint="eastAsia" w:ascii="宋体" w:hAnsi="宋体" w:cs="宋体"/>
          <w:b/>
          <w:bCs/>
          <w:kern w:val="0"/>
          <w:sz w:val="24"/>
          <w:highlight w:val="none"/>
          <w:lang w:eastAsia="zh-CN"/>
        </w:rPr>
        <w:t>的初审</w:t>
      </w:r>
    </w:p>
    <w:p w14:paraId="7943ABE2">
      <w:pPr>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420" w:firstLineChars="200"/>
        <w:jc w:val="both"/>
        <w:textAlignment w:val="auto"/>
        <w:outlineLvl w:val="9"/>
        <w:rPr>
          <w:rFonts w:hint="eastAsia" w:ascii="宋体" w:hAnsi="宋体" w:eastAsia="宋体" w:cs="宋体"/>
          <w:b w:val="0"/>
          <w:bCs w:val="0"/>
          <w:sz w:val="21"/>
          <w:szCs w:val="21"/>
          <w:highlight w:val="none"/>
          <w:lang w:eastAsia="zh-CN"/>
        </w:rPr>
      </w:pPr>
      <w:r>
        <w:rPr>
          <w:rFonts w:hint="eastAsia" w:ascii="宋体" w:hAnsi="宋体" w:eastAsia="宋体" w:cs="宋体"/>
          <w:b w:val="0"/>
          <w:bCs w:val="0"/>
          <w:sz w:val="21"/>
          <w:szCs w:val="21"/>
          <w:highlight w:val="none"/>
          <w:lang w:eastAsia="zh-CN"/>
        </w:rPr>
        <w:t>初审分为资格性检查和符合性检查。分别按照以下内容对投标文件进行检查，一项不合格即按照无效投标处理。</w:t>
      </w:r>
    </w:p>
    <w:p w14:paraId="6718EAEF">
      <w:pPr>
        <w:keepNext w:val="0"/>
        <w:keepLines w:val="0"/>
        <w:pageBreakBefore w:val="0"/>
        <w:widowControl w:val="0"/>
        <w:kinsoku/>
        <w:wordWrap/>
        <w:overflowPunct/>
        <w:topLinePunct w:val="0"/>
        <w:autoSpaceDE/>
        <w:autoSpaceDN/>
        <w:bidi w:val="0"/>
        <w:adjustRightInd/>
        <w:snapToGrid/>
        <w:spacing w:line="500" w:lineRule="exact"/>
        <w:ind w:right="0" w:rightChars="0"/>
        <w:jc w:val="both"/>
        <w:textAlignment w:val="auto"/>
        <w:outlineLvl w:val="9"/>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val="en-US" w:eastAsia="zh-CN"/>
        </w:rPr>
        <w:t xml:space="preserve">    1.</w:t>
      </w:r>
      <w:r>
        <w:rPr>
          <w:rFonts w:hint="eastAsia" w:ascii="宋体" w:hAnsi="宋体" w:eastAsia="宋体" w:cs="宋体"/>
          <w:b w:val="0"/>
          <w:bCs w:val="0"/>
          <w:sz w:val="21"/>
          <w:szCs w:val="21"/>
          <w:highlight w:val="none"/>
        </w:rPr>
        <w:t>2.1 投标文件的资格性审查：</w:t>
      </w:r>
      <w:r>
        <w:rPr>
          <w:rFonts w:hint="eastAsia" w:ascii="宋体" w:hAnsi="宋体" w:eastAsia="宋体" w:cs="宋体"/>
          <w:color w:val="000000"/>
          <w:szCs w:val="21"/>
          <w:highlight w:val="none"/>
        </w:rPr>
        <w:t>按照本章附件一资格审查内容；</w:t>
      </w:r>
    </w:p>
    <w:p w14:paraId="20F22367">
      <w:pPr>
        <w:keepNext w:val="0"/>
        <w:keepLines w:val="0"/>
        <w:pageBreakBefore w:val="0"/>
        <w:widowControl w:val="0"/>
        <w:kinsoku/>
        <w:wordWrap/>
        <w:overflowPunct/>
        <w:topLinePunct w:val="0"/>
        <w:autoSpaceDE/>
        <w:autoSpaceDN/>
        <w:bidi w:val="0"/>
        <w:adjustRightInd/>
        <w:snapToGrid/>
        <w:spacing w:line="500" w:lineRule="exact"/>
        <w:ind w:right="0" w:rightChars="0"/>
        <w:jc w:val="both"/>
        <w:textAlignment w:val="auto"/>
        <w:outlineLvl w:val="9"/>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val="en-US" w:eastAsia="zh-CN"/>
        </w:rPr>
        <w:t xml:space="preserve">    1.</w:t>
      </w:r>
      <w:r>
        <w:rPr>
          <w:rFonts w:hint="eastAsia" w:ascii="宋体" w:hAnsi="宋体" w:eastAsia="宋体" w:cs="宋体"/>
          <w:b w:val="0"/>
          <w:bCs w:val="0"/>
          <w:sz w:val="21"/>
          <w:szCs w:val="21"/>
          <w:highlight w:val="none"/>
        </w:rPr>
        <w:t>2.2 投标文件的符合性审查：</w:t>
      </w:r>
      <w:r>
        <w:rPr>
          <w:rFonts w:hint="eastAsia" w:ascii="宋体" w:hAnsi="宋体" w:eastAsia="宋体" w:cs="宋体"/>
          <w:szCs w:val="21"/>
          <w:highlight w:val="none"/>
        </w:rPr>
        <w:t>按照本章附件二符合审查内容；</w:t>
      </w:r>
      <w:r>
        <w:rPr>
          <w:rFonts w:hint="eastAsia" w:ascii="宋体" w:hAnsi="宋体" w:eastAsia="宋体" w:cs="宋体"/>
          <w:b w:val="0"/>
          <w:bCs w:val="0"/>
          <w:sz w:val="21"/>
          <w:szCs w:val="21"/>
          <w:highlight w:val="none"/>
        </w:rPr>
        <w:t xml:space="preserve"> </w:t>
      </w:r>
    </w:p>
    <w:p w14:paraId="0D9C5CBE">
      <w:pPr>
        <w:keepNext w:val="0"/>
        <w:keepLines w:val="0"/>
        <w:pageBreakBefore w:val="0"/>
        <w:widowControl w:val="0"/>
        <w:kinsoku/>
        <w:wordWrap/>
        <w:overflowPunct/>
        <w:topLinePunct w:val="0"/>
        <w:autoSpaceDE/>
        <w:autoSpaceDN/>
        <w:bidi w:val="0"/>
        <w:adjustRightInd/>
        <w:snapToGrid/>
        <w:spacing w:line="500" w:lineRule="exact"/>
        <w:ind w:right="0" w:rightChars="0" w:firstLine="420"/>
        <w:jc w:val="both"/>
        <w:textAlignment w:val="auto"/>
        <w:outlineLvl w:val="9"/>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val="en-US" w:eastAsia="zh-CN"/>
        </w:rPr>
        <w:t>1.2.3</w:t>
      </w:r>
      <w:r>
        <w:rPr>
          <w:rFonts w:hint="eastAsia" w:ascii="宋体" w:hAnsi="宋体" w:eastAsia="宋体" w:cs="宋体"/>
          <w:b w:val="0"/>
          <w:bCs w:val="0"/>
          <w:sz w:val="21"/>
          <w:szCs w:val="21"/>
          <w:highlight w:val="none"/>
        </w:rPr>
        <w:t xml:space="preserve"> 经过对投标人及投标文件的资格性和符合性审查，出现下列情况者（但不限于），按无效投标处理。</w:t>
      </w:r>
    </w:p>
    <w:p w14:paraId="1C91B5F7">
      <w:pPr>
        <w:keepNext w:val="0"/>
        <w:keepLines w:val="0"/>
        <w:pageBreakBefore w:val="0"/>
        <w:widowControl w:val="0"/>
        <w:kinsoku/>
        <w:wordWrap/>
        <w:overflowPunct/>
        <w:topLinePunct w:val="0"/>
        <w:autoSpaceDE/>
        <w:autoSpaceDN/>
        <w:bidi w:val="0"/>
        <w:adjustRightInd/>
        <w:snapToGrid/>
        <w:spacing w:line="500" w:lineRule="exact"/>
        <w:ind w:right="0" w:rightChars="0" w:firstLine="420"/>
        <w:jc w:val="both"/>
        <w:textAlignment w:val="auto"/>
        <w:outlineLvl w:val="9"/>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eastAsia="zh-CN"/>
        </w:rPr>
        <w:t>（</w:t>
      </w:r>
      <w:r>
        <w:rPr>
          <w:rFonts w:hint="eastAsia" w:ascii="宋体" w:hAnsi="宋体" w:eastAsia="宋体" w:cs="宋体"/>
          <w:b w:val="0"/>
          <w:bCs w:val="0"/>
          <w:sz w:val="21"/>
          <w:szCs w:val="21"/>
          <w:highlight w:val="none"/>
          <w:lang w:val="en-US" w:eastAsia="zh-CN"/>
        </w:rPr>
        <w:t>1</w:t>
      </w:r>
      <w:r>
        <w:rPr>
          <w:rFonts w:hint="eastAsia" w:ascii="宋体" w:hAnsi="宋体" w:eastAsia="宋体" w:cs="宋体"/>
          <w:b w:val="0"/>
          <w:bCs w:val="0"/>
          <w:sz w:val="21"/>
          <w:szCs w:val="21"/>
          <w:highlight w:val="none"/>
          <w:lang w:eastAsia="zh-CN"/>
        </w:rPr>
        <w:t>）</w:t>
      </w:r>
      <w:r>
        <w:rPr>
          <w:rFonts w:hint="eastAsia" w:ascii="宋体" w:hAnsi="宋体" w:eastAsia="宋体" w:cs="宋体"/>
          <w:b w:val="0"/>
          <w:bCs w:val="0"/>
          <w:sz w:val="21"/>
          <w:szCs w:val="21"/>
          <w:highlight w:val="none"/>
        </w:rPr>
        <w:t>投标人未经过正常渠道</w:t>
      </w:r>
      <w:r>
        <w:rPr>
          <w:rFonts w:hint="eastAsia" w:ascii="宋体" w:hAnsi="宋体" w:cs="宋体"/>
          <w:b w:val="0"/>
          <w:bCs w:val="0"/>
          <w:sz w:val="21"/>
          <w:szCs w:val="21"/>
          <w:highlight w:val="none"/>
          <w:lang w:val="en-US" w:eastAsia="zh-CN"/>
        </w:rPr>
        <w:t>下载</w:t>
      </w:r>
      <w:r>
        <w:rPr>
          <w:rFonts w:hint="eastAsia" w:ascii="宋体" w:hAnsi="宋体" w:eastAsia="宋体" w:cs="宋体"/>
          <w:b w:val="0"/>
          <w:bCs w:val="0"/>
          <w:sz w:val="21"/>
          <w:szCs w:val="21"/>
          <w:highlight w:val="none"/>
          <w:lang w:eastAsia="zh-CN"/>
        </w:rPr>
        <w:t>招标文件</w:t>
      </w:r>
      <w:r>
        <w:rPr>
          <w:rFonts w:hint="eastAsia" w:ascii="宋体" w:hAnsi="宋体" w:eastAsia="宋体" w:cs="宋体"/>
          <w:b w:val="0"/>
          <w:bCs w:val="0"/>
          <w:sz w:val="21"/>
          <w:szCs w:val="21"/>
          <w:highlight w:val="none"/>
        </w:rPr>
        <w:t>或投标人的名称与登记领取招标文件单位的名称不符；</w:t>
      </w:r>
    </w:p>
    <w:p w14:paraId="2025BDF1">
      <w:pPr>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420" w:firstLineChars="200"/>
        <w:jc w:val="both"/>
        <w:textAlignment w:val="auto"/>
        <w:outlineLvl w:val="9"/>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eastAsia="zh-CN"/>
        </w:rPr>
        <w:t>（</w:t>
      </w:r>
      <w:r>
        <w:rPr>
          <w:rFonts w:hint="eastAsia" w:ascii="宋体" w:hAnsi="宋体" w:eastAsia="宋体" w:cs="宋体"/>
          <w:b w:val="0"/>
          <w:bCs w:val="0"/>
          <w:sz w:val="21"/>
          <w:szCs w:val="21"/>
          <w:highlight w:val="none"/>
          <w:lang w:val="en-US" w:eastAsia="zh-CN"/>
        </w:rPr>
        <w:t>2</w:t>
      </w:r>
      <w:r>
        <w:rPr>
          <w:rFonts w:hint="eastAsia" w:ascii="宋体" w:hAnsi="宋体" w:eastAsia="宋体" w:cs="宋体"/>
          <w:b w:val="0"/>
          <w:bCs w:val="0"/>
          <w:sz w:val="21"/>
          <w:szCs w:val="21"/>
          <w:highlight w:val="none"/>
          <w:lang w:eastAsia="zh-CN"/>
        </w:rPr>
        <w:t>）</w:t>
      </w:r>
      <w:r>
        <w:rPr>
          <w:rFonts w:hint="eastAsia" w:ascii="宋体" w:hAnsi="宋体" w:eastAsia="宋体" w:cs="宋体"/>
          <w:b w:val="0"/>
          <w:bCs w:val="0"/>
          <w:sz w:val="21"/>
          <w:szCs w:val="21"/>
          <w:highlight w:val="none"/>
        </w:rPr>
        <w:t>投标文件中未提交法定代表人授权书（法定代表人直接投标未按要求提交其有效身份证）或授权书的合法性或有效性不符合招标文件规定。授权代表本单位证明的有效性或符合性不符合要求的</w:t>
      </w:r>
      <w:r>
        <w:rPr>
          <w:rFonts w:hint="eastAsia" w:ascii="宋体" w:hAnsi="宋体" w:eastAsia="宋体" w:cs="宋体"/>
          <w:b w:val="0"/>
          <w:bCs w:val="0"/>
          <w:sz w:val="21"/>
          <w:szCs w:val="21"/>
          <w:highlight w:val="none"/>
          <w:lang w:eastAsia="zh-CN"/>
        </w:rPr>
        <w:t>；</w:t>
      </w:r>
    </w:p>
    <w:p w14:paraId="654BC201">
      <w:pPr>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420" w:firstLineChars="200"/>
        <w:jc w:val="both"/>
        <w:textAlignment w:val="auto"/>
        <w:outlineLvl w:val="9"/>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eastAsia="zh-CN"/>
        </w:rPr>
        <w:t>（</w:t>
      </w:r>
      <w:r>
        <w:rPr>
          <w:rFonts w:hint="eastAsia" w:ascii="宋体" w:hAnsi="宋体" w:eastAsia="宋体" w:cs="宋体"/>
          <w:b w:val="0"/>
          <w:bCs w:val="0"/>
          <w:sz w:val="21"/>
          <w:szCs w:val="21"/>
          <w:highlight w:val="none"/>
          <w:lang w:val="en-US" w:eastAsia="zh-CN"/>
        </w:rPr>
        <w:t>3</w:t>
      </w:r>
      <w:r>
        <w:rPr>
          <w:rFonts w:hint="eastAsia" w:ascii="宋体" w:hAnsi="宋体" w:eastAsia="宋体" w:cs="宋体"/>
          <w:b w:val="0"/>
          <w:bCs w:val="0"/>
          <w:sz w:val="21"/>
          <w:szCs w:val="21"/>
          <w:highlight w:val="none"/>
          <w:lang w:eastAsia="zh-CN"/>
        </w:rPr>
        <w:t>）</w:t>
      </w:r>
      <w:r>
        <w:rPr>
          <w:rFonts w:hint="eastAsia" w:ascii="宋体" w:hAnsi="宋体" w:eastAsia="宋体" w:cs="宋体"/>
          <w:b w:val="0"/>
          <w:bCs w:val="0"/>
          <w:sz w:val="21"/>
          <w:szCs w:val="21"/>
          <w:highlight w:val="none"/>
        </w:rPr>
        <w:t>投标人资质的有效性或符合性不符合要求的；</w:t>
      </w:r>
    </w:p>
    <w:p w14:paraId="010BF99F">
      <w:pPr>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420" w:firstLineChars="200"/>
        <w:jc w:val="both"/>
        <w:textAlignment w:val="auto"/>
        <w:outlineLvl w:val="9"/>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eastAsia="zh-CN"/>
        </w:rPr>
        <w:t>（</w:t>
      </w:r>
      <w:r>
        <w:rPr>
          <w:rFonts w:hint="eastAsia" w:ascii="宋体" w:hAnsi="宋体" w:eastAsia="宋体" w:cs="宋体"/>
          <w:b w:val="0"/>
          <w:bCs w:val="0"/>
          <w:sz w:val="21"/>
          <w:szCs w:val="21"/>
          <w:highlight w:val="none"/>
          <w:lang w:val="en-US" w:eastAsia="zh-CN"/>
        </w:rPr>
        <w:t>4</w:t>
      </w:r>
      <w:r>
        <w:rPr>
          <w:rFonts w:hint="eastAsia" w:ascii="宋体" w:hAnsi="宋体" w:eastAsia="宋体" w:cs="宋体"/>
          <w:b w:val="0"/>
          <w:bCs w:val="0"/>
          <w:sz w:val="21"/>
          <w:szCs w:val="21"/>
          <w:highlight w:val="none"/>
          <w:lang w:eastAsia="zh-CN"/>
        </w:rPr>
        <w:t>）</w:t>
      </w:r>
      <w:r>
        <w:rPr>
          <w:rFonts w:hint="eastAsia" w:ascii="宋体" w:hAnsi="宋体" w:eastAsia="宋体" w:cs="宋体"/>
          <w:b w:val="0"/>
          <w:bCs w:val="0"/>
          <w:sz w:val="21"/>
          <w:szCs w:val="21"/>
          <w:highlight w:val="none"/>
        </w:rPr>
        <w:t>投标文件未按招标文件规定有效签字和盖章，或由投标人委托代理人签字的</w:t>
      </w:r>
      <w:r>
        <w:rPr>
          <w:rFonts w:hint="eastAsia" w:ascii="宋体" w:hAnsi="宋体" w:eastAsia="宋体" w:cs="宋体"/>
          <w:b w:val="0"/>
          <w:bCs w:val="0"/>
          <w:sz w:val="21"/>
          <w:szCs w:val="21"/>
          <w:highlight w:val="none"/>
          <w:lang w:eastAsia="zh-CN"/>
        </w:rPr>
        <w:t>，</w:t>
      </w:r>
      <w:r>
        <w:rPr>
          <w:rFonts w:hint="eastAsia" w:ascii="宋体" w:hAnsi="宋体" w:eastAsia="宋体" w:cs="宋体"/>
          <w:b w:val="0"/>
          <w:bCs w:val="0"/>
          <w:sz w:val="21"/>
          <w:szCs w:val="21"/>
          <w:highlight w:val="none"/>
        </w:rPr>
        <w:t>但未随投标文件一起提交有效的</w:t>
      </w:r>
      <w:r>
        <w:rPr>
          <w:rFonts w:hint="eastAsia" w:ascii="宋体" w:hAnsi="宋体" w:eastAsia="宋体" w:cs="宋体"/>
          <w:b w:val="0"/>
          <w:bCs w:val="0"/>
          <w:sz w:val="21"/>
          <w:szCs w:val="21"/>
          <w:highlight w:val="none"/>
          <w:lang w:eastAsia="zh-CN"/>
        </w:rPr>
        <w:t>“</w:t>
      </w:r>
      <w:r>
        <w:rPr>
          <w:rFonts w:hint="eastAsia" w:ascii="宋体" w:hAnsi="宋体" w:eastAsia="宋体" w:cs="宋体"/>
          <w:b w:val="0"/>
          <w:bCs w:val="0"/>
          <w:sz w:val="21"/>
          <w:szCs w:val="21"/>
          <w:highlight w:val="none"/>
        </w:rPr>
        <w:t>授权委托书</w:t>
      </w:r>
      <w:r>
        <w:rPr>
          <w:rFonts w:hint="eastAsia" w:ascii="宋体" w:hAnsi="宋体" w:eastAsia="宋体" w:cs="宋体"/>
          <w:b w:val="0"/>
          <w:bCs w:val="0"/>
          <w:sz w:val="21"/>
          <w:szCs w:val="21"/>
          <w:highlight w:val="none"/>
          <w:lang w:eastAsia="zh-CN"/>
        </w:rPr>
        <w:t>”</w:t>
      </w:r>
      <w:r>
        <w:rPr>
          <w:rFonts w:hint="eastAsia" w:ascii="宋体" w:hAnsi="宋体" w:eastAsia="宋体" w:cs="宋体"/>
          <w:b w:val="0"/>
          <w:bCs w:val="0"/>
          <w:sz w:val="21"/>
          <w:szCs w:val="21"/>
          <w:highlight w:val="none"/>
        </w:rPr>
        <w:t>的；</w:t>
      </w:r>
    </w:p>
    <w:p w14:paraId="57A3A5B9">
      <w:pPr>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420" w:firstLineChars="200"/>
        <w:jc w:val="both"/>
        <w:textAlignment w:val="auto"/>
        <w:outlineLvl w:val="9"/>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eastAsia="zh-CN"/>
        </w:rPr>
        <w:t>（</w:t>
      </w:r>
      <w:r>
        <w:rPr>
          <w:rFonts w:hint="eastAsia" w:ascii="宋体" w:hAnsi="宋体" w:eastAsia="宋体" w:cs="宋体"/>
          <w:b w:val="0"/>
          <w:bCs w:val="0"/>
          <w:sz w:val="21"/>
          <w:szCs w:val="21"/>
          <w:highlight w:val="none"/>
          <w:lang w:val="en-US" w:eastAsia="zh-CN"/>
        </w:rPr>
        <w:t>5</w:t>
      </w:r>
      <w:r>
        <w:rPr>
          <w:rFonts w:hint="eastAsia" w:ascii="宋体" w:hAnsi="宋体" w:eastAsia="宋体" w:cs="宋体"/>
          <w:b w:val="0"/>
          <w:bCs w:val="0"/>
          <w:sz w:val="21"/>
          <w:szCs w:val="21"/>
          <w:highlight w:val="none"/>
          <w:lang w:eastAsia="zh-CN"/>
        </w:rPr>
        <w:t>）</w:t>
      </w:r>
      <w:r>
        <w:rPr>
          <w:rFonts w:hint="eastAsia" w:ascii="宋体" w:hAnsi="宋体" w:eastAsia="宋体" w:cs="宋体"/>
          <w:b w:val="0"/>
          <w:bCs w:val="0"/>
          <w:sz w:val="21"/>
          <w:szCs w:val="21"/>
          <w:highlight w:val="none"/>
        </w:rPr>
        <w:t>无投标有效期或有效期达不到招标文件要求的；</w:t>
      </w:r>
    </w:p>
    <w:p w14:paraId="2503E7DC">
      <w:pPr>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420" w:firstLineChars="200"/>
        <w:jc w:val="both"/>
        <w:textAlignment w:val="auto"/>
        <w:outlineLvl w:val="9"/>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eastAsia="zh-CN"/>
        </w:rPr>
        <w:t>（</w:t>
      </w:r>
      <w:r>
        <w:rPr>
          <w:rFonts w:hint="eastAsia" w:ascii="宋体" w:hAnsi="宋体" w:eastAsia="宋体" w:cs="宋体"/>
          <w:b w:val="0"/>
          <w:bCs w:val="0"/>
          <w:sz w:val="21"/>
          <w:szCs w:val="21"/>
          <w:highlight w:val="none"/>
          <w:lang w:val="en-US" w:eastAsia="zh-CN"/>
        </w:rPr>
        <w:t>6</w:t>
      </w:r>
      <w:r>
        <w:rPr>
          <w:rFonts w:hint="eastAsia" w:ascii="宋体" w:hAnsi="宋体" w:eastAsia="宋体" w:cs="宋体"/>
          <w:b w:val="0"/>
          <w:bCs w:val="0"/>
          <w:sz w:val="21"/>
          <w:szCs w:val="21"/>
          <w:highlight w:val="none"/>
          <w:lang w:eastAsia="zh-CN"/>
        </w:rPr>
        <w:t>）</w:t>
      </w:r>
      <w:r>
        <w:rPr>
          <w:rFonts w:hint="eastAsia" w:ascii="宋体" w:hAnsi="宋体" w:eastAsia="宋体" w:cs="宋体"/>
          <w:b w:val="0"/>
          <w:bCs w:val="0"/>
          <w:sz w:val="21"/>
          <w:szCs w:val="21"/>
          <w:highlight w:val="none"/>
        </w:rPr>
        <w:t>投标文件的格式不符合招标文件要求、关键内容字迹模糊、无法辨认的；</w:t>
      </w:r>
    </w:p>
    <w:p w14:paraId="12FE6AE9">
      <w:pPr>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420" w:firstLineChars="200"/>
        <w:jc w:val="both"/>
        <w:textAlignment w:val="auto"/>
        <w:outlineLvl w:val="9"/>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eastAsia="zh-CN"/>
        </w:rPr>
        <w:t>（</w:t>
      </w:r>
      <w:r>
        <w:rPr>
          <w:rFonts w:hint="eastAsia" w:ascii="宋体" w:hAnsi="宋体" w:eastAsia="宋体" w:cs="宋体"/>
          <w:b w:val="0"/>
          <w:bCs w:val="0"/>
          <w:sz w:val="21"/>
          <w:szCs w:val="21"/>
          <w:highlight w:val="none"/>
          <w:lang w:val="en-US" w:eastAsia="zh-CN"/>
        </w:rPr>
        <w:t>7</w:t>
      </w:r>
      <w:r>
        <w:rPr>
          <w:rFonts w:hint="eastAsia" w:ascii="宋体" w:hAnsi="宋体" w:eastAsia="宋体" w:cs="宋体"/>
          <w:b w:val="0"/>
          <w:bCs w:val="0"/>
          <w:sz w:val="21"/>
          <w:szCs w:val="21"/>
          <w:highlight w:val="none"/>
          <w:lang w:eastAsia="zh-CN"/>
        </w:rPr>
        <w:t>）</w:t>
      </w:r>
      <w:r>
        <w:rPr>
          <w:rFonts w:hint="eastAsia" w:ascii="宋体" w:hAnsi="宋体" w:eastAsia="宋体" w:cs="宋体"/>
          <w:b w:val="0"/>
          <w:bCs w:val="0"/>
          <w:sz w:val="21"/>
          <w:szCs w:val="21"/>
          <w:highlight w:val="none"/>
        </w:rPr>
        <w:t>无投标方案或投标方案不符合要求；</w:t>
      </w:r>
    </w:p>
    <w:p w14:paraId="3EBDC835">
      <w:pPr>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420" w:firstLineChars="200"/>
        <w:jc w:val="both"/>
        <w:textAlignment w:val="auto"/>
        <w:outlineLvl w:val="9"/>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eastAsia="zh-CN"/>
        </w:rPr>
        <w:t>（</w:t>
      </w:r>
      <w:r>
        <w:rPr>
          <w:rFonts w:hint="eastAsia" w:ascii="宋体" w:hAnsi="宋体" w:eastAsia="宋体" w:cs="宋体"/>
          <w:b w:val="0"/>
          <w:bCs w:val="0"/>
          <w:sz w:val="21"/>
          <w:szCs w:val="21"/>
          <w:highlight w:val="none"/>
          <w:lang w:val="en-US" w:eastAsia="zh-CN"/>
        </w:rPr>
        <w:t>8</w:t>
      </w:r>
      <w:r>
        <w:rPr>
          <w:rFonts w:hint="eastAsia" w:ascii="宋体" w:hAnsi="宋体" w:eastAsia="宋体" w:cs="宋体"/>
          <w:b w:val="0"/>
          <w:bCs w:val="0"/>
          <w:sz w:val="21"/>
          <w:szCs w:val="21"/>
          <w:highlight w:val="none"/>
          <w:lang w:eastAsia="zh-CN"/>
        </w:rPr>
        <w:t>）</w:t>
      </w:r>
      <w:r>
        <w:rPr>
          <w:rFonts w:hint="eastAsia" w:ascii="宋体" w:hAnsi="宋体" w:cs="宋体"/>
          <w:szCs w:val="21"/>
          <w:highlight w:val="none"/>
          <w:lang w:val="en-US" w:eastAsia="zh-CN"/>
        </w:rPr>
        <w:t>投标</w:t>
      </w:r>
      <w:r>
        <w:rPr>
          <w:rFonts w:hint="eastAsia" w:ascii="宋体" w:hAnsi="宋体" w:eastAsia="宋体" w:cs="宋体"/>
          <w:szCs w:val="21"/>
          <w:highlight w:val="none"/>
        </w:rPr>
        <w:t>方案指标达不到招标文件要求；</w:t>
      </w:r>
    </w:p>
    <w:p w14:paraId="727C15B9">
      <w:pPr>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420" w:firstLineChars="200"/>
        <w:jc w:val="both"/>
        <w:textAlignment w:val="auto"/>
        <w:outlineLvl w:val="9"/>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eastAsia="zh-CN"/>
        </w:rPr>
        <w:t>（</w:t>
      </w:r>
      <w:r>
        <w:rPr>
          <w:rFonts w:hint="eastAsia" w:ascii="宋体" w:hAnsi="宋体" w:eastAsia="宋体" w:cs="宋体"/>
          <w:b w:val="0"/>
          <w:bCs w:val="0"/>
          <w:sz w:val="21"/>
          <w:szCs w:val="21"/>
          <w:highlight w:val="none"/>
          <w:lang w:val="en-US" w:eastAsia="zh-CN"/>
        </w:rPr>
        <w:t>9</w:t>
      </w:r>
      <w:r>
        <w:rPr>
          <w:rFonts w:hint="eastAsia" w:ascii="宋体" w:hAnsi="宋体" w:eastAsia="宋体" w:cs="宋体"/>
          <w:b w:val="0"/>
          <w:bCs w:val="0"/>
          <w:sz w:val="21"/>
          <w:szCs w:val="21"/>
          <w:highlight w:val="none"/>
          <w:lang w:eastAsia="zh-CN"/>
        </w:rPr>
        <w:t>）</w:t>
      </w:r>
      <w:r>
        <w:rPr>
          <w:rFonts w:hint="eastAsia" w:ascii="宋体" w:hAnsi="宋体" w:eastAsia="宋体" w:cs="宋体"/>
          <w:b w:val="0"/>
          <w:bCs w:val="0"/>
          <w:sz w:val="21"/>
          <w:szCs w:val="21"/>
          <w:highlight w:val="none"/>
        </w:rPr>
        <w:t>投标文件的合同主要条款响应与招标文件要求不一致，附加了采购人难以接受的条件；</w:t>
      </w:r>
    </w:p>
    <w:p w14:paraId="0F24E0E6">
      <w:pPr>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420" w:firstLineChars="200"/>
        <w:jc w:val="both"/>
        <w:textAlignment w:val="auto"/>
        <w:outlineLvl w:val="9"/>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eastAsia="zh-CN"/>
        </w:rPr>
        <w:t>（</w:t>
      </w:r>
      <w:r>
        <w:rPr>
          <w:rFonts w:hint="eastAsia" w:ascii="宋体" w:hAnsi="宋体" w:eastAsia="宋体" w:cs="宋体"/>
          <w:b w:val="0"/>
          <w:bCs w:val="0"/>
          <w:sz w:val="21"/>
          <w:szCs w:val="21"/>
          <w:highlight w:val="none"/>
          <w:lang w:val="en-US" w:eastAsia="zh-CN"/>
        </w:rPr>
        <w:t>10）</w:t>
      </w:r>
      <w:r>
        <w:rPr>
          <w:rFonts w:hint="eastAsia" w:ascii="宋体" w:hAnsi="宋体" w:eastAsia="宋体" w:cs="宋体"/>
          <w:b w:val="0"/>
          <w:bCs w:val="0"/>
          <w:sz w:val="21"/>
          <w:szCs w:val="21"/>
          <w:highlight w:val="none"/>
        </w:rPr>
        <w:t>规定不接受选择方案和选择报价（包括交叉折扣）的，投标人提供了选择方案和/或选择报价（包括交叉折扣）；</w:t>
      </w:r>
    </w:p>
    <w:p w14:paraId="39F9CBC9">
      <w:pPr>
        <w:keepNext w:val="0"/>
        <w:keepLines w:val="0"/>
        <w:pageBreakBefore w:val="0"/>
        <w:widowControl w:val="0"/>
        <w:kinsoku/>
        <w:wordWrap/>
        <w:overflowPunct/>
        <w:topLinePunct w:val="0"/>
        <w:autoSpaceDE/>
        <w:autoSpaceDN/>
        <w:bidi w:val="0"/>
        <w:adjustRightInd/>
        <w:snapToGrid/>
        <w:spacing w:line="500" w:lineRule="exact"/>
        <w:ind w:right="0" w:rightChars="0"/>
        <w:jc w:val="both"/>
        <w:textAlignment w:val="auto"/>
        <w:outlineLvl w:val="9"/>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val="en-US" w:eastAsia="zh-CN"/>
        </w:rPr>
        <w:t xml:space="preserve">    </w:t>
      </w:r>
      <w:r>
        <w:rPr>
          <w:rFonts w:hint="eastAsia" w:ascii="宋体" w:hAnsi="宋体" w:eastAsia="宋体" w:cs="宋体"/>
          <w:b w:val="0"/>
          <w:bCs w:val="0"/>
          <w:sz w:val="21"/>
          <w:szCs w:val="21"/>
          <w:highlight w:val="none"/>
          <w:lang w:eastAsia="zh-CN"/>
        </w:rPr>
        <w:t>（</w:t>
      </w:r>
      <w:r>
        <w:rPr>
          <w:rFonts w:hint="eastAsia" w:ascii="宋体" w:hAnsi="宋体" w:eastAsia="宋体" w:cs="宋体"/>
          <w:b w:val="0"/>
          <w:bCs w:val="0"/>
          <w:sz w:val="21"/>
          <w:szCs w:val="21"/>
          <w:highlight w:val="none"/>
          <w:lang w:val="en-US" w:eastAsia="zh-CN"/>
        </w:rPr>
        <w:t>11）</w:t>
      </w:r>
      <w:r>
        <w:rPr>
          <w:rFonts w:hint="eastAsia" w:ascii="宋体" w:hAnsi="宋体" w:eastAsia="宋体" w:cs="宋体"/>
          <w:b w:val="0"/>
          <w:bCs w:val="0"/>
          <w:sz w:val="21"/>
          <w:szCs w:val="21"/>
          <w:highlight w:val="none"/>
        </w:rPr>
        <w:t>投标报价与市场价偏离较大，低于成本，形成不正当竞争；</w:t>
      </w:r>
    </w:p>
    <w:p w14:paraId="00C3F4D1">
      <w:pPr>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420" w:firstLineChars="200"/>
        <w:jc w:val="both"/>
        <w:textAlignment w:val="auto"/>
        <w:outlineLvl w:val="9"/>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eastAsia="zh-CN"/>
        </w:rPr>
        <w:t>（</w:t>
      </w:r>
      <w:r>
        <w:rPr>
          <w:rFonts w:hint="eastAsia" w:ascii="宋体" w:hAnsi="宋体" w:eastAsia="宋体" w:cs="宋体"/>
          <w:b w:val="0"/>
          <w:bCs w:val="0"/>
          <w:sz w:val="21"/>
          <w:szCs w:val="21"/>
          <w:highlight w:val="none"/>
          <w:lang w:val="en-US" w:eastAsia="zh-CN"/>
        </w:rPr>
        <w:t>12）</w:t>
      </w:r>
      <w:r>
        <w:rPr>
          <w:rFonts w:hint="eastAsia" w:ascii="宋体" w:hAnsi="宋体" w:eastAsia="宋体" w:cs="宋体"/>
          <w:b w:val="0"/>
          <w:bCs w:val="0"/>
          <w:sz w:val="21"/>
          <w:szCs w:val="21"/>
          <w:highlight w:val="none"/>
        </w:rPr>
        <w:t>提供虚假证明，开具虚假资质，出现虚假应答，除按无效标处理外，还进行相应的处罚；</w:t>
      </w:r>
    </w:p>
    <w:p w14:paraId="74647F7B">
      <w:pPr>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420" w:firstLineChars="200"/>
        <w:jc w:val="both"/>
        <w:textAlignment w:val="auto"/>
        <w:outlineLvl w:val="9"/>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eastAsia="zh-CN"/>
        </w:rPr>
        <w:t>（</w:t>
      </w:r>
      <w:r>
        <w:rPr>
          <w:rFonts w:hint="eastAsia" w:ascii="宋体" w:hAnsi="宋体" w:eastAsia="宋体" w:cs="宋体"/>
          <w:b w:val="0"/>
          <w:bCs w:val="0"/>
          <w:sz w:val="21"/>
          <w:szCs w:val="21"/>
          <w:highlight w:val="none"/>
          <w:lang w:val="en-US" w:eastAsia="zh-CN"/>
        </w:rPr>
        <w:t>13）</w:t>
      </w:r>
      <w:r>
        <w:rPr>
          <w:rFonts w:hint="eastAsia" w:ascii="宋体" w:hAnsi="宋体" w:eastAsia="宋体" w:cs="宋体"/>
          <w:b w:val="0"/>
          <w:bCs w:val="0"/>
          <w:sz w:val="21"/>
          <w:szCs w:val="21"/>
          <w:highlight w:val="none"/>
        </w:rPr>
        <w:t>投标人在境内参与政府采购活动中有违法违规行为的；</w:t>
      </w:r>
    </w:p>
    <w:p w14:paraId="32EA1653">
      <w:pPr>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420" w:firstLineChars="200"/>
        <w:jc w:val="both"/>
        <w:textAlignment w:val="auto"/>
        <w:outlineLvl w:val="9"/>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eastAsia="zh-CN"/>
        </w:rPr>
        <w:t>（</w:t>
      </w:r>
      <w:r>
        <w:rPr>
          <w:rFonts w:hint="eastAsia" w:ascii="宋体" w:hAnsi="宋体" w:eastAsia="宋体" w:cs="宋体"/>
          <w:b w:val="0"/>
          <w:bCs w:val="0"/>
          <w:sz w:val="21"/>
          <w:szCs w:val="21"/>
          <w:highlight w:val="none"/>
          <w:lang w:val="en-US" w:eastAsia="zh-CN"/>
        </w:rPr>
        <w:t>14）</w:t>
      </w:r>
      <w:r>
        <w:rPr>
          <w:rFonts w:hint="eastAsia" w:ascii="宋体" w:hAnsi="宋体" w:eastAsia="宋体" w:cs="宋体"/>
          <w:b w:val="0"/>
          <w:bCs w:val="0"/>
          <w:sz w:val="21"/>
          <w:szCs w:val="21"/>
          <w:highlight w:val="none"/>
        </w:rPr>
        <w:t>投标报价超出采购预算</w:t>
      </w:r>
      <w:r>
        <w:rPr>
          <w:rFonts w:hint="eastAsia" w:ascii="宋体" w:hAnsi="宋体" w:eastAsia="宋体" w:cs="宋体"/>
          <w:b w:val="0"/>
          <w:bCs w:val="0"/>
          <w:sz w:val="21"/>
          <w:szCs w:val="21"/>
          <w:highlight w:val="none"/>
          <w:lang w:eastAsia="zh-CN"/>
        </w:rPr>
        <w:t>或最高限价</w:t>
      </w:r>
      <w:r>
        <w:rPr>
          <w:rFonts w:hint="eastAsia" w:ascii="宋体" w:hAnsi="宋体" w:eastAsia="宋体" w:cs="宋体"/>
          <w:b w:val="0"/>
          <w:bCs w:val="0"/>
          <w:sz w:val="21"/>
          <w:szCs w:val="21"/>
          <w:highlight w:val="none"/>
        </w:rPr>
        <w:t>的；</w:t>
      </w:r>
    </w:p>
    <w:p w14:paraId="3312E39D">
      <w:pPr>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420" w:firstLineChars="200"/>
        <w:jc w:val="both"/>
        <w:textAlignment w:val="auto"/>
        <w:outlineLvl w:val="9"/>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eastAsia="zh-CN"/>
        </w:rPr>
        <w:t>（</w:t>
      </w:r>
      <w:r>
        <w:rPr>
          <w:rFonts w:hint="eastAsia" w:ascii="宋体" w:hAnsi="宋体" w:eastAsia="宋体" w:cs="宋体"/>
          <w:b w:val="0"/>
          <w:bCs w:val="0"/>
          <w:sz w:val="21"/>
          <w:szCs w:val="21"/>
          <w:highlight w:val="none"/>
          <w:lang w:val="en-US" w:eastAsia="zh-CN"/>
        </w:rPr>
        <w:t>15）</w:t>
      </w:r>
      <w:r>
        <w:rPr>
          <w:rFonts w:hint="eastAsia" w:ascii="宋体" w:hAnsi="宋体" w:eastAsia="宋体" w:cs="宋体"/>
          <w:b w:val="0"/>
          <w:bCs w:val="0"/>
          <w:sz w:val="21"/>
          <w:szCs w:val="21"/>
          <w:highlight w:val="none"/>
        </w:rPr>
        <w:t>其他法律法规规定的情况。</w:t>
      </w:r>
    </w:p>
    <w:p w14:paraId="61434FB5">
      <w:pPr>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420" w:firstLineChars="200"/>
        <w:jc w:val="both"/>
        <w:textAlignment w:val="auto"/>
        <w:outlineLvl w:val="9"/>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val="en-US" w:eastAsia="zh-CN"/>
        </w:rPr>
        <w:t>1.</w:t>
      </w:r>
      <w:r>
        <w:rPr>
          <w:rFonts w:hint="eastAsia" w:ascii="宋体" w:hAnsi="宋体" w:eastAsia="宋体" w:cs="宋体"/>
          <w:b w:val="0"/>
          <w:bCs w:val="0"/>
          <w:sz w:val="21"/>
          <w:szCs w:val="21"/>
          <w:highlight w:val="none"/>
        </w:rPr>
        <w:t>2.</w:t>
      </w:r>
      <w:r>
        <w:rPr>
          <w:rFonts w:hint="eastAsia" w:ascii="宋体" w:hAnsi="宋体" w:eastAsia="宋体" w:cs="宋体"/>
          <w:b w:val="0"/>
          <w:bCs w:val="0"/>
          <w:sz w:val="21"/>
          <w:szCs w:val="21"/>
          <w:highlight w:val="none"/>
          <w:lang w:val="en-US" w:eastAsia="zh-CN"/>
        </w:rPr>
        <w:t>4</w:t>
      </w:r>
      <w:r>
        <w:rPr>
          <w:rFonts w:hint="eastAsia" w:ascii="宋体" w:hAnsi="宋体" w:eastAsia="宋体" w:cs="宋体"/>
          <w:b w:val="0"/>
          <w:bCs w:val="0"/>
          <w:sz w:val="21"/>
          <w:szCs w:val="21"/>
          <w:highlight w:val="none"/>
        </w:rPr>
        <w:t xml:space="preserve"> 在投标文件初审过程中，如果出现评标委员会成员意见不一致的情况，按照少数服从多数的原则确定。</w:t>
      </w:r>
    </w:p>
    <w:p w14:paraId="675C4FBD">
      <w:pPr>
        <w:spacing w:before="240" w:after="120"/>
        <w:jc w:val="left"/>
        <w:outlineLvl w:val="2"/>
        <w:rPr>
          <w:rFonts w:hint="default" w:ascii="Times New Roman" w:hAnsi="Times New Roman" w:eastAsia="宋体" w:cs="Times New Roman"/>
          <w:b w:val="0"/>
          <w:bCs w:val="0"/>
          <w:sz w:val="21"/>
          <w:szCs w:val="21"/>
          <w:highlight w:val="none"/>
        </w:rPr>
      </w:pPr>
      <w:r>
        <w:rPr>
          <w:rFonts w:hint="eastAsia" w:ascii="宋体" w:hAnsi="宋体" w:cs="宋体"/>
          <w:b/>
          <w:bCs/>
          <w:kern w:val="0"/>
          <w:sz w:val="24"/>
          <w:highlight w:val="none"/>
          <w:lang w:val="en-US" w:eastAsia="zh-CN"/>
        </w:rPr>
        <w:t>1.</w:t>
      </w:r>
      <w:r>
        <w:rPr>
          <w:rFonts w:hint="default" w:ascii="宋体" w:hAnsi="宋体" w:cs="宋体"/>
          <w:b/>
          <w:bCs/>
          <w:kern w:val="0"/>
          <w:sz w:val="24"/>
          <w:highlight w:val="none"/>
        </w:rPr>
        <w:t>3</w:t>
      </w:r>
      <w:r>
        <w:rPr>
          <w:rFonts w:hint="eastAsia" w:ascii="宋体" w:hAnsi="宋体" w:cs="宋体"/>
          <w:b/>
          <w:bCs/>
          <w:kern w:val="0"/>
          <w:sz w:val="24"/>
          <w:highlight w:val="none"/>
          <w:lang w:val="en-US" w:eastAsia="zh-CN"/>
        </w:rPr>
        <w:t xml:space="preserve">  </w:t>
      </w:r>
      <w:r>
        <w:rPr>
          <w:rFonts w:hint="default" w:ascii="宋体" w:hAnsi="宋体" w:cs="宋体"/>
          <w:b/>
          <w:bCs/>
          <w:kern w:val="0"/>
          <w:sz w:val="24"/>
          <w:highlight w:val="none"/>
        </w:rPr>
        <w:t>投标文件的澄清</w:t>
      </w:r>
    </w:p>
    <w:p w14:paraId="493F0F84">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right="0" w:rightChars="0"/>
        <w:jc w:val="both"/>
        <w:textAlignment w:val="auto"/>
        <w:outlineLvl w:val="9"/>
        <w:rPr>
          <w:rFonts w:hint="eastAsia" w:ascii="宋体" w:hAnsi="宋体" w:eastAsia="宋体" w:cs="宋体"/>
          <w:b w:val="0"/>
          <w:bCs w:val="0"/>
          <w:sz w:val="21"/>
          <w:szCs w:val="21"/>
          <w:highlight w:val="none"/>
        </w:rPr>
      </w:pPr>
      <w:r>
        <w:rPr>
          <w:rFonts w:hint="default" w:ascii="Times New Roman" w:hAnsi="Times New Roman" w:eastAsia="宋体" w:cs="Times New Roman"/>
          <w:b w:val="0"/>
          <w:bCs w:val="0"/>
          <w:sz w:val="21"/>
          <w:szCs w:val="21"/>
          <w:highlight w:val="none"/>
        </w:rPr>
        <w:t xml:space="preserve"> </w:t>
      </w:r>
      <w:r>
        <w:rPr>
          <w:rFonts w:hint="eastAsia" w:ascii="宋体" w:hAnsi="宋体" w:eastAsia="宋体" w:cs="宋体"/>
          <w:b w:val="0"/>
          <w:bCs w:val="0"/>
          <w:sz w:val="21"/>
          <w:szCs w:val="21"/>
          <w:highlight w:val="none"/>
          <w:lang w:val="en-US" w:eastAsia="zh-CN"/>
        </w:rPr>
        <w:t xml:space="preserve">   </w:t>
      </w:r>
      <w:r>
        <w:rPr>
          <w:rFonts w:hint="eastAsia" w:ascii="宋体" w:hAnsi="宋体" w:eastAsia="宋体" w:cs="宋体"/>
          <w:b w:val="0"/>
          <w:bCs w:val="0"/>
          <w:sz w:val="21"/>
          <w:szCs w:val="21"/>
          <w:highlight w:val="none"/>
        </w:rPr>
        <w:t>对于投标文件中的非重大偏离，如果出现含义不明确、同类问题表述不一致或者有明显文字和计算错误的内容，评标委员会可以书面形式（由评标委员会专家签字）要求投标人作出必要的澄清、说明或者纠正。投标人的澄清、说明或者补正应当采用书面形式，由其授权的投标代表签字，并不得超出投标文件的范围或者改变投标文件的实质性内容。</w:t>
      </w:r>
    </w:p>
    <w:p w14:paraId="097850B2">
      <w:pPr>
        <w:spacing w:before="240" w:after="120"/>
        <w:jc w:val="left"/>
        <w:outlineLvl w:val="2"/>
        <w:rPr>
          <w:rFonts w:hint="default" w:ascii="宋体" w:hAnsi="宋体" w:cs="宋体"/>
          <w:b/>
          <w:bCs/>
          <w:kern w:val="0"/>
          <w:sz w:val="24"/>
          <w:highlight w:val="none"/>
        </w:rPr>
      </w:pPr>
      <w:r>
        <w:rPr>
          <w:rFonts w:hint="eastAsia" w:ascii="宋体" w:hAnsi="宋体" w:cs="宋体"/>
          <w:b/>
          <w:bCs/>
          <w:kern w:val="0"/>
          <w:sz w:val="24"/>
          <w:highlight w:val="none"/>
          <w:lang w:val="en-US" w:eastAsia="zh-CN"/>
        </w:rPr>
        <w:t>1.</w:t>
      </w:r>
      <w:r>
        <w:rPr>
          <w:rFonts w:hint="default" w:ascii="宋体" w:hAnsi="宋体" w:cs="宋体"/>
          <w:b/>
          <w:bCs/>
          <w:kern w:val="0"/>
          <w:sz w:val="24"/>
          <w:highlight w:val="none"/>
        </w:rPr>
        <w:t>4</w:t>
      </w:r>
      <w:r>
        <w:rPr>
          <w:rFonts w:hint="eastAsia" w:ascii="宋体" w:hAnsi="宋体" w:cs="宋体"/>
          <w:b/>
          <w:bCs/>
          <w:kern w:val="0"/>
          <w:sz w:val="24"/>
          <w:highlight w:val="none"/>
          <w:lang w:val="en-US" w:eastAsia="zh-CN"/>
        </w:rPr>
        <w:t xml:space="preserve">  </w:t>
      </w:r>
      <w:r>
        <w:rPr>
          <w:rFonts w:hint="default" w:ascii="宋体" w:hAnsi="宋体" w:cs="宋体"/>
          <w:b/>
          <w:bCs/>
          <w:kern w:val="0"/>
          <w:sz w:val="24"/>
          <w:highlight w:val="none"/>
        </w:rPr>
        <w:t>投标文件的比较和评价</w:t>
      </w:r>
    </w:p>
    <w:p w14:paraId="76D508C9">
      <w:pPr>
        <w:keepNext w:val="0"/>
        <w:keepLines w:val="0"/>
        <w:pageBreakBefore w:val="0"/>
        <w:widowControl w:val="0"/>
        <w:kinsoku/>
        <w:wordWrap/>
        <w:overflowPunct/>
        <w:topLinePunct w:val="0"/>
        <w:autoSpaceDE/>
        <w:autoSpaceDN/>
        <w:bidi w:val="0"/>
        <w:adjustRightInd/>
        <w:snapToGrid/>
        <w:spacing w:line="500" w:lineRule="exact"/>
        <w:ind w:right="0" w:rightChars="0"/>
        <w:jc w:val="both"/>
        <w:textAlignment w:val="auto"/>
        <w:outlineLvl w:val="9"/>
        <w:rPr>
          <w:rFonts w:hint="eastAsia" w:ascii="宋体" w:hAnsi="宋体" w:eastAsia="宋体" w:cs="宋体"/>
          <w:b w:val="0"/>
          <w:bCs w:val="0"/>
          <w:sz w:val="21"/>
          <w:szCs w:val="21"/>
          <w:highlight w:val="none"/>
        </w:rPr>
      </w:pPr>
      <w:r>
        <w:rPr>
          <w:rFonts w:hint="eastAsia" w:ascii="Times New Roman" w:hAnsi="Times New Roman" w:eastAsia="宋体" w:cs="Times New Roman"/>
          <w:b w:val="0"/>
          <w:bCs w:val="0"/>
          <w:sz w:val="21"/>
          <w:szCs w:val="21"/>
          <w:highlight w:val="none"/>
          <w:lang w:val="en-US" w:eastAsia="zh-CN"/>
        </w:rPr>
        <w:t xml:space="preserve">   </w:t>
      </w:r>
      <w:r>
        <w:rPr>
          <w:rFonts w:hint="eastAsia" w:ascii="宋体" w:hAnsi="宋体" w:eastAsia="宋体" w:cs="宋体"/>
          <w:b w:val="0"/>
          <w:bCs w:val="0"/>
          <w:sz w:val="21"/>
          <w:szCs w:val="21"/>
          <w:highlight w:val="none"/>
          <w:lang w:val="en-US" w:eastAsia="zh-CN"/>
        </w:rPr>
        <w:t xml:space="preserve"> 1.</w:t>
      </w:r>
      <w:r>
        <w:rPr>
          <w:rFonts w:hint="eastAsia" w:ascii="宋体" w:hAnsi="宋体" w:eastAsia="宋体" w:cs="宋体"/>
          <w:b w:val="0"/>
          <w:bCs w:val="0"/>
          <w:sz w:val="21"/>
          <w:szCs w:val="21"/>
          <w:highlight w:val="none"/>
        </w:rPr>
        <w:t>4.1 评委会应按照招标文件中规定的评标方法和标准，对资格性检查和符合性检查合格的投标文件进行商务和技术评估，综合比较与评价。最低报价不做为中标的唯一条件。</w:t>
      </w:r>
    </w:p>
    <w:p w14:paraId="4CD5D302">
      <w:pPr>
        <w:keepNext w:val="0"/>
        <w:keepLines w:val="0"/>
        <w:pageBreakBefore w:val="0"/>
        <w:widowControl w:val="0"/>
        <w:kinsoku/>
        <w:wordWrap/>
        <w:overflowPunct/>
        <w:topLinePunct w:val="0"/>
        <w:autoSpaceDE/>
        <w:autoSpaceDN/>
        <w:bidi w:val="0"/>
        <w:adjustRightInd/>
        <w:snapToGrid/>
        <w:spacing w:line="500" w:lineRule="exact"/>
        <w:ind w:right="0" w:rightChars="0"/>
        <w:jc w:val="both"/>
        <w:textAlignment w:val="auto"/>
        <w:outlineLvl w:val="9"/>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val="en-US" w:eastAsia="zh-CN"/>
        </w:rPr>
        <w:t xml:space="preserve">    1.</w:t>
      </w:r>
      <w:r>
        <w:rPr>
          <w:rFonts w:hint="eastAsia" w:ascii="宋体" w:hAnsi="宋体" w:eastAsia="宋体" w:cs="宋体"/>
          <w:b w:val="0"/>
          <w:bCs w:val="0"/>
          <w:sz w:val="21"/>
          <w:szCs w:val="21"/>
          <w:highlight w:val="none"/>
        </w:rPr>
        <w:t>4.2 如果投标文件没有实质性响应招标文件的要求，评委会将予以拒绝。投标</w:t>
      </w:r>
      <w:r>
        <w:rPr>
          <w:rFonts w:hint="eastAsia" w:ascii="宋体" w:hAnsi="宋体" w:eastAsia="宋体" w:cs="宋体"/>
          <w:b w:val="0"/>
          <w:bCs w:val="0"/>
          <w:sz w:val="21"/>
          <w:szCs w:val="21"/>
          <w:highlight w:val="none"/>
          <w:lang w:eastAsia="zh-CN"/>
        </w:rPr>
        <w:t>人</w:t>
      </w:r>
      <w:r>
        <w:rPr>
          <w:rFonts w:hint="eastAsia" w:ascii="宋体" w:hAnsi="宋体" w:eastAsia="宋体" w:cs="宋体"/>
          <w:b w:val="0"/>
          <w:bCs w:val="0"/>
          <w:sz w:val="21"/>
          <w:szCs w:val="21"/>
          <w:highlight w:val="none"/>
        </w:rPr>
        <w:t>不得通过修正或</w:t>
      </w:r>
      <w:r>
        <w:rPr>
          <w:rFonts w:hint="eastAsia" w:ascii="宋体" w:hAnsi="宋体" w:eastAsia="宋体" w:cs="宋体"/>
          <w:b w:val="0"/>
          <w:bCs w:val="0"/>
          <w:sz w:val="21"/>
          <w:szCs w:val="21"/>
          <w:highlight w:val="none"/>
          <w:lang w:eastAsia="zh-CN"/>
        </w:rPr>
        <w:t>撤销</w:t>
      </w:r>
      <w:r>
        <w:rPr>
          <w:rFonts w:hint="eastAsia" w:ascii="宋体" w:hAnsi="宋体" w:eastAsia="宋体" w:cs="宋体"/>
          <w:b w:val="0"/>
          <w:bCs w:val="0"/>
          <w:sz w:val="21"/>
          <w:szCs w:val="21"/>
          <w:highlight w:val="none"/>
        </w:rPr>
        <w:t>不合要求的偏离或保留，从而使其投标成为实质性响应的投标。</w:t>
      </w:r>
    </w:p>
    <w:p w14:paraId="26C56792">
      <w:pPr>
        <w:keepNext w:val="0"/>
        <w:keepLines w:val="0"/>
        <w:pageBreakBefore w:val="0"/>
        <w:widowControl w:val="0"/>
        <w:kinsoku/>
        <w:wordWrap/>
        <w:overflowPunct/>
        <w:topLinePunct w:val="0"/>
        <w:autoSpaceDE/>
        <w:autoSpaceDN/>
        <w:bidi w:val="0"/>
        <w:adjustRightInd/>
        <w:snapToGrid/>
        <w:spacing w:line="500" w:lineRule="exact"/>
        <w:ind w:right="0" w:rightChars="0"/>
        <w:jc w:val="both"/>
        <w:textAlignment w:val="auto"/>
        <w:outlineLvl w:val="9"/>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val="en-US" w:eastAsia="zh-CN"/>
        </w:rPr>
        <w:t xml:space="preserve">    1.</w:t>
      </w:r>
      <w:r>
        <w:rPr>
          <w:rFonts w:hint="eastAsia" w:ascii="宋体" w:hAnsi="宋体" w:eastAsia="宋体" w:cs="宋体"/>
          <w:b w:val="0"/>
          <w:bCs w:val="0"/>
          <w:sz w:val="21"/>
          <w:szCs w:val="21"/>
          <w:highlight w:val="none"/>
        </w:rPr>
        <w:t>4.3 评标程序：采取逐项分步评审方式，每一步评审不符合者，不进入下一步评审，全部评审合格的投标人进行最后的综合评审和打分，按最后得分由高向低排序，推荐中标候选单位。</w:t>
      </w:r>
    </w:p>
    <w:p w14:paraId="28729212">
      <w:pPr>
        <w:spacing w:before="240" w:after="120"/>
        <w:jc w:val="left"/>
        <w:outlineLvl w:val="2"/>
        <w:rPr>
          <w:rFonts w:hint="default" w:ascii="宋体" w:hAnsi="宋体" w:cs="宋体"/>
          <w:b/>
          <w:bCs/>
          <w:sz w:val="28"/>
          <w:highlight w:val="none"/>
        </w:rPr>
      </w:pPr>
      <w:r>
        <w:rPr>
          <w:rFonts w:hint="eastAsia" w:ascii="宋体" w:hAnsi="宋体" w:cs="宋体"/>
          <w:b/>
          <w:bCs/>
          <w:sz w:val="28"/>
          <w:highlight w:val="none"/>
          <w:lang w:val="en-US" w:eastAsia="zh-CN"/>
        </w:rPr>
        <w:t>2</w:t>
      </w:r>
      <w:r>
        <w:rPr>
          <w:rFonts w:hint="default" w:ascii="宋体" w:hAnsi="宋体" w:cs="宋体"/>
          <w:b/>
          <w:bCs/>
          <w:sz w:val="28"/>
          <w:highlight w:val="none"/>
        </w:rPr>
        <w:t>、评标办法</w:t>
      </w:r>
    </w:p>
    <w:p w14:paraId="75A9A632">
      <w:pPr>
        <w:spacing w:before="240" w:after="120"/>
        <w:jc w:val="left"/>
        <w:outlineLvl w:val="2"/>
        <w:rPr>
          <w:rFonts w:hint="default" w:ascii="宋体" w:hAnsi="宋体" w:cs="宋体"/>
          <w:b/>
          <w:bCs/>
          <w:kern w:val="0"/>
          <w:sz w:val="24"/>
          <w:highlight w:val="none"/>
        </w:rPr>
      </w:pPr>
      <w:r>
        <w:rPr>
          <w:rFonts w:hint="eastAsia" w:ascii="宋体" w:hAnsi="宋体" w:cs="宋体"/>
          <w:b/>
          <w:bCs/>
          <w:kern w:val="0"/>
          <w:sz w:val="24"/>
          <w:highlight w:val="none"/>
          <w:lang w:val="en-US" w:eastAsia="zh-CN"/>
        </w:rPr>
        <w:t xml:space="preserve">2.1  </w:t>
      </w:r>
      <w:r>
        <w:rPr>
          <w:rFonts w:hint="default" w:ascii="宋体" w:hAnsi="宋体" w:cs="宋体"/>
          <w:b/>
          <w:bCs/>
          <w:kern w:val="0"/>
          <w:sz w:val="24"/>
          <w:highlight w:val="none"/>
        </w:rPr>
        <w:t>综合评分法</w:t>
      </w:r>
    </w:p>
    <w:p w14:paraId="4E894F12">
      <w:pPr>
        <w:keepNext w:val="0"/>
        <w:keepLines w:val="0"/>
        <w:pageBreakBefore w:val="0"/>
        <w:widowControl w:val="0"/>
        <w:kinsoku/>
        <w:wordWrap/>
        <w:overflowPunct/>
        <w:topLinePunct w:val="0"/>
        <w:autoSpaceDE/>
        <w:autoSpaceDN/>
        <w:bidi w:val="0"/>
        <w:adjustRightInd/>
        <w:snapToGrid/>
        <w:spacing w:line="500" w:lineRule="exact"/>
        <w:ind w:right="0" w:rightChars="0" w:firstLine="420"/>
        <w:jc w:val="both"/>
        <w:textAlignment w:val="auto"/>
        <w:outlineLvl w:val="9"/>
        <w:rPr>
          <w:rFonts w:hint="default" w:ascii="Times New Roman" w:hAnsi="Times New Roman" w:eastAsia="宋体" w:cs="Times New Roman"/>
          <w:b w:val="0"/>
          <w:bCs w:val="0"/>
          <w:sz w:val="21"/>
          <w:szCs w:val="21"/>
          <w:highlight w:val="none"/>
        </w:rPr>
      </w:pPr>
      <w:r>
        <w:rPr>
          <w:rFonts w:hint="eastAsia" w:ascii="Times New Roman" w:hAnsi="Times New Roman" w:eastAsia="宋体" w:cs="Times New Roman"/>
          <w:b w:val="0"/>
          <w:bCs w:val="0"/>
          <w:sz w:val="21"/>
          <w:szCs w:val="21"/>
          <w:highlight w:val="none"/>
          <w:lang w:eastAsia="zh-CN"/>
        </w:rPr>
        <w:t>本次评标</w:t>
      </w:r>
      <w:r>
        <w:rPr>
          <w:rFonts w:hint="default" w:ascii="Times New Roman" w:hAnsi="Times New Roman" w:eastAsia="宋体" w:cs="Times New Roman"/>
          <w:b w:val="0"/>
          <w:bCs w:val="0"/>
          <w:sz w:val="21"/>
          <w:szCs w:val="21"/>
          <w:highlight w:val="none"/>
        </w:rPr>
        <w:t>采用综合评分法。即在最大限度地满足招标文件实质性要求前提下，按照招标文件中规定的各项因素和相应的权重分值进行综合评审后，以总得分最高的投标人作为中标候选</w:t>
      </w:r>
      <w:r>
        <w:rPr>
          <w:rFonts w:hint="eastAsia" w:ascii="Times New Roman" w:hAnsi="Times New Roman" w:eastAsia="宋体" w:cs="Times New Roman"/>
          <w:b w:val="0"/>
          <w:bCs w:val="0"/>
          <w:sz w:val="21"/>
          <w:szCs w:val="21"/>
          <w:highlight w:val="none"/>
          <w:lang w:eastAsia="zh-CN"/>
        </w:rPr>
        <w:t>人</w:t>
      </w:r>
      <w:r>
        <w:rPr>
          <w:rFonts w:hint="default" w:ascii="Times New Roman" w:hAnsi="Times New Roman" w:eastAsia="宋体" w:cs="Times New Roman"/>
          <w:b w:val="0"/>
          <w:bCs w:val="0"/>
          <w:sz w:val="21"/>
          <w:szCs w:val="21"/>
          <w:highlight w:val="none"/>
        </w:rPr>
        <w:t>并依次排序</w:t>
      </w:r>
      <w:r>
        <w:rPr>
          <w:rFonts w:hint="eastAsia" w:ascii="Times New Roman" w:hAnsi="Times New Roman" w:eastAsia="宋体" w:cs="Times New Roman"/>
          <w:b w:val="0"/>
          <w:bCs w:val="0"/>
          <w:sz w:val="21"/>
          <w:szCs w:val="21"/>
          <w:highlight w:val="none"/>
          <w:lang w:eastAsia="zh-CN"/>
        </w:rPr>
        <w:t>。</w:t>
      </w:r>
      <w:r>
        <w:rPr>
          <w:rFonts w:hint="default" w:ascii="Times New Roman" w:hAnsi="Times New Roman" w:eastAsia="宋体" w:cs="Times New Roman"/>
          <w:b w:val="0"/>
          <w:bCs w:val="0"/>
          <w:sz w:val="21"/>
          <w:szCs w:val="21"/>
          <w:highlight w:val="none"/>
        </w:rPr>
        <w:t>评标委员会将综合分析</w:t>
      </w:r>
      <w:r>
        <w:rPr>
          <w:rFonts w:hint="eastAsia" w:ascii="Times New Roman" w:hAnsi="Times New Roman" w:eastAsia="宋体" w:cs="Times New Roman"/>
          <w:b w:val="0"/>
          <w:bCs w:val="0"/>
          <w:sz w:val="21"/>
          <w:szCs w:val="21"/>
          <w:highlight w:val="none"/>
          <w:lang w:eastAsia="zh-CN"/>
        </w:rPr>
        <w:t>投标人</w:t>
      </w:r>
      <w:r>
        <w:rPr>
          <w:rFonts w:hint="default" w:ascii="Times New Roman" w:hAnsi="Times New Roman" w:eastAsia="宋体" w:cs="Times New Roman"/>
          <w:b w:val="0"/>
          <w:bCs w:val="0"/>
          <w:sz w:val="21"/>
          <w:szCs w:val="21"/>
          <w:highlight w:val="none"/>
        </w:rPr>
        <w:t>的各项评审因素，而不以单项评审因素的优劣评选出中标单位。对所有</w:t>
      </w:r>
      <w:r>
        <w:rPr>
          <w:rFonts w:hint="eastAsia" w:ascii="Times New Roman" w:hAnsi="Times New Roman" w:eastAsia="宋体" w:cs="Times New Roman"/>
          <w:b w:val="0"/>
          <w:bCs w:val="0"/>
          <w:sz w:val="21"/>
          <w:szCs w:val="21"/>
          <w:highlight w:val="none"/>
          <w:lang w:eastAsia="zh-CN"/>
        </w:rPr>
        <w:t>投标人</w:t>
      </w:r>
      <w:r>
        <w:rPr>
          <w:rFonts w:hint="default" w:ascii="Times New Roman" w:hAnsi="Times New Roman" w:eastAsia="宋体" w:cs="Times New Roman"/>
          <w:b w:val="0"/>
          <w:bCs w:val="0"/>
          <w:sz w:val="21"/>
          <w:szCs w:val="21"/>
          <w:highlight w:val="none"/>
        </w:rPr>
        <w:t>的投标评估，都采用相同的程序和标准，严格按照招标文件的要求和条件进行。</w:t>
      </w:r>
    </w:p>
    <w:p w14:paraId="7CD57B06">
      <w:pPr>
        <w:spacing w:before="240" w:after="120"/>
        <w:jc w:val="left"/>
        <w:outlineLvl w:val="2"/>
        <w:rPr>
          <w:rFonts w:hint="default" w:ascii="宋体" w:hAnsi="宋体" w:eastAsia="宋体" w:cs="宋体"/>
          <w:b/>
          <w:bCs/>
          <w:kern w:val="0"/>
          <w:sz w:val="24"/>
          <w:highlight w:val="none"/>
        </w:rPr>
      </w:pPr>
      <w:r>
        <w:rPr>
          <w:rFonts w:hint="eastAsia" w:ascii="宋体" w:hAnsi="宋体" w:eastAsia="宋体" w:cs="宋体"/>
          <w:b/>
          <w:bCs/>
          <w:kern w:val="0"/>
          <w:sz w:val="24"/>
          <w:highlight w:val="none"/>
          <w:lang w:val="en-US" w:eastAsia="zh-CN"/>
        </w:rPr>
        <w:t>2.</w:t>
      </w:r>
      <w:r>
        <w:rPr>
          <w:rFonts w:hint="default" w:ascii="宋体" w:hAnsi="宋体" w:eastAsia="宋体" w:cs="宋体"/>
          <w:b/>
          <w:bCs/>
          <w:kern w:val="0"/>
          <w:sz w:val="24"/>
          <w:highlight w:val="none"/>
        </w:rPr>
        <w:t>2</w:t>
      </w:r>
      <w:r>
        <w:rPr>
          <w:rFonts w:hint="eastAsia" w:ascii="宋体" w:hAnsi="宋体" w:eastAsia="宋体" w:cs="宋体"/>
          <w:b/>
          <w:bCs/>
          <w:kern w:val="0"/>
          <w:sz w:val="24"/>
          <w:highlight w:val="none"/>
          <w:lang w:val="en-US" w:eastAsia="zh-CN"/>
        </w:rPr>
        <w:t xml:space="preserve">  </w:t>
      </w:r>
      <w:r>
        <w:rPr>
          <w:rFonts w:hint="default" w:ascii="宋体" w:hAnsi="宋体" w:eastAsia="宋体" w:cs="宋体"/>
          <w:b/>
          <w:bCs/>
          <w:kern w:val="0"/>
          <w:sz w:val="24"/>
          <w:highlight w:val="none"/>
        </w:rPr>
        <w:t>评标细则及标准：</w:t>
      </w:r>
    </w:p>
    <w:p w14:paraId="3D67111C">
      <w:pPr>
        <w:keepNext w:val="0"/>
        <w:keepLines w:val="0"/>
        <w:pageBreakBefore w:val="0"/>
        <w:widowControl w:val="0"/>
        <w:kinsoku/>
        <w:wordWrap/>
        <w:overflowPunct/>
        <w:topLinePunct w:val="0"/>
        <w:autoSpaceDE/>
        <w:autoSpaceDN/>
        <w:bidi w:val="0"/>
        <w:adjustRightInd/>
        <w:snapToGrid/>
        <w:spacing w:line="500" w:lineRule="exact"/>
        <w:ind w:right="0" w:rightChars="0"/>
        <w:jc w:val="both"/>
        <w:textAlignment w:val="auto"/>
        <w:outlineLvl w:val="9"/>
        <w:rPr>
          <w:rFonts w:hint="eastAsia" w:ascii="宋体" w:hAnsi="宋体" w:eastAsia="宋体" w:cs="宋体"/>
          <w:b w:val="0"/>
          <w:bCs w:val="0"/>
          <w:sz w:val="21"/>
          <w:szCs w:val="21"/>
          <w:highlight w:val="none"/>
        </w:rPr>
      </w:pPr>
      <w:r>
        <w:rPr>
          <w:rFonts w:hint="eastAsia" w:ascii="Times New Roman" w:hAnsi="Times New Roman" w:eastAsia="宋体" w:cs="Times New Roman"/>
          <w:b w:val="0"/>
          <w:bCs w:val="0"/>
          <w:sz w:val="21"/>
          <w:szCs w:val="21"/>
          <w:highlight w:val="none"/>
          <w:lang w:val="en-US" w:eastAsia="zh-CN"/>
        </w:rPr>
        <w:t xml:space="preserve">   </w:t>
      </w:r>
      <w:r>
        <w:rPr>
          <w:rFonts w:hint="eastAsia" w:ascii="宋体" w:hAnsi="宋体" w:eastAsia="宋体" w:cs="宋体"/>
          <w:b w:val="0"/>
          <w:bCs w:val="0"/>
          <w:sz w:val="21"/>
          <w:szCs w:val="21"/>
          <w:highlight w:val="none"/>
          <w:lang w:val="en-US" w:eastAsia="zh-CN"/>
        </w:rPr>
        <w:t xml:space="preserve"> 2.</w:t>
      </w:r>
      <w:r>
        <w:rPr>
          <w:rFonts w:hint="eastAsia" w:ascii="宋体" w:hAnsi="宋体" w:eastAsia="宋体" w:cs="宋体"/>
          <w:b w:val="0"/>
          <w:bCs w:val="0"/>
          <w:sz w:val="21"/>
          <w:szCs w:val="21"/>
          <w:highlight w:val="none"/>
        </w:rPr>
        <w:t>2.1 评标委员会将综合分析投标</w:t>
      </w:r>
      <w:r>
        <w:rPr>
          <w:rFonts w:hint="eastAsia" w:ascii="宋体" w:hAnsi="宋体" w:eastAsia="宋体" w:cs="宋体"/>
          <w:b w:val="0"/>
          <w:bCs w:val="0"/>
          <w:sz w:val="21"/>
          <w:szCs w:val="21"/>
          <w:highlight w:val="none"/>
          <w:lang w:eastAsia="zh-CN"/>
        </w:rPr>
        <w:t>人</w:t>
      </w:r>
      <w:r>
        <w:rPr>
          <w:rFonts w:hint="eastAsia" w:ascii="宋体" w:hAnsi="宋体" w:eastAsia="宋体" w:cs="宋体"/>
          <w:b w:val="0"/>
          <w:bCs w:val="0"/>
          <w:sz w:val="21"/>
          <w:szCs w:val="21"/>
          <w:highlight w:val="none"/>
        </w:rPr>
        <w:t>的各项评审因素，而不以单项评审因素的优劣评选出中标单位。对所有</w:t>
      </w:r>
      <w:r>
        <w:rPr>
          <w:rFonts w:hint="eastAsia" w:ascii="宋体" w:hAnsi="宋体" w:eastAsia="宋体" w:cs="宋体"/>
          <w:b w:val="0"/>
          <w:bCs w:val="0"/>
          <w:sz w:val="21"/>
          <w:szCs w:val="21"/>
          <w:highlight w:val="none"/>
          <w:lang w:eastAsia="zh-CN"/>
        </w:rPr>
        <w:t>投标人</w:t>
      </w:r>
      <w:r>
        <w:rPr>
          <w:rFonts w:hint="eastAsia" w:ascii="宋体" w:hAnsi="宋体" w:eastAsia="宋体" w:cs="宋体"/>
          <w:b w:val="0"/>
          <w:bCs w:val="0"/>
          <w:sz w:val="21"/>
          <w:szCs w:val="21"/>
          <w:highlight w:val="none"/>
        </w:rPr>
        <w:t>的投标评估，都采用相同的程序和标准，严格按照招标文件的要求和条件进行。</w:t>
      </w:r>
    </w:p>
    <w:p w14:paraId="64AB84C6">
      <w:pPr>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420" w:firstLineChars="200"/>
        <w:jc w:val="both"/>
        <w:textAlignment w:val="auto"/>
        <w:outlineLvl w:val="9"/>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val="en-US" w:eastAsia="zh-CN"/>
        </w:rPr>
        <w:t>2.</w:t>
      </w:r>
      <w:r>
        <w:rPr>
          <w:rFonts w:hint="eastAsia" w:ascii="宋体" w:hAnsi="宋体" w:eastAsia="宋体" w:cs="宋体"/>
          <w:b w:val="0"/>
          <w:bCs w:val="0"/>
          <w:sz w:val="21"/>
          <w:szCs w:val="21"/>
          <w:highlight w:val="none"/>
        </w:rPr>
        <w:t>2.2 评审因素包括：价格、技术、信誉、业绩、服务、对招标文件的响应程度，以及相应的比重或者权值等，但不包括</w:t>
      </w:r>
      <w:r>
        <w:rPr>
          <w:rFonts w:hint="eastAsia" w:ascii="宋体" w:hAnsi="宋体" w:eastAsia="宋体" w:cs="宋体"/>
          <w:b w:val="0"/>
          <w:bCs w:val="0"/>
          <w:sz w:val="21"/>
          <w:szCs w:val="21"/>
          <w:highlight w:val="none"/>
          <w:lang w:eastAsia="zh-CN"/>
        </w:rPr>
        <w:t>“</w:t>
      </w:r>
      <w:r>
        <w:rPr>
          <w:rFonts w:hint="eastAsia" w:ascii="宋体" w:hAnsi="宋体" w:eastAsia="宋体" w:cs="宋体"/>
          <w:b w:val="0"/>
          <w:bCs w:val="0"/>
          <w:sz w:val="21"/>
          <w:szCs w:val="21"/>
          <w:highlight w:val="none"/>
        </w:rPr>
        <w:t>投标人须知前附表</w:t>
      </w:r>
      <w:r>
        <w:rPr>
          <w:rFonts w:hint="eastAsia" w:ascii="宋体" w:hAnsi="宋体" w:eastAsia="宋体" w:cs="宋体"/>
          <w:b w:val="0"/>
          <w:bCs w:val="0"/>
          <w:sz w:val="21"/>
          <w:szCs w:val="21"/>
          <w:highlight w:val="none"/>
          <w:lang w:eastAsia="zh-CN"/>
        </w:rPr>
        <w:t>”</w:t>
      </w:r>
      <w:r>
        <w:rPr>
          <w:rFonts w:hint="eastAsia" w:ascii="宋体" w:hAnsi="宋体" w:eastAsia="宋体" w:cs="宋体"/>
          <w:b w:val="0"/>
          <w:bCs w:val="0"/>
          <w:sz w:val="21"/>
          <w:szCs w:val="21"/>
          <w:highlight w:val="none"/>
        </w:rPr>
        <w:t>规定的</w:t>
      </w:r>
      <w:r>
        <w:rPr>
          <w:rFonts w:hint="eastAsia" w:ascii="宋体" w:hAnsi="宋体" w:eastAsia="宋体" w:cs="宋体"/>
          <w:b w:val="0"/>
          <w:bCs w:val="0"/>
          <w:sz w:val="21"/>
          <w:szCs w:val="21"/>
          <w:highlight w:val="none"/>
          <w:lang w:eastAsia="zh-CN"/>
        </w:rPr>
        <w:t>投标人</w:t>
      </w:r>
      <w:r>
        <w:rPr>
          <w:rFonts w:hint="eastAsia" w:ascii="宋体" w:hAnsi="宋体" w:eastAsia="宋体" w:cs="宋体"/>
          <w:b w:val="0"/>
          <w:bCs w:val="0"/>
          <w:sz w:val="21"/>
          <w:szCs w:val="21"/>
          <w:highlight w:val="none"/>
        </w:rPr>
        <w:t>资格条件。</w:t>
      </w:r>
    </w:p>
    <w:p w14:paraId="7CCE8937">
      <w:pPr>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420" w:firstLineChars="200"/>
        <w:jc w:val="both"/>
        <w:textAlignment w:val="auto"/>
        <w:outlineLvl w:val="9"/>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val="en-US" w:eastAsia="zh-CN"/>
        </w:rPr>
        <w:t>2.</w:t>
      </w:r>
      <w:r>
        <w:rPr>
          <w:rFonts w:hint="eastAsia" w:ascii="宋体" w:hAnsi="宋体" w:eastAsia="宋体" w:cs="宋体"/>
          <w:b w:val="0"/>
          <w:bCs w:val="0"/>
          <w:sz w:val="21"/>
          <w:szCs w:val="21"/>
          <w:highlight w:val="none"/>
        </w:rPr>
        <w:t>2.3 综合评分操作程序为：</w:t>
      </w:r>
    </w:p>
    <w:p w14:paraId="396B2C66">
      <w:pPr>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420" w:firstLineChars="200"/>
        <w:jc w:val="both"/>
        <w:textAlignment w:val="auto"/>
        <w:outlineLvl w:val="9"/>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val="en-US" w:eastAsia="zh-CN"/>
        </w:rPr>
        <w:t>2.</w:t>
      </w:r>
      <w:r>
        <w:rPr>
          <w:rFonts w:hint="eastAsia" w:ascii="宋体" w:hAnsi="宋体" w:eastAsia="宋体" w:cs="宋体"/>
          <w:b w:val="0"/>
          <w:bCs w:val="0"/>
          <w:sz w:val="21"/>
          <w:szCs w:val="21"/>
          <w:highlight w:val="none"/>
        </w:rPr>
        <w:t>2.3.1</w:t>
      </w:r>
      <w:r>
        <w:rPr>
          <w:rFonts w:hint="eastAsia" w:ascii="宋体" w:hAnsi="宋体" w:eastAsia="宋体" w:cs="宋体"/>
          <w:b w:val="0"/>
          <w:bCs w:val="0"/>
          <w:sz w:val="21"/>
          <w:szCs w:val="21"/>
          <w:highlight w:val="none"/>
          <w:lang w:val="en-US" w:eastAsia="zh-CN"/>
        </w:rPr>
        <w:t xml:space="preserve"> </w:t>
      </w:r>
      <w:r>
        <w:rPr>
          <w:rFonts w:hint="eastAsia" w:ascii="宋体" w:hAnsi="宋体" w:eastAsia="宋体" w:cs="宋体"/>
          <w:b w:val="0"/>
          <w:bCs w:val="0"/>
          <w:sz w:val="21"/>
          <w:szCs w:val="21"/>
          <w:highlight w:val="none"/>
        </w:rPr>
        <w:t>根据招标文件和评标原则，按下表《综合评分明细表》所列评分因素和各评分因素的权重进行评标。</w:t>
      </w:r>
    </w:p>
    <w:p w14:paraId="3EC27469">
      <w:pPr>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420" w:firstLineChars="200"/>
        <w:jc w:val="both"/>
        <w:textAlignment w:val="auto"/>
        <w:outlineLvl w:val="9"/>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2.</w:t>
      </w:r>
      <w:r>
        <w:rPr>
          <w:rFonts w:hint="eastAsia" w:ascii="宋体" w:hAnsi="宋体" w:eastAsia="宋体" w:cs="宋体"/>
          <w:b w:val="0"/>
          <w:bCs w:val="0"/>
          <w:sz w:val="21"/>
          <w:szCs w:val="21"/>
          <w:highlight w:val="none"/>
        </w:rPr>
        <w:t>2.3.2</w:t>
      </w:r>
      <w:r>
        <w:rPr>
          <w:rFonts w:hint="eastAsia" w:ascii="宋体" w:hAnsi="宋体" w:eastAsia="宋体" w:cs="宋体"/>
          <w:b w:val="0"/>
          <w:bCs w:val="0"/>
          <w:sz w:val="21"/>
          <w:szCs w:val="21"/>
          <w:highlight w:val="none"/>
          <w:lang w:val="en-US" w:eastAsia="zh-CN"/>
        </w:rPr>
        <w:t xml:space="preserve"> 评标价格的确定： </w:t>
      </w:r>
    </w:p>
    <w:p w14:paraId="5EA0EBD2">
      <w:pPr>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420" w:firstLineChars="200"/>
        <w:jc w:val="both"/>
        <w:textAlignment w:val="auto"/>
        <w:outlineLvl w:val="9"/>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val="en-US" w:eastAsia="zh-CN"/>
        </w:rPr>
        <w:t xml:space="preserve">2.2.3.2.1 </w:t>
      </w:r>
      <w:r>
        <w:rPr>
          <w:rFonts w:hint="eastAsia" w:ascii="宋体" w:hAnsi="宋体" w:eastAsia="宋体" w:cs="宋体"/>
          <w:b w:val="0"/>
          <w:bCs w:val="0"/>
          <w:sz w:val="21"/>
          <w:szCs w:val="21"/>
          <w:highlight w:val="none"/>
        </w:rPr>
        <w:t>对于不享受政策性优惠价格调整</w:t>
      </w:r>
      <w:r>
        <w:rPr>
          <w:rFonts w:hint="eastAsia" w:ascii="宋体" w:hAnsi="宋体" w:eastAsia="宋体" w:cs="宋体"/>
          <w:b w:val="0"/>
          <w:bCs w:val="0"/>
          <w:sz w:val="21"/>
          <w:szCs w:val="21"/>
          <w:highlight w:val="none"/>
          <w:lang w:eastAsia="zh-CN"/>
        </w:rPr>
        <w:t>的投标价格，</w:t>
      </w:r>
      <w:r>
        <w:rPr>
          <w:rFonts w:hint="eastAsia" w:ascii="宋体" w:hAnsi="宋体" w:eastAsia="宋体" w:cs="宋体"/>
          <w:b w:val="0"/>
          <w:bCs w:val="0"/>
          <w:sz w:val="21"/>
          <w:szCs w:val="21"/>
          <w:highlight w:val="none"/>
        </w:rPr>
        <w:t>按照财政部财库【2007】2号、【2020】46号文件的有关规定，以本次满足投标文件要求的最低投标评审价为评审基准价，其价格为满分。</w:t>
      </w:r>
    </w:p>
    <w:p w14:paraId="1ED6E767">
      <w:pPr>
        <w:keepNext w:val="0"/>
        <w:keepLines w:val="0"/>
        <w:pageBreakBefore w:val="0"/>
        <w:widowControl w:val="0"/>
        <w:kinsoku/>
        <w:wordWrap/>
        <w:overflowPunct/>
        <w:topLinePunct w:val="0"/>
        <w:autoSpaceDE/>
        <w:autoSpaceDN/>
        <w:bidi w:val="0"/>
        <w:adjustRightInd/>
        <w:snapToGrid/>
        <w:spacing w:line="500" w:lineRule="exact"/>
        <w:ind w:right="0" w:rightChars="0"/>
        <w:jc w:val="both"/>
        <w:textAlignment w:val="auto"/>
        <w:outlineLvl w:val="9"/>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val="en-US" w:eastAsia="zh-CN"/>
        </w:rPr>
        <w:t xml:space="preserve">    </w:t>
      </w:r>
      <w:r>
        <w:rPr>
          <w:rFonts w:hint="eastAsia" w:ascii="宋体" w:hAnsi="宋体" w:eastAsia="宋体" w:cs="宋体"/>
          <w:b w:val="0"/>
          <w:bCs w:val="0"/>
          <w:sz w:val="21"/>
          <w:szCs w:val="21"/>
          <w:highlight w:val="none"/>
        </w:rPr>
        <w:t>（</w:t>
      </w:r>
      <w:r>
        <w:rPr>
          <w:rFonts w:hint="eastAsia" w:ascii="宋体" w:hAnsi="宋体" w:eastAsia="宋体" w:cs="宋体"/>
          <w:b w:val="0"/>
          <w:bCs w:val="0"/>
          <w:sz w:val="21"/>
          <w:szCs w:val="21"/>
          <w:highlight w:val="none"/>
          <w:lang w:val="en-US" w:eastAsia="zh-CN"/>
        </w:rPr>
        <w:t>1</w:t>
      </w:r>
      <w:r>
        <w:rPr>
          <w:rFonts w:hint="eastAsia" w:ascii="宋体" w:hAnsi="宋体" w:eastAsia="宋体" w:cs="宋体"/>
          <w:b w:val="0"/>
          <w:bCs w:val="0"/>
          <w:sz w:val="21"/>
          <w:szCs w:val="21"/>
          <w:highlight w:val="none"/>
        </w:rPr>
        <w:t>）如果同一包为单一产品，或同一包为多种产品，全部符合政策优惠条件的（即小微企业自身生产或中小企业代理的小微企业生产的产品），对总报价进行调整，调整后的报价作为投标评审价。投标评审价按下列公示计算：</w:t>
      </w:r>
    </w:p>
    <w:p w14:paraId="5740DF35">
      <w:pPr>
        <w:keepNext w:val="0"/>
        <w:keepLines w:val="0"/>
        <w:pageBreakBefore w:val="0"/>
        <w:widowControl w:val="0"/>
        <w:kinsoku/>
        <w:wordWrap/>
        <w:overflowPunct/>
        <w:topLinePunct w:val="0"/>
        <w:autoSpaceDE/>
        <w:autoSpaceDN/>
        <w:bidi w:val="0"/>
        <w:adjustRightInd/>
        <w:snapToGrid/>
        <w:spacing w:line="500" w:lineRule="exact"/>
        <w:ind w:right="0" w:rightChars="0"/>
        <w:jc w:val="center"/>
        <w:textAlignment w:val="auto"/>
        <w:outlineLvl w:val="9"/>
        <w:rPr>
          <w:rFonts w:hint="default" w:ascii="Times New Roman" w:hAnsi="Times New Roman" w:eastAsia="宋体" w:cs="Times New Roman"/>
          <w:b/>
          <w:bCs/>
          <w:sz w:val="21"/>
          <w:szCs w:val="21"/>
          <w:highlight w:val="none"/>
        </w:rPr>
      </w:pPr>
      <w:r>
        <w:rPr>
          <w:rFonts w:hint="default" w:ascii="Times New Roman" w:hAnsi="Times New Roman" w:eastAsia="宋体" w:cs="Times New Roman"/>
          <w:b/>
          <w:bCs/>
          <w:sz w:val="21"/>
          <w:szCs w:val="21"/>
          <w:highlight w:val="none"/>
        </w:rPr>
        <w:t>投标评审价=投标报价×（1-投标报价折扣幅度）</w:t>
      </w:r>
    </w:p>
    <w:p w14:paraId="451EB78F">
      <w:pPr>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420" w:firstLineChars="200"/>
        <w:jc w:val="both"/>
        <w:textAlignment w:val="auto"/>
        <w:outlineLvl w:val="9"/>
        <w:rPr>
          <w:rFonts w:hint="default" w:ascii="Times New Roman" w:hAnsi="Times New Roman" w:eastAsia="宋体" w:cs="Times New Roman"/>
          <w:b w:val="0"/>
          <w:bCs w:val="0"/>
          <w:sz w:val="21"/>
          <w:szCs w:val="21"/>
          <w:highlight w:val="none"/>
        </w:rPr>
      </w:pPr>
      <w:r>
        <w:rPr>
          <w:rFonts w:hint="default" w:ascii="Times New Roman" w:hAnsi="Times New Roman" w:eastAsia="宋体" w:cs="Times New Roman"/>
          <w:b w:val="0"/>
          <w:bCs w:val="0"/>
          <w:sz w:val="21"/>
          <w:szCs w:val="21"/>
          <w:highlight w:val="none"/>
        </w:rPr>
        <w:t>（</w:t>
      </w:r>
      <w:r>
        <w:rPr>
          <w:rFonts w:hint="eastAsia" w:cs="Times New Roman"/>
          <w:b w:val="0"/>
          <w:bCs w:val="0"/>
          <w:sz w:val="21"/>
          <w:szCs w:val="21"/>
          <w:highlight w:val="none"/>
          <w:lang w:val="en-US" w:eastAsia="zh-CN"/>
        </w:rPr>
        <w:t>2</w:t>
      </w:r>
      <w:r>
        <w:rPr>
          <w:rFonts w:hint="default" w:ascii="Times New Roman" w:hAnsi="Times New Roman" w:eastAsia="宋体" w:cs="Times New Roman"/>
          <w:b w:val="0"/>
          <w:bCs w:val="0"/>
          <w:sz w:val="21"/>
          <w:szCs w:val="21"/>
          <w:highlight w:val="none"/>
        </w:rPr>
        <w:t>）</w:t>
      </w:r>
      <w:r>
        <w:rPr>
          <w:rFonts w:hint="eastAsia" w:ascii="Times New Roman" w:hAnsi="Times New Roman" w:eastAsia="宋体" w:cs="Times New Roman"/>
          <w:b w:val="0"/>
          <w:bCs w:val="0"/>
          <w:sz w:val="21"/>
          <w:szCs w:val="21"/>
          <w:highlight w:val="none"/>
          <w:lang w:eastAsia="zh-CN"/>
        </w:rPr>
        <w:t>投标人</w:t>
      </w:r>
      <w:r>
        <w:rPr>
          <w:rFonts w:hint="default" w:ascii="Times New Roman" w:hAnsi="Times New Roman" w:eastAsia="宋体" w:cs="Times New Roman"/>
          <w:b w:val="0"/>
          <w:bCs w:val="0"/>
          <w:sz w:val="21"/>
          <w:szCs w:val="21"/>
          <w:highlight w:val="none"/>
        </w:rPr>
        <w:t>的价格得分按下列公式计算：</w:t>
      </w:r>
    </w:p>
    <w:p w14:paraId="6D3788BC">
      <w:pPr>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422" w:firstLineChars="200"/>
        <w:jc w:val="center"/>
        <w:textAlignment w:val="auto"/>
        <w:outlineLvl w:val="9"/>
        <w:rPr>
          <w:rFonts w:hint="default" w:ascii="Times New Roman" w:hAnsi="Times New Roman" w:eastAsia="宋体" w:cs="Times New Roman"/>
          <w:b/>
          <w:bCs/>
          <w:sz w:val="21"/>
          <w:szCs w:val="21"/>
          <w:highlight w:val="none"/>
        </w:rPr>
      </w:pPr>
      <w:r>
        <w:rPr>
          <w:rFonts w:hint="default" w:ascii="Times New Roman" w:hAnsi="Times New Roman" w:eastAsia="宋体" w:cs="Times New Roman"/>
          <w:b/>
          <w:bCs/>
          <w:sz w:val="21"/>
          <w:szCs w:val="21"/>
          <w:highlight w:val="none"/>
        </w:rPr>
        <w:t>投标报价得分=</w:t>
      </w:r>
      <w:r>
        <w:rPr>
          <w:rFonts w:hint="eastAsia" w:ascii="Times New Roman" w:hAnsi="Times New Roman" w:eastAsia="宋体" w:cs="Times New Roman"/>
          <w:b/>
          <w:bCs/>
          <w:sz w:val="21"/>
          <w:szCs w:val="21"/>
          <w:highlight w:val="none"/>
          <w:lang w:eastAsia="zh-CN"/>
        </w:rPr>
        <w:t>（</w:t>
      </w:r>
      <w:r>
        <w:rPr>
          <w:rFonts w:hint="default" w:ascii="Times New Roman" w:hAnsi="Times New Roman" w:eastAsia="宋体" w:cs="Times New Roman"/>
          <w:b/>
          <w:bCs/>
          <w:sz w:val="21"/>
          <w:szCs w:val="21"/>
          <w:highlight w:val="none"/>
        </w:rPr>
        <w:t>投标基准价／投标评审价</w:t>
      </w:r>
      <w:r>
        <w:rPr>
          <w:rFonts w:hint="eastAsia" w:ascii="Times New Roman" w:hAnsi="Times New Roman" w:eastAsia="宋体" w:cs="Times New Roman"/>
          <w:b/>
          <w:bCs/>
          <w:sz w:val="21"/>
          <w:szCs w:val="21"/>
          <w:highlight w:val="none"/>
          <w:lang w:eastAsia="zh-CN"/>
        </w:rPr>
        <w:t>）</w:t>
      </w:r>
      <w:r>
        <w:rPr>
          <w:rFonts w:hint="default" w:ascii="Times New Roman" w:hAnsi="Times New Roman" w:eastAsia="宋体" w:cs="Times New Roman"/>
          <w:b/>
          <w:bCs/>
          <w:sz w:val="21"/>
          <w:szCs w:val="21"/>
          <w:highlight w:val="none"/>
        </w:rPr>
        <w:t>×价格权值×100</w:t>
      </w:r>
    </w:p>
    <w:p w14:paraId="31C87ABA">
      <w:pPr>
        <w:keepNext w:val="0"/>
        <w:keepLines w:val="0"/>
        <w:pageBreakBefore w:val="0"/>
        <w:widowControl w:val="0"/>
        <w:kinsoku/>
        <w:wordWrap/>
        <w:overflowPunct/>
        <w:topLinePunct w:val="0"/>
        <w:autoSpaceDE/>
        <w:autoSpaceDN/>
        <w:bidi w:val="0"/>
        <w:adjustRightInd/>
        <w:snapToGrid/>
        <w:spacing w:line="500" w:lineRule="exact"/>
        <w:ind w:right="0" w:rightChars="0"/>
        <w:jc w:val="center"/>
        <w:textAlignment w:val="auto"/>
        <w:outlineLvl w:val="9"/>
        <w:rPr>
          <w:rFonts w:hint="eastAsia" w:ascii="Times New Roman" w:hAnsi="Times New Roman" w:eastAsia="宋体" w:cs="Times New Roman"/>
          <w:b/>
          <w:bCs/>
          <w:sz w:val="21"/>
          <w:szCs w:val="21"/>
          <w:highlight w:val="none"/>
        </w:rPr>
      </w:pPr>
      <w:r>
        <w:rPr>
          <w:rFonts w:hint="eastAsia" w:ascii="Times New Roman" w:hAnsi="Times New Roman" w:eastAsia="宋体" w:cs="Times New Roman"/>
          <w:b/>
          <w:bCs/>
          <w:sz w:val="21"/>
          <w:szCs w:val="21"/>
          <w:highlight w:val="none"/>
        </w:rPr>
        <w:t>（</w:t>
      </w:r>
      <w:r>
        <w:rPr>
          <w:rFonts w:hint="eastAsia" w:ascii="Times New Roman" w:hAnsi="Times New Roman" w:eastAsia="宋体" w:cs="Times New Roman"/>
          <w:b/>
          <w:bCs/>
          <w:sz w:val="21"/>
          <w:szCs w:val="21"/>
          <w:highlight w:val="none"/>
          <w:lang w:eastAsia="zh-CN"/>
        </w:rPr>
        <w:t>注：</w:t>
      </w:r>
      <w:r>
        <w:rPr>
          <w:rFonts w:hint="eastAsia" w:cs="Times New Roman"/>
          <w:b/>
          <w:bCs/>
          <w:sz w:val="21"/>
          <w:szCs w:val="21"/>
          <w:highlight w:val="none"/>
          <w:lang w:val="en-US" w:eastAsia="zh-CN"/>
        </w:rPr>
        <w:t>所投产品中有一种不是中小企业</w:t>
      </w:r>
      <w:r>
        <w:rPr>
          <w:rFonts w:hint="eastAsia" w:ascii="Times New Roman" w:hAnsi="Times New Roman" w:eastAsia="宋体" w:cs="Times New Roman"/>
          <w:b/>
          <w:bCs/>
          <w:sz w:val="21"/>
          <w:szCs w:val="21"/>
          <w:highlight w:val="none"/>
        </w:rPr>
        <w:t>的不享受此项优惠）</w:t>
      </w:r>
    </w:p>
    <w:p w14:paraId="155BE5F1">
      <w:pPr>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420" w:firstLineChars="200"/>
        <w:jc w:val="both"/>
        <w:textAlignment w:val="auto"/>
        <w:outlineLvl w:val="9"/>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val="en-US" w:eastAsia="zh-CN"/>
        </w:rPr>
        <w:t>2.2.3.2.2</w:t>
      </w:r>
      <w:r>
        <w:rPr>
          <w:rFonts w:hint="eastAsia" w:ascii="宋体" w:hAnsi="宋体" w:eastAsia="宋体" w:cs="宋体"/>
          <w:b w:val="0"/>
          <w:bCs w:val="0"/>
          <w:sz w:val="21"/>
          <w:szCs w:val="21"/>
          <w:highlight w:val="none"/>
          <w:lang w:eastAsia="zh-CN"/>
        </w:rPr>
        <w:t>中小企业</w:t>
      </w:r>
      <w:r>
        <w:rPr>
          <w:rFonts w:hint="eastAsia" w:ascii="宋体" w:hAnsi="宋体" w:eastAsia="宋体" w:cs="宋体"/>
          <w:b w:val="0"/>
          <w:bCs w:val="0"/>
          <w:sz w:val="21"/>
          <w:szCs w:val="21"/>
          <w:highlight w:val="none"/>
        </w:rPr>
        <w:t>（含联合体）、监狱</w:t>
      </w:r>
      <w:r>
        <w:rPr>
          <w:rFonts w:hint="eastAsia" w:ascii="宋体" w:hAnsi="宋体" w:eastAsia="宋体" w:cs="宋体"/>
          <w:b w:val="0"/>
          <w:bCs w:val="0"/>
          <w:color w:val="auto"/>
          <w:sz w:val="21"/>
          <w:szCs w:val="21"/>
          <w:highlight w:val="none"/>
        </w:rPr>
        <w:t>企业</w:t>
      </w:r>
      <w:r>
        <w:rPr>
          <w:rFonts w:hint="eastAsia" w:ascii="宋体" w:hAnsi="宋体" w:eastAsia="宋体" w:cs="宋体"/>
          <w:b w:val="0"/>
          <w:bCs w:val="0"/>
          <w:color w:val="auto"/>
          <w:sz w:val="21"/>
          <w:szCs w:val="21"/>
          <w:highlight w:val="none"/>
          <w:lang w:eastAsia="zh-CN"/>
        </w:rPr>
        <w:t>、残疾人福利性企业</w:t>
      </w:r>
      <w:r>
        <w:rPr>
          <w:rFonts w:hint="eastAsia" w:ascii="宋体" w:hAnsi="宋体" w:eastAsia="宋体" w:cs="宋体"/>
          <w:b w:val="0"/>
          <w:bCs w:val="0"/>
          <w:color w:val="auto"/>
          <w:sz w:val="21"/>
          <w:szCs w:val="21"/>
          <w:highlight w:val="none"/>
        </w:rPr>
        <w:t>的</w:t>
      </w:r>
      <w:r>
        <w:rPr>
          <w:rFonts w:hint="eastAsia" w:ascii="宋体" w:hAnsi="宋体" w:eastAsia="宋体" w:cs="宋体"/>
          <w:b w:val="0"/>
          <w:bCs w:val="0"/>
          <w:color w:val="auto"/>
          <w:sz w:val="21"/>
          <w:szCs w:val="21"/>
          <w:highlight w:val="none"/>
          <w:lang w:eastAsia="zh-CN"/>
        </w:rPr>
        <w:t>评标价计算规则</w:t>
      </w:r>
      <w:r>
        <w:rPr>
          <w:rFonts w:hint="eastAsia" w:ascii="宋体" w:hAnsi="宋体" w:eastAsia="宋体" w:cs="宋体"/>
          <w:b w:val="0"/>
          <w:bCs w:val="0"/>
          <w:color w:val="auto"/>
          <w:sz w:val="21"/>
          <w:szCs w:val="21"/>
          <w:highlight w:val="none"/>
        </w:rPr>
        <w:t>：</w:t>
      </w:r>
    </w:p>
    <w:p w14:paraId="1C9F311E">
      <w:pPr>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420" w:firstLineChars="200"/>
        <w:jc w:val="both"/>
        <w:textAlignment w:val="auto"/>
        <w:outlineLvl w:val="9"/>
        <w:rPr>
          <w:rFonts w:hint="eastAsia" w:ascii="宋体" w:hAnsi="宋体" w:eastAsia="宋体" w:cs="宋体"/>
          <w:b w:val="0"/>
          <w:bCs w:val="0"/>
          <w:color w:val="1129B9"/>
          <w:sz w:val="21"/>
          <w:szCs w:val="21"/>
          <w:highlight w:val="none"/>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（1）、《政府采购促进中小企业发展管理办法》（财库[2020]46号）中所称</w:t>
      </w:r>
      <w:r>
        <w:rPr>
          <w:rFonts w:hint="eastAsia" w:ascii="宋体" w:hAnsi="宋体" w:eastAsia="宋体" w:cs="宋体"/>
          <w:b w:val="0"/>
          <w:bCs w:val="0"/>
          <w:color w:val="000000" w:themeColor="text1"/>
          <w:sz w:val="21"/>
          <w:szCs w:val="21"/>
          <w:highlight w:val="none"/>
          <w14:textFill>
            <w14:solidFill>
              <w14:schemeClr w14:val="tx1"/>
            </w14:solidFill>
          </w14:textFill>
        </w:rPr>
        <w:t>中小企业（含中型、小型、微型企业，下同）应当同时符合以下条件：</w:t>
      </w:r>
    </w:p>
    <w:p w14:paraId="23148BBD">
      <w:pPr>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420" w:firstLineChars="200"/>
        <w:jc w:val="both"/>
        <w:textAlignment w:val="auto"/>
        <w:outlineLvl w:val="9"/>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val="en-US" w:eastAsia="zh-CN"/>
        </w:rPr>
        <w:t>a、</w:t>
      </w:r>
      <w:r>
        <w:rPr>
          <w:rFonts w:hint="eastAsia" w:ascii="宋体" w:hAnsi="宋体" w:eastAsia="宋体" w:cs="宋体"/>
          <w:b w:val="0"/>
          <w:bCs w:val="0"/>
          <w:sz w:val="21"/>
          <w:szCs w:val="21"/>
          <w:highlight w:val="none"/>
        </w:rPr>
        <w:t>符合中小企业划分标准；</w:t>
      </w:r>
    </w:p>
    <w:p w14:paraId="5EE1BA91">
      <w:pPr>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420" w:firstLineChars="200"/>
        <w:jc w:val="both"/>
        <w:textAlignment w:val="auto"/>
        <w:outlineLvl w:val="9"/>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val="en-US" w:eastAsia="zh-CN"/>
        </w:rPr>
        <w:t>b、</w:t>
      </w:r>
      <w:r>
        <w:rPr>
          <w:rFonts w:hint="eastAsia" w:ascii="宋体" w:hAnsi="宋体" w:eastAsia="宋体" w:cs="宋体"/>
          <w:b w:val="0"/>
          <w:bCs w:val="0"/>
          <w:sz w:val="21"/>
          <w:szCs w:val="21"/>
          <w:highlight w:val="none"/>
        </w:rPr>
        <w:t>投标提供本企业制造的货物、承担的工程或者服务，或者提供其他中小企业制造的货物。本项所称货物不包括使用大型企业注册商标的货物。</w:t>
      </w:r>
    </w:p>
    <w:p w14:paraId="6A4EB47A">
      <w:pPr>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420" w:firstLineChars="200"/>
        <w:jc w:val="both"/>
        <w:textAlignment w:val="auto"/>
        <w:outlineLvl w:val="9"/>
        <w:rPr>
          <w:rFonts w:hint="eastAsia" w:ascii="宋体" w:hAnsi="宋体" w:eastAsia="宋体" w:cs="宋体"/>
          <w:b w:val="0"/>
          <w:bCs w:val="0"/>
          <w:sz w:val="21"/>
          <w:szCs w:val="21"/>
          <w:highlight w:val="none"/>
          <w:lang w:eastAsia="zh-CN"/>
        </w:rPr>
      </w:pPr>
      <w:r>
        <w:rPr>
          <w:rFonts w:hint="eastAsia" w:ascii="宋体" w:hAnsi="宋体" w:eastAsia="宋体" w:cs="宋体"/>
          <w:b w:val="0"/>
          <w:bCs w:val="0"/>
          <w:sz w:val="21"/>
          <w:szCs w:val="21"/>
          <w:highlight w:val="none"/>
          <w:lang w:val="en-US" w:eastAsia="zh-CN"/>
        </w:rPr>
        <w:t>（2）、</w:t>
      </w:r>
      <w:r>
        <w:rPr>
          <w:rFonts w:hint="eastAsia" w:ascii="宋体" w:hAnsi="宋体" w:eastAsia="宋体" w:cs="宋体"/>
          <w:b w:val="0"/>
          <w:bCs w:val="0"/>
          <w:sz w:val="21"/>
          <w:szCs w:val="21"/>
          <w:highlight w:val="none"/>
        </w:rPr>
        <w:t>本</w:t>
      </w:r>
      <w:r>
        <w:rPr>
          <w:rFonts w:hint="eastAsia" w:ascii="宋体" w:hAnsi="宋体" w:eastAsia="宋体" w:cs="宋体"/>
          <w:b w:val="0"/>
          <w:bCs w:val="0"/>
          <w:sz w:val="21"/>
          <w:szCs w:val="21"/>
          <w:highlight w:val="none"/>
          <w:lang w:eastAsia="zh-CN"/>
        </w:rPr>
        <w:t>办法</w:t>
      </w:r>
      <w:r>
        <w:rPr>
          <w:rFonts w:hint="eastAsia" w:ascii="宋体" w:hAnsi="宋体" w:eastAsia="宋体" w:cs="宋体"/>
          <w:b w:val="0"/>
          <w:bCs w:val="0"/>
          <w:sz w:val="21"/>
          <w:szCs w:val="21"/>
          <w:highlight w:val="none"/>
        </w:rPr>
        <w:t>所称中小企业划分标准，是指国务院有关部门根据企业从业人员、营业收入、资产总额等指标制定的中小企业划型标准（工信部联企业〔2011〕300号）</w:t>
      </w:r>
      <w:r>
        <w:rPr>
          <w:rFonts w:hint="eastAsia" w:ascii="宋体" w:hAnsi="宋体" w:eastAsia="宋体" w:cs="宋体"/>
          <w:b w:val="0"/>
          <w:bCs w:val="0"/>
          <w:sz w:val="21"/>
          <w:szCs w:val="21"/>
          <w:highlight w:val="none"/>
          <w:lang w:eastAsia="zh-CN"/>
        </w:rPr>
        <w:t>；</w:t>
      </w:r>
    </w:p>
    <w:p w14:paraId="0C675EE0">
      <w:pPr>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420" w:firstLineChars="200"/>
        <w:jc w:val="both"/>
        <w:textAlignment w:val="auto"/>
        <w:outlineLvl w:val="9"/>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（3）、</w:t>
      </w:r>
      <w:r>
        <w:rPr>
          <w:rFonts w:hint="eastAsia" w:ascii="宋体" w:hAnsi="宋体" w:eastAsia="宋体" w:cs="宋体"/>
          <w:b w:val="0"/>
          <w:bCs w:val="0"/>
          <w:color w:val="000000" w:themeColor="text1"/>
          <w:sz w:val="21"/>
          <w:szCs w:val="21"/>
          <w:highlight w:val="none"/>
          <w14:textFill>
            <w14:solidFill>
              <w14:schemeClr w14:val="tx1"/>
            </w14:solidFill>
          </w14:textFill>
        </w:rPr>
        <w:t>小型、微型企业提供有中型企业制造的货物的，视同为中型企业；小型、微型、中型企业提供有大型企业制造的货物的，视同为大型企业。</w:t>
      </w:r>
    </w:p>
    <w:p w14:paraId="093B17B3">
      <w:pPr>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420" w:firstLineChars="200"/>
        <w:jc w:val="both"/>
        <w:textAlignment w:val="auto"/>
        <w:outlineLvl w:val="9"/>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val="en-US" w:eastAsia="zh-CN"/>
        </w:rPr>
        <w:t>（4）、《关于政府采购支持监狱企业发展有关问题的通知》（财库[2014]68号）中所称</w:t>
      </w:r>
      <w:r>
        <w:rPr>
          <w:rFonts w:hint="eastAsia" w:ascii="宋体" w:hAnsi="宋体" w:eastAsia="宋体" w:cs="宋体"/>
          <w:b w:val="0"/>
          <w:bCs w:val="0"/>
          <w:sz w:val="21"/>
          <w:szCs w:val="21"/>
          <w:highlight w:val="none"/>
        </w:rPr>
        <w:t>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2C57719F">
      <w:pPr>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420" w:firstLineChars="200"/>
        <w:jc w:val="both"/>
        <w:textAlignment w:val="auto"/>
        <w:outlineLvl w:val="9"/>
        <w:rPr>
          <w:rFonts w:hint="eastAsia" w:ascii="宋体" w:hAnsi="宋体" w:eastAsia="宋体" w:cs="宋体"/>
          <w:b w:val="0"/>
          <w:bCs w:val="0"/>
          <w:sz w:val="21"/>
          <w:szCs w:val="21"/>
          <w:highlight w:val="none"/>
        </w:rPr>
      </w:pP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5</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残疾人福利性</w:t>
      </w:r>
      <w:r>
        <w:rPr>
          <w:rFonts w:hint="eastAsia" w:ascii="宋体" w:hAnsi="宋体" w:eastAsia="宋体" w:cs="宋体"/>
          <w:color w:val="auto"/>
          <w:szCs w:val="21"/>
          <w:highlight w:val="none"/>
          <w:lang w:eastAsia="zh-CN"/>
        </w:rPr>
        <w:t>企业</w:t>
      </w:r>
      <w:r>
        <w:rPr>
          <w:rFonts w:hint="eastAsia" w:ascii="宋体" w:hAnsi="宋体" w:eastAsia="宋体" w:cs="宋体"/>
          <w:color w:val="auto"/>
          <w:szCs w:val="21"/>
          <w:highlight w:val="none"/>
        </w:rPr>
        <w:t>应符合《关于促进残疾人就业政府采购政策的通知》的规定</w:t>
      </w:r>
      <w:r>
        <w:rPr>
          <w:rFonts w:hint="eastAsia" w:ascii="宋体" w:hAnsi="宋体" w:eastAsia="宋体" w:cs="宋体"/>
          <w:color w:val="auto"/>
          <w:szCs w:val="21"/>
          <w:highlight w:val="none"/>
          <w:lang w:eastAsia="zh-CN"/>
        </w:rPr>
        <w:t>；</w:t>
      </w:r>
    </w:p>
    <w:p w14:paraId="1563DAD6">
      <w:pPr>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420" w:firstLineChars="200"/>
        <w:jc w:val="both"/>
        <w:textAlignment w:val="auto"/>
        <w:outlineLvl w:val="9"/>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（6）中小企业、监狱和</w:t>
      </w:r>
      <w:r>
        <w:rPr>
          <w:rFonts w:hint="eastAsia" w:ascii="宋体" w:hAnsi="宋体" w:eastAsia="宋体" w:cs="宋体"/>
          <w:b w:val="0"/>
          <w:bCs w:val="0"/>
          <w:sz w:val="21"/>
          <w:szCs w:val="21"/>
          <w:highlight w:val="none"/>
        </w:rPr>
        <w:t>戒毒企业</w:t>
      </w:r>
      <w:r>
        <w:rPr>
          <w:rFonts w:hint="eastAsia" w:ascii="宋体" w:hAnsi="宋体" w:eastAsia="宋体" w:cs="宋体"/>
          <w:b w:val="0"/>
          <w:bCs w:val="0"/>
          <w:sz w:val="21"/>
          <w:szCs w:val="21"/>
          <w:highlight w:val="none"/>
          <w:lang w:eastAsia="zh-CN"/>
        </w:rPr>
        <w:t>、</w:t>
      </w:r>
      <w:r>
        <w:rPr>
          <w:rFonts w:hint="eastAsia" w:ascii="宋体" w:hAnsi="宋体" w:eastAsia="宋体" w:cs="宋体"/>
          <w:color w:val="auto"/>
          <w:szCs w:val="21"/>
          <w:highlight w:val="none"/>
        </w:rPr>
        <w:t>残疾人福利性</w:t>
      </w:r>
      <w:r>
        <w:rPr>
          <w:rFonts w:hint="eastAsia" w:ascii="宋体" w:hAnsi="宋体" w:eastAsia="宋体" w:cs="宋体"/>
          <w:color w:val="auto"/>
          <w:szCs w:val="21"/>
          <w:highlight w:val="none"/>
          <w:lang w:eastAsia="zh-CN"/>
        </w:rPr>
        <w:t>企业</w:t>
      </w:r>
      <w:r>
        <w:rPr>
          <w:rFonts w:hint="eastAsia" w:ascii="宋体" w:hAnsi="宋体" w:eastAsia="宋体" w:cs="宋体"/>
          <w:b w:val="0"/>
          <w:bCs w:val="0"/>
          <w:sz w:val="21"/>
          <w:szCs w:val="21"/>
          <w:highlight w:val="none"/>
          <w:lang w:val="en-US" w:eastAsia="zh-CN"/>
        </w:rPr>
        <w:t>评标价的计算：</w:t>
      </w:r>
    </w:p>
    <w:p w14:paraId="4807A303">
      <w:pPr>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420" w:firstLineChars="200"/>
        <w:jc w:val="both"/>
        <w:textAlignment w:val="auto"/>
        <w:outlineLvl w:val="9"/>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val="en-US" w:eastAsia="zh-CN"/>
        </w:rPr>
        <w:t>a、投标人为非联合体投标的情况：</w:t>
      </w:r>
    </w:p>
    <w:p w14:paraId="1CD0A20F">
      <w:pPr>
        <w:keepNext w:val="0"/>
        <w:keepLines w:val="0"/>
        <w:pageBreakBefore w:val="0"/>
        <w:widowControl w:val="0"/>
        <w:kinsoku/>
        <w:wordWrap/>
        <w:overflowPunct/>
        <w:topLinePunct w:val="0"/>
        <w:autoSpaceDE/>
        <w:autoSpaceDN/>
        <w:bidi w:val="0"/>
        <w:adjustRightInd/>
        <w:snapToGrid/>
        <w:spacing w:line="500" w:lineRule="exact"/>
        <w:ind w:right="0" w:rightChars="0"/>
        <w:jc w:val="center"/>
        <w:textAlignment w:val="auto"/>
        <w:outlineLvl w:val="9"/>
        <w:rPr>
          <w:rFonts w:hint="default" w:ascii="Times New Roman" w:hAnsi="Times New Roman" w:eastAsia="宋体" w:cs="Times New Roman"/>
          <w:b/>
          <w:bCs/>
          <w:color w:val="000000" w:themeColor="text1"/>
          <w:sz w:val="21"/>
          <w:szCs w:val="21"/>
          <w:highlight w:val="none"/>
          <w14:textFill>
            <w14:solidFill>
              <w14:schemeClr w14:val="tx1"/>
            </w14:solidFill>
          </w14:textFill>
        </w:rPr>
      </w:pPr>
      <w:r>
        <w:rPr>
          <w:rFonts w:hint="default" w:ascii="Times New Roman" w:hAnsi="Times New Roman" w:eastAsia="宋体" w:cs="Times New Roman"/>
          <w:b/>
          <w:bCs/>
          <w:color w:val="000000" w:themeColor="text1"/>
          <w:sz w:val="21"/>
          <w:szCs w:val="21"/>
          <w:highlight w:val="none"/>
          <w14:textFill>
            <w14:solidFill>
              <w14:schemeClr w14:val="tx1"/>
            </w14:solidFill>
          </w14:textFill>
        </w:rPr>
        <w:t>小型企业，其评标价=投标报价*（1-</w:t>
      </w:r>
      <w:r>
        <w:rPr>
          <w:rFonts w:hint="eastAsia" w:ascii="Times New Roman" w:hAnsi="Times New Roman" w:eastAsia="宋体" w:cs="Times New Roman"/>
          <w:b/>
          <w:bCs/>
          <w:color w:val="000000" w:themeColor="text1"/>
          <w:sz w:val="21"/>
          <w:szCs w:val="21"/>
          <w:highlight w:val="none"/>
          <w:lang w:val="en-US" w:eastAsia="zh-CN"/>
          <w14:textFill>
            <w14:solidFill>
              <w14:schemeClr w14:val="tx1"/>
            </w14:solidFill>
          </w14:textFill>
        </w:rPr>
        <w:t>10</w:t>
      </w:r>
      <w:r>
        <w:rPr>
          <w:rFonts w:hint="default" w:ascii="Times New Roman" w:hAnsi="Times New Roman" w:eastAsia="宋体" w:cs="Times New Roman"/>
          <w:b/>
          <w:bCs/>
          <w:color w:val="000000" w:themeColor="text1"/>
          <w:sz w:val="21"/>
          <w:szCs w:val="21"/>
          <w:highlight w:val="none"/>
          <w14:textFill>
            <w14:solidFill>
              <w14:schemeClr w14:val="tx1"/>
            </w14:solidFill>
          </w14:textFill>
        </w:rPr>
        <w:t>%）；</w:t>
      </w:r>
    </w:p>
    <w:p w14:paraId="5A53BCA4">
      <w:pPr>
        <w:keepNext w:val="0"/>
        <w:keepLines w:val="0"/>
        <w:pageBreakBefore w:val="0"/>
        <w:widowControl w:val="0"/>
        <w:kinsoku/>
        <w:wordWrap/>
        <w:overflowPunct/>
        <w:topLinePunct w:val="0"/>
        <w:autoSpaceDE/>
        <w:autoSpaceDN/>
        <w:bidi w:val="0"/>
        <w:adjustRightInd/>
        <w:snapToGrid/>
        <w:spacing w:line="500" w:lineRule="exact"/>
        <w:ind w:right="0" w:rightChars="0"/>
        <w:jc w:val="center"/>
        <w:textAlignment w:val="auto"/>
        <w:outlineLvl w:val="9"/>
        <w:rPr>
          <w:rFonts w:hint="default" w:ascii="Times New Roman" w:hAnsi="Times New Roman" w:eastAsia="宋体" w:cs="Times New Roman"/>
          <w:b/>
          <w:bCs/>
          <w:color w:val="000000" w:themeColor="text1"/>
          <w:sz w:val="21"/>
          <w:szCs w:val="21"/>
          <w:highlight w:val="none"/>
          <w14:textFill>
            <w14:solidFill>
              <w14:schemeClr w14:val="tx1"/>
            </w14:solidFill>
          </w14:textFill>
        </w:rPr>
      </w:pPr>
      <w:r>
        <w:rPr>
          <w:rFonts w:hint="default" w:ascii="Times New Roman" w:hAnsi="Times New Roman" w:eastAsia="宋体" w:cs="Times New Roman"/>
          <w:b/>
          <w:bCs/>
          <w:color w:val="000000" w:themeColor="text1"/>
          <w:sz w:val="21"/>
          <w:szCs w:val="21"/>
          <w:highlight w:val="none"/>
          <w14:textFill>
            <w14:solidFill>
              <w14:schemeClr w14:val="tx1"/>
            </w14:solidFill>
          </w14:textFill>
        </w:rPr>
        <w:t>微型企业，其评标价=投标报价*（1-</w:t>
      </w:r>
      <w:r>
        <w:rPr>
          <w:rFonts w:hint="eastAsia" w:ascii="Times New Roman" w:hAnsi="Times New Roman" w:eastAsia="宋体" w:cs="Times New Roman"/>
          <w:b/>
          <w:bCs/>
          <w:color w:val="000000" w:themeColor="text1"/>
          <w:sz w:val="21"/>
          <w:szCs w:val="21"/>
          <w:highlight w:val="none"/>
          <w:lang w:val="en-US" w:eastAsia="zh-CN"/>
          <w14:textFill>
            <w14:solidFill>
              <w14:schemeClr w14:val="tx1"/>
            </w14:solidFill>
          </w14:textFill>
        </w:rPr>
        <w:t>10</w:t>
      </w:r>
      <w:r>
        <w:rPr>
          <w:rFonts w:hint="default" w:ascii="Times New Roman" w:hAnsi="Times New Roman" w:eastAsia="宋体" w:cs="Times New Roman"/>
          <w:b/>
          <w:bCs/>
          <w:color w:val="000000" w:themeColor="text1"/>
          <w:sz w:val="21"/>
          <w:szCs w:val="21"/>
          <w:highlight w:val="none"/>
          <w14:textFill>
            <w14:solidFill>
              <w14:schemeClr w14:val="tx1"/>
            </w14:solidFill>
          </w14:textFill>
        </w:rPr>
        <w:t>%）；</w:t>
      </w:r>
    </w:p>
    <w:p w14:paraId="0D8C39C8">
      <w:pPr>
        <w:keepNext w:val="0"/>
        <w:keepLines w:val="0"/>
        <w:pageBreakBefore w:val="0"/>
        <w:widowControl w:val="0"/>
        <w:kinsoku/>
        <w:wordWrap/>
        <w:overflowPunct/>
        <w:topLinePunct w:val="0"/>
        <w:autoSpaceDE/>
        <w:autoSpaceDN/>
        <w:bidi w:val="0"/>
        <w:adjustRightInd/>
        <w:snapToGrid/>
        <w:spacing w:line="500" w:lineRule="exact"/>
        <w:ind w:right="0" w:rightChars="0"/>
        <w:jc w:val="center"/>
        <w:textAlignment w:val="auto"/>
        <w:outlineLvl w:val="9"/>
        <w:rPr>
          <w:rFonts w:hint="default" w:ascii="Times New Roman" w:hAnsi="Times New Roman" w:eastAsia="宋体" w:cs="Times New Roman"/>
          <w:b/>
          <w:bCs/>
          <w:sz w:val="21"/>
          <w:szCs w:val="21"/>
          <w:highlight w:val="none"/>
        </w:rPr>
      </w:pPr>
      <w:r>
        <w:rPr>
          <w:rFonts w:hint="default" w:ascii="Times New Roman" w:hAnsi="Times New Roman" w:eastAsia="宋体" w:cs="Times New Roman"/>
          <w:b/>
          <w:bCs/>
          <w:sz w:val="21"/>
          <w:szCs w:val="21"/>
          <w:highlight w:val="none"/>
        </w:rPr>
        <w:t>监狱企业，其评标价=投标报价*（1-</w:t>
      </w:r>
      <w:r>
        <w:rPr>
          <w:rFonts w:hint="eastAsia" w:cs="Times New Roman"/>
          <w:b/>
          <w:bCs/>
          <w:sz w:val="21"/>
          <w:szCs w:val="21"/>
          <w:highlight w:val="none"/>
          <w:lang w:val="en-US" w:eastAsia="zh-CN"/>
        </w:rPr>
        <w:t>10</w:t>
      </w:r>
      <w:r>
        <w:rPr>
          <w:rFonts w:hint="default" w:ascii="Times New Roman" w:hAnsi="Times New Roman" w:eastAsia="宋体" w:cs="Times New Roman"/>
          <w:b/>
          <w:bCs/>
          <w:sz w:val="21"/>
          <w:szCs w:val="21"/>
          <w:highlight w:val="none"/>
        </w:rPr>
        <w:t>%）</w:t>
      </w:r>
      <w:r>
        <w:rPr>
          <w:rFonts w:hint="eastAsia" w:ascii="Times New Roman" w:hAnsi="Times New Roman" w:eastAsia="宋体" w:cs="Times New Roman"/>
          <w:b/>
          <w:bCs/>
          <w:sz w:val="21"/>
          <w:szCs w:val="21"/>
          <w:highlight w:val="none"/>
          <w:lang w:eastAsia="zh-CN"/>
        </w:rPr>
        <w:t>；</w:t>
      </w:r>
    </w:p>
    <w:p w14:paraId="3F28257C">
      <w:pPr>
        <w:keepNext w:val="0"/>
        <w:keepLines w:val="0"/>
        <w:pageBreakBefore w:val="0"/>
        <w:widowControl w:val="0"/>
        <w:kinsoku/>
        <w:wordWrap/>
        <w:overflowPunct/>
        <w:topLinePunct w:val="0"/>
        <w:autoSpaceDE/>
        <w:autoSpaceDN/>
        <w:bidi w:val="0"/>
        <w:adjustRightInd/>
        <w:snapToGrid/>
        <w:spacing w:line="500" w:lineRule="exact"/>
        <w:ind w:right="0" w:rightChars="0"/>
        <w:jc w:val="center"/>
        <w:textAlignment w:val="auto"/>
        <w:outlineLvl w:val="9"/>
        <w:rPr>
          <w:rFonts w:hint="eastAsia" w:ascii="Times New Roman" w:hAnsi="Times New Roman" w:eastAsia="宋体" w:cs="Times New Roman"/>
          <w:b/>
          <w:bCs/>
          <w:sz w:val="21"/>
          <w:szCs w:val="21"/>
          <w:highlight w:val="none"/>
          <w:lang w:eastAsia="zh-CN"/>
        </w:rPr>
      </w:pPr>
      <w:r>
        <w:rPr>
          <w:rFonts w:hint="eastAsia" w:ascii="Times New Roman" w:hAnsi="Times New Roman" w:eastAsia="宋体" w:cs="Times New Roman"/>
          <w:b/>
          <w:bCs/>
          <w:sz w:val="21"/>
          <w:szCs w:val="21"/>
          <w:highlight w:val="none"/>
          <w:lang w:eastAsia="zh-CN"/>
        </w:rPr>
        <w:t>残疾人福利性企业，其评标价</w:t>
      </w:r>
      <w:r>
        <w:rPr>
          <w:rFonts w:hint="default" w:ascii="Times New Roman" w:hAnsi="Times New Roman" w:eastAsia="宋体" w:cs="Times New Roman"/>
          <w:b/>
          <w:bCs/>
          <w:sz w:val="21"/>
          <w:szCs w:val="21"/>
          <w:highlight w:val="none"/>
        </w:rPr>
        <w:t>=投标报价*（1-</w:t>
      </w:r>
      <w:r>
        <w:rPr>
          <w:rFonts w:hint="eastAsia" w:cs="Times New Roman"/>
          <w:b/>
          <w:bCs/>
          <w:sz w:val="21"/>
          <w:szCs w:val="21"/>
          <w:highlight w:val="none"/>
          <w:lang w:val="en-US" w:eastAsia="zh-CN"/>
        </w:rPr>
        <w:t>10</w:t>
      </w:r>
      <w:r>
        <w:rPr>
          <w:rFonts w:hint="default" w:ascii="Times New Roman" w:hAnsi="Times New Roman" w:eastAsia="宋体" w:cs="Times New Roman"/>
          <w:b/>
          <w:bCs/>
          <w:sz w:val="21"/>
          <w:szCs w:val="21"/>
          <w:highlight w:val="none"/>
        </w:rPr>
        <w:t>%）</w:t>
      </w:r>
      <w:r>
        <w:rPr>
          <w:rFonts w:hint="eastAsia" w:ascii="Times New Roman" w:hAnsi="Times New Roman" w:eastAsia="宋体" w:cs="Times New Roman"/>
          <w:b/>
          <w:bCs/>
          <w:sz w:val="21"/>
          <w:szCs w:val="21"/>
          <w:highlight w:val="none"/>
          <w:lang w:eastAsia="zh-CN"/>
        </w:rPr>
        <w:t>。</w:t>
      </w:r>
    </w:p>
    <w:p w14:paraId="36E8B944">
      <w:pPr>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420" w:firstLineChars="200"/>
        <w:jc w:val="both"/>
        <w:textAlignment w:val="auto"/>
        <w:outlineLvl w:val="9"/>
        <w:rPr>
          <w:rFonts w:hint="default" w:ascii="Times New Roman" w:hAnsi="Times New Roman" w:eastAsia="宋体" w:cs="Times New Roman"/>
          <w:b w:val="0"/>
          <w:bCs w:val="0"/>
          <w:sz w:val="21"/>
          <w:szCs w:val="21"/>
          <w:highlight w:val="none"/>
        </w:rPr>
      </w:pPr>
      <w:r>
        <w:rPr>
          <w:rFonts w:hint="eastAsia" w:ascii="Times New Roman" w:hAnsi="Times New Roman" w:eastAsia="宋体" w:cs="Times New Roman"/>
          <w:b w:val="0"/>
          <w:bCs w:val="0"/>
          <w:sz w:val="21"/>
          <w:szCs w:val="21"/>
          <w:highlight w:val="none"/>
          <w:lang w:val="en-US" w:eastAsia="zh-CN"/>
        </w:rPr>
        <w:t>b、投标人为</w:t>
      </w:r>
      <w:r>
        <w:rPr>
          <w:rFonts w:hint="default" w:ascii="Times New Roman" w:hAnsi="Times New Roman" w:eastAsia="宋体" w:cs="Times New Roman"/>
          <w:b w:val="0"/>
          <w:bCs w:val="0"/>
          <w:sz w:val="21"/>
          <w:szCs w:val="21"/>
          <w:highlight w:val="none"/>
        </w:rPr>
        <w:t>联合体投标</w:t>
      </w:r>
      <w:r>
        <w:rPr>
          <w:rFonts w:hint="eastAsia" w:ascii="Times New Roman" w:hAnsi="Times New Roman" w:eastAsia="宋体" w:cs="Times New Roman"/>
          <w:b w:val="0"/>
          <w:bCs w:val="0"/>
          <w:sz w:val="21"/>
          <w:szCs w:val="21"/>
          <w:highlight w:val="none"/>
          <w:lang w:eastAsia="zh-CN"/>
        </w:rPr>
        <w:t>且联合协议中</w:t>
      </w:r>
      <w:r>
        <w:rPr>
          <w:rFonts w:hint="default" w:ascii="Times New Roman" w:hAnsi="Times New Roman" w:eastAsia="宋体" w:cs="Times New Roman"/>
          <w:b w:val="0"/>
          <w:bCs w:val="0"/>
          <w:sz w:val="21"/>
          <w:szCs w:val="21"/>
          <w:highlight w:val="none"/>
        </w:rPr>
        <w:t>约定小型、微型企业</w:t>
      </w:r>
      <w:r>
        <w:rPr>
          <w:rFonts w:hint="eastAsia" w:ascii="Times New Roman" w:hAnsi="Times New Roman" w:eastAsia="宋体" w:cs="Times New Roman"/>
          <w:b w:val="0"/>
          <w:bCs w:val="0"/>
          <w:sz w:val="21"/>
          <w:szCs w:val="21"/>
          <w:highlight w:val="none"/>
          <w:lang w:eastAsia="zh-CN"/>
        </w:rPr>
        <w:t>、监狱企业、</w:t>
      </w:r>
      <w:r>
        <w:rPr>
          <w:rFonts w:hint="eastAsia" w:ascii="Times New Roman" w:hAnsi="Times New Roman" w:eastAsia="宋体" w:cs="Times New Roman"/>
          <w:b w:val="0"/>
          <w:bCs w:val="0"/>
          <w:color w:val="000000" w:themeColor="text1"/>
          <w:sz w:val="21"/>
          <w:szCs w:val="21"/>
          <w:highlight w:val="none"/>
          <w:lang w:eastAsia="zh-CN"/>
          <w14:textFill>
            <w14:solidFill>
              <w14:schemeClr w14:val="tx1"/>
            </w14:solidFill>
          </w14:textFill>
        </w:rPr>
        <w:t>残疾人福利性单位</w:t>
      </w:r>
      <w:r>
        <w:rPr>
          <w:rFonts w:hint="default" w:ascii="Times New Roman" w:hAnsi="Times New Roman" w:eastAsia="宋体" w:cs="Times New Roman"/>
          <w:b w:val="0"/>
          <w:bCs w:val="0"/>
          <w:sz w:val="21"/>
          <w:szCs w:val="21"/>
          <w:highlight w:val="none"/>
        </w:rPr>
        <w:t>的协议合同金额占到联合体协议合同总金额</w:t>
      </w:r>
      <w:r>
        <w:rPr>
          <w:rFonts w:hint="eastAsia" w:cs="Times New Roman"/>
          <w:b w:val="0"/>
          <w:bCs w:val="0"/>
          <w:sz w:val="21"/>
          <w:szCs w:val="21"/>
          <w:highlight w:val="none"/>
          <w:lang w:val="en-US" w:eastAsia="zh-CN"/>
        </w:rPr>
        <w:t>4</w:t>
      </w:r>
      <w:r>
        <w:rPr>
          <w:rFonts w:hint="default" w:ascii="Times New Roman" w:hAnsi="Times New Roman" w:eastAsia="宋体" w:cs="Times New Roman"/>
          <w:b w:val="0"/>
          <w:bCs w:val="0"/>
          <w:sz w:val="21"/>
          <w:szCs w:val="21"/>
          <w:highlight w:val="none"/>
        </w:rPr>
        <w:t>0%以上的，</w:t>
      </w:r>
      <w:r>
        <w:rPr>
          <w:rFonts w:hint="eastAsia" w:ascii="Times New Roman" w:hAnsi="Times New Roman" w:eastAsia="宋体" w:cs="Times New Roman"/>
          <w:b w:val="0"/>
          <w:bCs w:val="0"/>
          <w:sz w:val="21"/>
          <w:szCs w:val="21"/>
          <w:highlight w:val="none"/>
          <w:lang w:eastAsia="zh-CN"/>
        </w:rPr>
        <w:t>按照以下规则进行评标价计算：</w:t>
      </w:r>
    </w:p>
    <w:p w14:paraId="7F8A9232">
      <w:pPr>
        <w:keepNext w:val="0"/>
        <w:keepLines w:val="0"/>
        <w:pageBreakBefore w:val="0"/>
        <w:widowControl w:val="0"/>
        <w:kinsoku/>
        <w:wordWrap/>
        <w:overflowPunct/>
        <w:topLinePunct w:val="0"/>
        <w:autoSpaceDE/>
        <w:autoSpaceDN/>
        <w:bidi w:val="0"/>
        <w:adjustRightInd/>
        <w:snapToGrid/>
        <w:spacing w:line="500" w:lineRule="exact"/>
        <w:ind w:right="0" w:rightChars="0"/>
        <w:jc w:val="center"/>
        <w:textAlignment w:val="auto"/>
        <w:outlineLvl w:val="9"/>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与小型企业联合的，其评标价=投标报价*（1-</w:t>
      </w:r>
      <w:r>
        <w:rPr>
          <w:rFonts w:hint="eastAsia" w:ascii="Times New Roman" w:hAnsi="Times New Roman" w:eastAsia="宋体" w:cs="Times New Roman"/>
          <w:b/>
          <w:bCs/>
          <w:color w:val="auto"/>
          <w:sz w:val="21"/>
          <w:szCs w:val="21"/>
          <w:highlight w:val="none"/>
          <w:lang w:val="en-US" w:eastAsia="zh-CN"/>
        </w:rPr>
        <w:t>4</w:t>
      </w:r>
      <w:r>
        <w:rPr>
          <w:rFonts w:hint="default" w:ascii="Times New Roman" w:hAnsi="Times New Roman" w:eastAsia="宋体" w:cs="Times New Roman"/>
          <w:b/>
          <w:bCs/>
          <w:color w:val="auto"/>
          <w:sz w:val="21"/>
          <w:szCs w:val="21"/>
          <w:highlight w:val="none"/>
        </w:rPr>
        <w:t>%）；</w:t>
      </w:r>
    </w:p>
    <w:p w14:paraId="1D696A1A">
      <w:pPr>
        <w:keepNext w:val="0"/>
        <w:keepLines w:val="0"/>
        <w:pageBreakBefore w:val="0"/>
        <w:widowControl w:val="0"/>
        <w:kinsoku/>
        <w:wordWrap/>
        <w:overflowPunct/>
        <w:topLinePunct w:val="0"/>
        <w:autoSpaceDE/>
        <w:autoSpaceDN/>
        <w:bidi w:val="0"/>
        <w:adjustRightInd/>
        <w:snapToGrid/>
        <w:spacing w:line="500" w:lineRule="exact"/>
        <w:ind w:right="0" w:rightChars="0"/>
        <w:jc w:val="center"/>
        <w:textAlignment w:val="auto"/>
        <w:outlineLvl w:val="9"/>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与微型企业联合的，其评标价=投标报价*（1-</w:t>
      </w:r>
      <w:r>
        <w:rPr>
          <w:rFonts w:hint="eastAsia" w:ascii="Times New Roman" w:hAnsi="Times New Roman" w:eastAsia="宋体" w:cs="Times New Roman"/>
          <w:b/>
          <w:bCs/>
          <w:color w:val="auto"/>
          <w:sz w:val="21"/>
          <w:szCs w:val="21"/>
          <w:highlight w:val="none"/>
          <w:lang w:val="en-US" w:eastAsia="zh-CN"/>
        </w:rPr>
        <w:t>4</w:t>
      </w:r>
      <w:r>
        <w:rPr>
          <w:rFonts w:hint="default" w:ascii="Times New Roman" w:hAnsi="Times New Roman" w:eastAsia="宋体" w:cs="Times New Roman"/>
          <w:b/>
          <w:bCs/>
          <w:color w:val="auto"/>
          <w:sz w:val="21"/>
          <w:szCs w:val="21"/>
          <w:highlight w:val="none"/>
        </w:rPr>
        <w:t>%）</w:t>
      </w:r>
      <w:r>
        <w:rPr>
          <w:rFonts w:hint="eastAsia" w:ascii="Times New Roman" w:hAnsi="Times New Roman" w:eastAsia="宋体" w:cs="Times New Roman"/>
          <w:b/>
          <w:bCs/>
          <w:color w:val="auto"/>
          <w:sz w:val="21"/>
          <w:szCs w:val="21"/>
          <w:highlight w:val="none"/>
          <w:lang w:eastAsia="zh-CN"/>
        </w:rPr>
        <w:t>；</w:t>
      </w:r>
    </w:p>
    <w:p w14:paraId="5E0AE95B">
      <w:pPr>
        <w:keepNext w:val="0"/>
        <w:keepLines w:val="0"/>
        <w:pageBreakBefore w:val="0"/>
        <w:widowControl w:val="0"/>
        <w:kinsoku/>
        <w:wordWrap/>
        <w:overflowPunct/>
        <w:topLinePunct w:val="0"/>
        <w:autoSpaceDE/>
        <w:autoSpaceDN/>
        <w:bidi w:val="0"/>
        <w:adjustRightInd/>
        <w:snapToGrid/>
        <w:spacing w:line="500" w:lineRule="exact"/>
        <w:ind w:right="0" w:rightChars="0"/>
        <w:jc w:val="center"/>
        <w:textAlignment w:val="auto"/>
        <w:outlineLvl w:val="9"/>
        <w:rPr>
          <w:rFonts w:hint="eastAsia" w:ascii="Times New Roman" w:hAnsi="Times New Roman" w:eastAsia="宋体" w:cs="Times New Roman"/>
          <w:b/>
          <w:bCs/>
          <w:sz w:val="21"/>
          <w:szCs w:val="21"/>
          <w:highlight w:val="none"/>
          <w:lang w:eastAsia="zh-CN"/>
        </w:rPr>
      </w:pPr>
      <w:r>
        <w:rPr>
          <w:rFonts w:hint="default" w:ascii="Times New Roman" w:hAnsi="Times New Roman" w:eastAsia="宋体" w:cs="Times New Roman"/>
          <w:b/>
          <w:bCs/>
          <w:sz w:val="21"/>
          <w:szCs w:val="21"/>
          <w:highlight w:val="none"/>
        </w:rPr>
        <w:t>与监狱企业联合的，其评标价=投标报价*（1-2%）</w:t>
      </w:r>
      <w:r>
        <w:rPr>
          <w:rFonts w:hint="eastAsia" w:ascii="Times New Roman" w:hAnsi="Times New Roman" w:eastAsia="宋体" w:cs="Times New Roman"/>
          <w:b/>
          <w:bCs/>
          <w:sz w:val="21"/>
          <w:szCs w:val="21"/>
          <w:highlight w:val="none"/>
          <w:lang w:eastAsia="zh-CN"/>
        </w:rPr>
        <w:t>；</w:t>
      </w:r>
    </w:p>
    <w:p w14:paraId="1A7D5181">
      <w:pPr>
        <w:keepNext w:val="0"/>
        <w:keepLines w:val="0"/>
        <w:pageBreakBefore w:val="0"/>
        <w:widowControl w:val="0"/>
        <w:kinsoku/>
        <w:wordWrap/>
        <w:overflowPunct/>
        <w:topLinePunct w:val="0"/>
        <w:autoSpaceDE/>
        <w:autoSpaceDN/>
        <w:bidi w:val="0"/>
        <w:adjustRightInd/>
        <w:snapToGrid/>
        <w:spacing w:line="500" w:lineRule="exact"/>
        <w:ind w:right="0" w:rightChars="0"/>
        <w:jc w:val="center"/>
        <w:textAlignment w:val="auto"/>
        <w:outlineLvl w:val="9"/>
        <w:rPr>
          <w:rFonts w:hint="default" w:ascii="Times New Roman" w:hAnsi="Times New Roman" w:eastAsia="宋体" w:cs="Times New Roman"/>
          <w:b/>
          <w:bCs/>
          <w:sz w:val="21"/>
          <w:szCs w:val="21"/>
          <w:highlight w:val="none"/>
          <w:lang w:eastAsia="zh-CN"/>
        </w:rPr>
      </w:pPr>
      <w:r>
        <w:rPr>
          <w:rFonts w:hint="default" w:ascii="Times New Roman" w:hAnsi="Times New Roman" w:eastAsia="宋体" w:cs="Times New Roman"/>
          <w:b/>
          <w:bCs/>
          <w:sz w:val="21"/>
          <w:szCs w:val="21"/>
          <w:highlight w:val="none"/>
        </w:rPr>
        <w:t>与</w:t>
      </w:r>
      <w:r>
        <w:rPr>
          <w:rFonts w:hint="eastAsia" w:ascii="Times New Roman" w:hAnsi="Times New Roman" w:eastAsia="宋体" w:cs="Times New Roman"/>
          <w:b/>
          <w:bCs/>
          <w:sz w:val="21"/>
          <w:szCs w:val="21"/>
          <w:highlight w:val="none"/>
          <w:lang w:eastAsia="zh-CN"/>
        </w:rPr>
        <w:t>残疾人福利性企业</w:t>
      </w:r>
      <w:r>
        <w:rPr>
          <w:rFonts w:hint="default" w:ascii="Times New Roman" w:hAnsi="Times New Roman" w:eastAsia="宋体" w:cs="Times New Roman"/>
          <w:b/>
          <w:bCs/>
          <w:sz w:val="21"/>
          <w:szCs w:val="21"/>
          <w:highlight w:val="none"/>
        </w:rPr>
        <w:t>联合的，其评标价=投标报价*（1-2%）</w:t>
      </w:r>
      <w:r>
        <w:rPr>
          <w:rFonts w:hint="eastAsia" w:ascii="Times New Roman" w:hAnsi="Times New Roman" w:eastAsia="宋体" w:cs="Times New Roman"/>
          <w:b/>
          <w:bCs/>
          <w:sz w:val="21"/>
          <w:szCs w:val="21"/>
          <w:highlight w:val="none"/>
          <w:lang w:eastAsia="zh-CN"/>
        </w:rPr>
        <w:t>。</w:t>
      </w:r>
    </w:p>
    <w:p w14:paraId="68780A73">
      <w:pPr>
        <w:spacing w:line="500" w:lineRule="exact"/>
        <w:ind w:firstLine="420" w:firstLineChars="200"/>
        <w:rPr>
          <w:rFonts w:hint="eastAsia" w:ascii="Times New Roman" w:hAnsi="Times New Roman" w:eastAsia="宋体" w:cs="Times New Roman"/>
          <w:bCs/>
          <w:szCs w:val="21"/>
          <w:highlight w:val="none"/>
        </w:rPr>
      </w:pPr>
      <w:r>
        <w:rPr>
          <w:rFonts w:hint="eastAsia" w:ascii="Times New Roman" w:hAnsi="Times New Roman" w:eastAsia="宋体" w:cs="Times New Roman"/>
          <w:bCs/>
          <w:szCs w:val="21"/>
          <w:highlight w:val="none"/>
        </w:rPr>
        <w:t>（</w:t>
      </w:r>
      <w:r>
        <w:rPr>
          <w:rFonts w:hint="eastAsia" w:ascii="Times New Roman" w:hAnsi="Times New Roman" w:eastAsia="宋体" w:cs="Times New Roman"/>
          <w:bCs/>
          <w:szCs w:val="21"/>
          <w:highlight w:val="none"/>
          <w:lang w:val="en-US" w:eastAsia="zh-CN"/>
        </w:rPr>
        <w:t>7</w:t>
      </w:r>
      <w:r>
        <w:rPr>
          <w:rFonts w:hint="eastAsia" w:ascii="Times New Roman" w:hAnsi="Times New Roman" w:eastAsia="宋体" w:cs="Times New Roman"/>
          <w:bCs/>
          <w:szCs w:val="21"/>
          <w:highlight w:val="none"/>
        </w:rPr>
        <w:t>）</w:t>
      </w:r>
      <w:r>
        <w:rPr>
          <w:rFonts w:hint="eastAsia" w:ascii="宋体" w:hAnsi="宋体" w:eastAsia="宋体" w:cs="Times New Roman"/>
          <w:szCs w:val="21"/>
          <w:highlight w:val="none"/>
        </w:rPr>
        <w:t>残疾人福利性</w:t>
      </w:r>
      <w:r>
        <w:rPr>
          <w:rFonts w:hint="eastAsia" w:ascii="宋体" w:hAnsi="宋体" w:eastAsia="宋体" w:cs="Times New Roman"/>
          <w:szCs w:val="21"/>
          <w:highlight w:val="none"/>
          <w:lang w:eastAsia="zh-CN"/>
        </w:rPr>
        <w:t>企业</w:t>
      </w:r>
      <w:r>
        <w:rPr>
          <w:rFonts w:hint="eastAsia" w:ascii="宋体" w:hAnsi="宋体" w:eastAsia="宋体" w:cs="Times New Roman"/>
          <w:szCs w:val="21"/>
          <w:highlight w:val="none"/>
        </w:rPr>
        <w:t>按照第</w:t>
      </w:r>
      <w:r>
        <w:rPr>
          <w:rFonts w:hint="eastAsia" w:ascii="Times New Roman" w:hAnsi="Times New Roman" w:eastAsia="宋体" w:cs="Times New Roman"/>
          <w:b w:val="0"/>
          <w:bCs w:val="0"/>
          <w:color w:val="auto"/>
          <w:sz w:val="21"/>
          <w:szCs w:val="21"/>
          <w:highlight w:val="none"/>
          <w:lang w:val="en-US" w:eastAsia="zh-CN"/>
        </w:rPr>
        <w:t>2.2.3.2.3</w:t>
      </w:r>
      <w:r>
        <w:rPr>
          <w:rFonts w:hint="eastAsia" w:ascii="宋体" w:hAnsi="宋体" w:eastAsia="宋体" w:cs="Times New Roman"/>
          <w:szCs w:val="21"/>
          <w:highlight w:val="none"/>
        </w:rPr>
        <w:t>条实行，若残疾人福利性单位属于小型、微型企业的，不重复享受政策。</w:t>
      </w:r>
    </w:p>
    <w:p w14:paraId="25949132">
      <w:pPr>
        <w:spacing w:line="500" w:lineRule="exact"/>
        <w:ind w:firstLine="420" w:firstLineChars="200"/>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w:t>
      </w:r>
      <w:r>
        <w:rPr>
          <w:rFonts w:hint="eastAsia" w:ascii="Times New Roman" w:hAnsi="Times New Roman" w:eastAsia="宋体" w:cs="Times New Roman"/>
          <w:szCs w:val="21"/>
          <w:highlight w:val="none"/>
          <w:lang w:val="en-US" w:eastAsia="zh-CN"/>
        </w:rPr>
        <w:t>8</w:t>
      </w:r>
      <w:r>
        <w:rPr>
          <w:rFonts w:hint="eastAsia" w:ascii="Times New Roman" w:hAnsi="Times New Roman" w:eastAsia="宋体" w:cs="Times New Roman"/>
          <w:szCs w:val="21"/>
          <w:highlight w:val="none"/>
        </w:rPr>
        <w:t>）</w:t>
      </w:r>
      <w:r>
        <w:rPr>
          <w:rFonts w:ascii="Times New Roman" w:hAnsi="Times New Roman" w:eastAsia="宋体" w:cs="Times New Roman"/>
          <w:szCs w:val="21"/>
          <w:highlight w:val="none"/>
        </w:rPr>
        <w:t>中小企业、监狱和戒毒企业</w:t>
      </w:r>
      <w:r>
        <w:rPr>
          <w:rFonts w:hint="eastAsia" w:ascii="Times New Roman" w:hAnsi="Times New Roman" w:eastAsia="宋体" w:cs="Times New Roman"/>
          <w:szCs w:val="21"/>
          <w:highlight w:val="none"/>
          <w:lang w:eastAsia="zh-CN"/>
        </w:rPr>
        <w:t>、</w:t>
      </w:r>
      <w:r>
        <w:rPr>
          <w:rFonts w:hint="eastAsia" w:ascii="宋体" w:hAnsi="宋体" w:eastAsia="宋体" w:cs="Times New Roman"/>
          <w:szCs w:val="21"/>
          <w:highlight w:val="none"/>
        </w:rPr>
        <w:t>残疾人福利性</w:t>
      </w:r>
      <w:r>
        <w:rPr>
          <w:rFonts w:hint="eastAsia" w:ascii="宋体" w:hAnsi="宋体" w:eastAsia="宋体" w:cs="Times New Roman"/>
          <w:szCs w:val="21"/>
          <w:highlight w:val="none"/>
          <w:lang w:eastAsia="zh-CN"/>
        </w:rPr>
        <w:t>企业</w:t>
      </w:r>
      <w:r>
        <w:rPr>
          <w:rFonts w:ascii="Times New Roman" w:hAnsi="Times New Roman" w:eastAsia="宋体" w:cs="Times New Roman"/>
          <w:szCs w:val="21"/>
          <w:highlight w:val="none"/>
        </w:rPr>
        <w:t>须提供证明文件：</w:t>
      </w:r>
    </w:p>
    <w:p w14:paraId="10A3E689">
      <w:pPr>
        <w:spacing w:line="50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   </w:t>
      </w:r>
      <w:r>
        <w:rPr>
          <w:rFonts w:hint="eastAsia" w:ascii="Times New Roman" w:hAnsi="Times New Roman" w:eastAsia="宋体" w:cs="Times New Roman"/>
          <w:color w:val="auto"/>
          <w:szCs w:val="21"/>
          <w:highlight w:val="none"/>
        </w:rPr>
        <w:t xml:space="preserve"> a、</w:t>
      </w:r>
      <w:r>
        <w:rPr>
          <w:rFonts w:ascii="Times New Roman" w:hAnsi="Times New Roman" w:eastAsia="宋体" w:cs="Times New Roman"/>
          <w:color w:val="auto"/>
          <w:szCs w:val="21"/>
          <w:highlight w:val="none"/>
        </w:rPr>
        <w:t>中小企业应符合《</w:t>
      </w:r>
      <w:r>
        <w:rPr>
          <w:rFonts w:hint="eastAsia" w:ascii="Times New Roman" w:hAnsi="Times New Roman" w:eastAsia="宋体" w:cs="Times New Roman"/>
          <w:color w:val="auto"/>
          <w:szCs w:val="21"/>
          <w:highlight w:val="none"/>
        </w:rPr>
        <w:t>政府采购促进中小企业发展管理办法</w:t>
      </w:r>
      <w:r>
        <w:rPr>
          <w:rFonts w:ascii="Times New Roman" w:hAnsi="Times New Roman" w:eastAsia="宋体" w:cs="Times New Roman"/>
          <w:color w:val="auto"/>
          <w:szCs w:val="21"/>
          <w:highlight w:val="none"/>
        </w:rPr>
        <w:t>》的规定，并提供《中小企业声明函》（提供其他中小企业制造的货物时还需提供货物制造商的声明函）。</w:t>
      </w:r>
    </w:p>
    <w:p w14:paraId="7B2661F8">
      <w:pPr>
        <w:spacing w:line="500" w:lineRule="exact"/>
        <w:ind w:firstLine="420"/>
        <w:rPr>
          <w:rFonts w:hint="eastAsia" w:ascii="Times New Roman" w:hAnsi="Times New Roman" w:eastAsia="宋体" w:cs="Times New Roman"/>
          <w:szCs w:val="21"/>
          <w:highlight w:val="none"/>
        </w:rPr>
      </w:pPr>
      <w:r>
        <w:rPr>
          <w:rFonts w:hint="eastAsia" w:ascii="Times New Roman" w:hAnsi="Times New Roman" w:eastAsia="宋体" w:cs="Times New Roman"/>
          <w:szCs w:val="21"/>
          <w:highlight w:val="none"/>
        </w:rPr>
        <w:t>b、</w:t>
      </w:r>
      <w:r>
        <w:rPr>
          <w:rFonts w:ascii="Times New Roman" w:hAnsi="Times New Roman" w:eastAsia="宋体" w:cs="Times New Roman"/>
          <w:szCs w:val="21"/>
          <w:highlight w:val="none"/>
        </w:rPr>
        <w:t>监狱和戒毒企业应符合《财政部 司法部关于政府采购支持监狱企业发展有关问题的通知》，并提供由省级以上监狱管理局、戒毒管理局(含新疆生产建设兵团)出具的属于监狱企业的证明文件。</w:t>
      </w:r>
    </w:p>
    <w:p w14:paraId="0C75CC47">
      <w:pPr>
        <w:spacing w:line="500" w:lineRule="exact"/>
        <w:ind w:firstLine="420"/>
        <w:rPr>
          <w:rFonts w:hint="eastAsia"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c、</w:t>
      </w:r>
      <w:r>
        <w:rPr>
          <w:rFonts w:hint="eastAsia" w:ascii="宋体" w:hAnsi="宋体" w:eastAsia="宋体" w:cs="Times New Roman"/>
          <w:color w:val="auto"/>
          <w:szCs w:val="21"/>
          <w:highlight w:val="none"/>
        </w:rPr>
        <w:t>残疾人福利性</w:t>
      </w:r>
      <w:r>
        <w:rPr>
          <w:rFonts w:hint="eastAsia" w:ascii="宋体" w:hAnsi="宋体" w:eastAsia="宋体" w:cs="Times New Roman"/>
          <w:color w:val="auto"/>
          <w:szCs w:val="21"/>
          <w:highlight w:val="none"/>
          <w:lang w:eastAsia="zh-CN"/>
        </w:rPr>
        <w:t>企业</w:t>
      </w:r>
      <w:r>
        <w:rPr>
          <w:rFonts w:hint="eastAsia" w:ascii="宋体" w:hAnsi="宋体" w:eastAsia="宋体" w:cs="Times New Roman"/>
          <w:color w:val="auto"/>
          <w:szCs w:val="21"/>
          <w:highlight w:val="none"/>
        </w:rPr>
        <w:t>应</w:t>
      </w:r>
      <w:r>
        <w:rPr>
          <w:rFonts w:hint="eastAsia" w:ascii="宋体" w:hAnsi="宋体" w:eastAsia="宋体" w:cs="Times New Roman"/>
          <w:color w:val="auto"/>
          <w:szCs w:val="21"/>
          <w:highlight w:val="none"/>
          <w:lang w:eastAsia="zh-CN"/>
        </w:rPr>
        <w:t>按照</w:t>
      </w:r>
      <w:r>
        <w:rPr>
          <w:rFonts w:ascii="Times New Roman" w:hAnsi="Times New Roman" w:eastAsia="宋体" w:cs="Times New Roman"/>
          <w:color w:val="auto"/>
          <w:szCs w:val="21"/>
          <w:highlight w:val="none"/>
        </w:rPr>
        <w:t>《</w:t>
      </w:r>
      <w:r>
        <w:rPr>
          <w:rFonts w:hint="eastAsia" w:ascii="Times New Roman" w:hAnsi="Times New Roman" w:eastAsia="宋体" w:cs="Times New Roman"/>
          <w:color w:val="auto"/>
          <w:szCs w:val="21"/>
          <w:highlight w:val="none"/>
        </w:rPr>
        <w:t>关于促进残疾人就业政府采购政策的通知</w:t>
      </w:r>
      <w:r>
        <w:rPr>
          <w:rFonts w:ascii="Times New Roman" w:hAnsi="Times New Roman" w:eastAsia="宋体" w:cs="Times New Roman"/>
          <w:color w:val="auto"/>
          <w:szCs w:val="21"/>
          <w:highlight w:val="none"/>
        </w:rPr>
        <w:t>》</w:t>
      </w:r>
      <w:r>
        <w:rPr>
          <w:rFonts w:hint="eastAsia" w:ascii="Times New Roman" w:hAnsi="Times New Roman" w:eastAsia="宋体" w:cs="Times New Roman"/>
          <w:color w:val="auto"/>
          <w:szCs w:val="21"/>
          <w:highlight w:val="none"/>
        </w:rPr>
        <w:t>的规定，并提供《残疾人福利性单位声明函》</w:t>
      </w:r>
    </w:p>
    <w:p w14:paraId="1C051052">
      <w:pPr>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420" w:firstLineChars="200"/>
        <w:jc w:val="both"/>
        <w:textAlignment w:val="auto"/>
        <w:outlineLvl w:val="9"/>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2.2.3.2.4 </w:t>
      </w:r>
      <w:r>
        <w:rPr>
          <w:rFonts w:hint="eastAsia" w:ascii="宋体" w:hAnsi="宋体" w:eastAsia="宋体" w:cs="宋体"/>
          <w:b w:val="0"/>
          <w:bCs w:val="0"/>
          <w:sz w:val="21"/>
          <w:szCs w:val="21"/>
          <w:highlight w:val="none"/>
        </w:rPr>
        <w:t>对于不享受以上政策性优惠价格调整的，其评标价=按照以上</w:t>
      </w:r>
      <w:r>
        <w:rPr>
          <w:rFonts w:hint="eastAsia" w:ascii="宋体" w:hAnsi="宋体" w:eastAsia="宋体" w:cs="宋体"/>
          <w:b w:val="0"/>
          <w:bCs w:val="0"/>
          <w:sz w:val="21"/>
          <w:szCs w:val="21"/>
          <w:highlight w:val="none"/>
          <w:lang w:val="en-US" w:eastAsia="zh-CN"/>
        </w:rPr>
        <w:t>2.2.3.2.1</w:t>
      </w:r>
      <w:r>
        <w:rPr>
          <w:rFonts w:hint="eastAsia" w:ascii="宋体" w:hAnsi="宋体" w:eastAsia="宋体" w:cs="宋体"/>
          <w:b w:val="0"/>
          <w:bCs w:val="0"/>
          <w:sz w:val="21"/>
          <w:szCs w:val="21"/>
          <w:highlight w:val="none"/>
        </w:rPr>
        <w:t>条款修正后的投标总价</w:t>
      </w:r>
      <w:r>
        <w:rPr>
          <w:rFonts w:hint="eastAsia" w:ascii="宋体" w:hAnsi="宋体" w:eastAsia="宋体" w:cs="宋体"/>
          <w:b w:val="0"/>
          <w:bCs w:val="0"/>
          <w:sz w:val="21"/>
          <w:szCs w:val="21"/>
          <w:highlight w:val="none"/>
          <w:lang w:eastAsia="zh-CN"/>
        </w:rPr>
        <w:t>。</w:t>
      </w:r>
    </w:p>
    <w:p w14:paraId="7FE04FCF">
      <w:pPr>
        <w:keepNext w:val="0"/>
        <w:keepLines w:val="0"/>
        <w:pageBreakBefore w:val="0"/>
        <w:widowControl w:val="0"/>
        <w:kinsoku/>
        <w:wordWrap/>
        <w:overflowPunct/>
        <w:topLinePunct w:val="0"/>
        <w:autoSpaceDE/>
        <w:autoSpaceDN/>
        <w:bidi w:val="0"/>
        <w:adjustRightInd/>
        <w:snapToGrid/>
        <w:spacing w:line="500" w:lineRule="exact"/>
        <w:ind w:right="0" w:rightChars="0" w:firstLine="420" w:firstLineChars="200"/>
        <w:jc w:val="both"/>
        <w:textAlignment w:val="auto"/>
        <w:outlineLvl w:val="9"/>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val="en-US" w:eastAsia="zh-CN"/>
        </w:rPr>
        <w:t>2.</w:t>
      </w:r>
      <w:r>
        <w:rPr>
          <w:rFonts w:hint="eastAsia" w:ascii="宋体" w:hAnsi="宋体" w:eastAsia="宋体" w:cs="宋体"/>
          <w:b w:val="0"/>
          <w:bCs w:val="0"/>
          <w:sz w:val="21"/>
          <w:szCs w:val="21"/>
          <w:highlight w:val="none"/>
        </w:rPr>
        <w:t>2.3.</w:t>
      </w:r>
      <w:r>
        <w:rPr>
          <w:rFonts w:hint="eastAsia" w:ascii="宋体" w:hAnsi="宋体" w:eastAsia="宋体" w:cs="宋体"/>
          <w:b w:val="0"/>
          <w:bCs w:val="0"/>
          <w:sz w:val="21"/>
          <w:szCs w:val="21"/>
          <w:highlight w:val="none"/>
          <w:lang w:val="en-US" w:eastAsia="zh-CN"/>
        </w:rPr>
        <w:t xml:space="preserve">3 </w:t>
      </w:r>
      <w:r>
        <w:rPr>
          <w:rFonts w:hint="eastAsia" w:ascii="宋体" w:hAnsi="宋体" w:eastAsia="宋体" w:cs="宋体"/>
          <w:b w:val="0"/>
          <w:bCs w:val="0"/>
          <w:sz w:val="21"/>
          <w:szCs w:val="21"/>
          <w:highlight w:val="none"/>
        </w:rPr>
        <w:t>由评标委员会独立地根据各项因素的评分标准，结合每个</w:t>
      </w:r>
      <w:r>
        <w:rPr>
          <w:rFonts w:hint="eastAsia" w:ascii="宋体" w:hAnsi="宋体" w:eastAsia="宋体" w:cs="宋体"/>
          <w:b w:val="0"/>
          <w:bCs w:val="0"/>
          <w:sz w:val="21"/>
          <w:szCs w:val="21"/>
          <w:highlight w:val="none"/>
          <w:lang w:eastAsia="zh-CN"/>
        </w:rPr>
        <w:t>投标人</w:t>
      </w:r>
      <w:r>
        <w:rPr>
          <w:rFonts w:hint="eastAsia" w:ascii="宋体" w:hAnsi="宋体" w:eastAsia="宋体" w:cs="宋体"/>
          <w:b w:val="0"/>
          <w:bCs w:val="0"/>
          <w:sz w:val="21"/>
          <w:szCs w:val="21"/>
          <w:highlight w:val="none"/>
        </w:rPr>
        <w:t>的实际情况，分别就投标报价以外的各项评审因素对每个</w:t>
      </w:r>
      <w:r>
        <w:rPr>
          <w:rFonts w:hint="eastAsia" w:ascii="宋体" w:hAnsi="宋体" w:eastAsia="宋体" w:cs="宋体"/>
          <w:b w:val="0"/>
          <w:bCs w:val="0"/>
          <w:sz w:val="21"/>
          <w:szCs w:val="21"/>
          <w:highlight w:val="none"/>
          <w:lang w:eastAsia="zh-CN"/>
        </w:rPr>
        <w:t>投标人</w:t>
      </w:r>
      <w:r>
        <w:rPr>
          <w:rFonts w:hint="eastAsia" w:ascii="宋体" w:hAnsi="宋体" w:eastAsia="宋体" w:cs="宋体"/>
          <w:b w:val="0"/>
          <w:bCs w:val="0"/>
          <w:sz w:val="21"/>
          <w:szCs w:val="21"/>
          <w:highlight w:val="none"/>
        </w:rPr>
        <w:t>独立打分。</w:t>
      </w:r>
    </w:p>
    <w:p w14:paraId="4A950129">
      <w:pPr>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420" w:firstLineChars="200"/>
        <w:jc w:val="both"/>
        <w:textAlignment w:val="auto"/>
        <w:outlineLvl w:val="9"/>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val="en-US" w:eastAsia="zh-CN"/>
        </w:rPr>
        <w:t>2.</w:t>
      </w:r>
      <w:r>
        <w:rPr>
          <w:rFonts w:hint="eastAsia" w:ascii="宋体" w:hAnsi="宋体" w:eastAsia="宋体" w:cs="宋体"/>
          <w:b w:val="0"/>
          <w:bCs w:val="0"/>
          <w:sz w:val="21"/>
          <w:szCs w:val="21"/>
          <w:highlight w:val="none"/>
        </w:rPr>
        <w:t>2.3.4</w:t>
      </w:r>
      <w:r>
        <w:rPr>
          <w:rFonts w:hint="eastAsia" w:ascii="宋体" w:hAnsi="宋体" w:eastAsia="宋体" w:cs="宋体"/>
          <w:b w:val="0"/>
          <w:bCs w:val="0"/>
          <w:sz w:val="21"/>
          <w:szCs w:val="21"/>
          <w:highlight w:val="none"/>
          <w:lang w:val="en-US" w:eastAsia="zh-CN"/>
        </w:rPr>
        <w:t xml:space="preserve"> </w:t>
      </w:r>
      <w:r>
        <w:rPr>
          <w:rFonts w:hint="eastAsia" w:ascii="宋体" w:hAnsi="宋体" w:eastAsia="宋体" w:cs="宋体"/>
          <w:b w:val="0"/>
          <w:bCs w:val="0"/>
          <w:sz w:val="21"/>
          <w:szCs w:val="21"/>
          <w:highlight w:val="none"/>
        </w:rPr>
        <w:t>将所有评审因素所得实际评审分数相加，即为该</w:t>
      </w:r>
      <w:r>
        <w:rPr>
          <w:rFonts w:hint="eastAsia" w:ascii="宋体" w:hAnsi="宋体" w:eastAsia="宋体" w:cs="宋体"/>
          <w:b w:val="0"/>
          <w:bCs w:val="0"/>
          <w:sz w:val="21"/>
          <w:szCs w:val="21"/>
          <w:highlight w:val="none"/>
          <w:lang w:eastAsia="zh-CN"/>
        </w:rPr>
        <w:t>投标人</w:t>
      </w:r>
      <w:r>
        <w:rPr>
          <w:rFonts w:hint="eastAsia" w:ascii="宋体" w:hAnsi="宋体" w:eastAsia="宋体" w:cs="宋体"/>
          <w:b w:val="0"/>
          <w:bCs w:val="0"/>
          <w:sz w:val="21"/>
          <w:szCs w:val="21"/>
          <w:highlight w:val="none"/>
        </w:rPr>
        <w:t>的评审总得分。评审总得分按下列公式计算：</w:t>
      </w:r>
    </w:p>
    <w:p w14:paraId="43FC5091">
      <w:pPr>
        <w:keepNext w:val="0"/>
        <w:keepLines w:val="0"/>
        <w:pageBreakBefore w:val="0"/>
        <w:widowControl w:val="0"/>
        <w:kinsoku/>
        <w:wordWrap/>
        <w:overflowPunct/>
        <w:topLinePunct w:val="0"/>
        <w:autoSpaceDE/>
        <w:autoSpaceDN/>
        <w:bidi w:val="0"/>
        <w:adjustRightInd/>
        <w:snapToGrid/>
        <w:spacing w:line="500" w:lineRule="exact"/>
        <w:ind w:right="0" w:rightChars="0"/>
        <w:jc w:val="center"/>
        <w:textAlignment w:val="auto"/>
        <w:outlineLvl w:val="9"/>
        <w:rPr>
          <w:rFonts w:hint="default" w:ascii="Times New Roman" w:hAnsi="Times New Roman" w:eastAsia="宋体" w:cs="Times New Roman"/>
          <w:b/>
          <w:bCs/>
          <w:sz w:val="21"/>
          <w:szCs w:val="21"/>
          <w:highlight w:val="none"/>
        </w:rPr>
      </w:pPr>
      <w:r>
        <w:rPr>
          <w:rFonts w:hint="default" w:ascii="Times New Roman" w:hAnsi="Times New Roman" w:eastAsia="宋体" w:cs="Times New Roman"/>
          <w:b/>
          <w:bCs/>
          <w:sz w:val="21"/>
          <w:szCs w:val="21"/>
          <w:highlight w:val="none"/>
        </w:rPr>
        <w:t>评审总得分＝F1×A1＋F2×A2＋……＋Fn×An</w:t>
      </w:r>
    </w:p>
    <w:p w14:paraId="00A01CEE">
      <w:pPr>
        <w:keepNext w:val="0"/>
        <w:keepLines w:val="0"/>
        <w:pageBreakBefore w:val="0"/>
        <w:widowControl w:val="0"/>
        <w:kinsoku/>
        <w:wordWrap/>
        <w:overflowPunct/>
        <w:topLinePunct w:val="0"/>
        <w:autoSpaceDE/>
        <w:autoSpaceDN/>
        <w:bidi w:val="0"/>
        <w:adjustRightInd/>
        <w:snapToGrid/>
        <w:spacing w:line="500" w:lineRule="exact"/>
        <w:ind w:right="0" w:rightChars="0"/>
        <w:jc w:val="center"/>
        <w:textAlignment w:val="auto"/>
        <w:outlineLvl w:val="9"/>
        <w:rPr>
          <w:rFonts w:hint="default" w:ascii="Times New Roman" w:hAnsi="Times New Roman" w:eastAsia="宋体" w:cs="Times New Roman"/>
          <w:b/>
          <w:bCs/>
          <w:sz w:val="21"/>
          <w:szCs w:val="21"/>
          <w:highlight w:val="none"/>
        </w:rPr>
      </w:pPr>
      <w:r>
        <w:rPr>
          <w:rFonts w:hint="default" w:ascii="Times New Roman" w:hAnsi="Times New Roman" w:eastAsia="宋体" w:cs="Times New Roman"/>
          <w:b/>
          <w:bCs/>
          <w:sz w:val="21"/>
          <w:szCs w:val="21"/>
          <w:highlight w:val="none"/>
        </w:rPr>
        <w:t>F1、F2……Fn分别为各项评审因素的汇总得分；</w:t>
      </w:r>
    </w:p>
    <w:p w14:paraId="25A1CD4B">
      <w:pPr>
        <w:keepNext w:val="0"/>
        <w:keepLines w:val="0"/>
        <w:pageBreakBefore w:val="0"/>
        <w:widowControl w:val="0"/>
        <w:kinsoku/>
        <w:wordWrap/>
        <w:overflowPunct/>
        <w:topLinePunct w:val="0"/>
        <w:autoSpaceDE/>
        <w:autoSpaceDN/>
        <w:bidi w:val="0"/>
        <w:adjustRightInd/>
        <w:snapToGrid/>
        <w:spacing w:line="500" w:lineRule="exact"/>
        <w:ind w:right="0" w:rightChars="0"/>
        <w:jc w:val="center"/>
        <w:textAlignment w:val="auto"/>
        <w:outlineLvl w:val="9"/>
        <w:rPr>
          <w:rFonts w:hint="default" w:ascii="Times New Roman" w:hAnsi="Times New Roman" w:eastAsia="宋体" w:cs="Times New Roman"/>
          <w:b/>
          <w:bCs/>
          <w:sz w:val="21"/>
          <w:szCs w:val="21"/>
          <w:highlight w:val="none"/>
        </w:rPr>
      </w:pPr>
      <w:r>
        <w:rPr>
          <w:rFonts w:hint="default" w:ascii="Times New Roman" w:hAnsi="Times New Roman" w:eastAsia="宋体" w:cs="Times New Roman"/>
          <w:b/>
          <w:bCs/>
          <w:sz w:val="21"/>
          <w:szCs w:val="21"/>
          <w:highlight w:val="none"/>
        </w:rPr>
        <w:t>A1、A2……An分别为各项评审因素所占的权重</w:t>
      </w:r>
      <w:r>
        <w:rPr>
          <w:rFonts w:hint="eastAsia" w:ascii="Times New Roman" w:hAnsi="Times New Roman" w:eastAsia="宋体" w:cs="Times New Roman"/>
          <w:b/>
          <w:bCs/>
          <w:sz w:val="21"/>
          <w:szCs w:val="21"/>
          <w:highlight w:val="none"/>
          <w:lang w:eastAsia="zh-CN"/>
        </w:rPr>
        <w:t>（</w:t>
      </w:r>
      <w:r>
        <w:rPr>
          <w:rFonts w:hint="default" w:ascii="Times New Roman" w:hAnsi="Times New Roman" w:eastAsia="宋体" w:cs="Times New Roman"/>
          <w:b/>
          <w:bCs/>
          <w:sz w:val="21"/>
          <w:szCs w:val="21"/>
          <w:highlight w:val="none"/>
        </w:rPr>
        <w:t>A1＋A2＋……＋An＝1</w:t>
      </w:r>
      <w:r>
        <w:rPr>
          <w:rFonts w:hint="eastAsia" w:ascii="Times New Roman" w:hAnsi="Times New Roman" w:eastAsia="宋体" w:cs="Times New Roman"/>
          <w:b/>
          <w:bCs/>
          <w:sz w:val="21"/>
          <w:szCs w:val="21"/>
          <w:highlight w:val="none"/>
          <w:lang w:eastAsia="zh-CN"/>
        </w:rPr>
        <w:t>）</w:t>
      </w:r>
      <w:r>
        <w:rPr>
          <w:rFonts w:hint="default" w:ascii="Times New Roman" w:hAnsi="Times New Roman" w:eastAsia="宋体" w:cs="Times New Roman"/>
          <w:b/>
          <w:bCs/>
          <w:sz w:val="21"/>
          <w:szCs w:val="21"/>
          <w:highlight w:val="none"/>
        </w:rPr>
        <w:t>。</w:t>
      </w:r>
    </w:p>
    <w:p w14:paraId="5FD22153">
      <w:pPr>
        <w:keepNext w:val="0"/>
        <w:keepLines w:val="0"/>
        <w:pageBreakBefore w:val="0"/>
        <w:widowControl w:val="0"/>
        <w:kinsoku/>
        <w:wordWrap/>
        <w:overflowPunct/>
        <w:topLinePunct w:val="0"/>
        <w:autoSpaceDE/>
        <w:autoSpaceDN/>
        <w:bidi w:val="0"/>
        <w:adjustRightInd/>
        <w:snapToGrid/>
        <w:spacing w:line="500" w:lineRule="exact"/>
        <w:ind w:right="0" w:rightChars="0"/>
        <w:jc w:val="center"/>
        <w:textAlignment w:val="auto"/>
        <w:outlineLvl w:val="9"/>
        <w:rPr>
          <w:rFonts w:hint="default" w:ascii="Times New Roman" w:hAnsi="Times New Roman" w:eastAsia="宋体" w:cs="Times New Roman"/>
          <w:b w:val="0"/>
          <w:bCs w:val="0"/>
          <w:sz w:val="21"/>
          <w:szCs w:val="21"/>
          <w:highlight w:val="none"/>
        </w:rPr>
      </w:pPr>
      <w:r>
        <w:rPr>
          <w:rFonts w:hint="default" w:ascii="Times New Roman" w:hAnsi="Times New Roman" w:eastAsia="宋体" w:cs="Times New Roman"/>
          <w:b/>
          <w:bCs/>
          <w:sz w:val="21"/>
          <w:szCs w:val="21"/>
          <w:highlight w:val="none"/>
        </w:rPr>
        <w:t>评审过程中，不得去掉报价中的最高报价和最低报价。</w:t>
      </w:r>
    </w:p>
    <w:p w14:paraId="42724531">
      <w:pPr>
        <w:keepNext w:val="0"/>
        <w:keepLines w:val="0"/>
        <w:pageBreakBefore w:val="0"/>
        <w:widowControl w:val="0"/>
        <w:kinsoku/>
        <w:wordWrap/>
        <w:overflowPunct/>
        <w:topLinePunct w:val="0"/>
        <w:autoSpaceDE/>
        <w:autoSpaceDN/>
        <w:bidi w:val="0"/>
        <w:adjustRightInd/>
        <w:snapToGrid/>
        <w:spacing w:line="500" w:lineRule="exact"/>
        <w:ind w:right="0" w:rightChars="0" w:firstLine="420" w:firstLineChars="200"/>
        <w:jc w:val="both"/>
        <w:textAlignment w:val="auto"/>
        <w:outlineLvl w:val="9"/>
        <w:rPr>
          <w:rFonts w:hint="default"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2.</w:t>
      </w:r>
      <w:r>
        <w:rPr>
          <w:rFonts w:hint="default" w:ascii="宋体" w:hAnsi="宋体" w:eastAsia="宋体" w:cs="宋体"/>
          <w:b w:val="0"/>
          <w:bCs w:val="0"/>
          <w:sz w:val="21"/>
          <w:szCs w:val="21"/>
          <w:highlight w:val="none"/>
          <w:lang w:val="en-US" w:eastAsia="zh-CN"/>
        </w:rPr>
        <w:t>2.</w:t>
      </w:r>
      <w:r>
        <w:rPr>
          <w:rFonts w:hint="eastAsia" w:ascii="宋体" w:hAnsi="宋体" w:eastAsia="宋体" w:cs="宋体"/>
          <w:b w:val="0"/>
          <w:bCs w:val="0"/>
          <w:sz w:val="21"/>
          <w:szCs w:val="21"/>
          <w:highlight w:val="none"/>
          <w:lang w:val="en-US" w:eastAsia="zh-CN"/>
        </w:rPr>
        <w:t>3.5</w:t>
      </w:r>
      <w:r>
        <w:rPr>
          <w:rFonts w:hint="default" w:ascii="宋体" w:hAnsi="宋体" w:eastAsia="宋体" w:cs="宋体"/>
          <w:b w:val="0"/>
          <w:bCs w:val="0"/>
          <w:sz w:val="21"/>
          <w:szCs w:val="21"/>
          <w:highlight w:val="none"/>
          <w:lang w:val="en-US" w:eastAsia="zh-CN"/>
        </w:rPr>
        <w:t>非实质性偏离是指投标文件在实质上响应招标文件的要求，但在个别地方存在一些不规则、不一致、不完整的内容，并且澄清、说明或者补正这些内容不会改变投标文件的实质性内容。以下情况属于非实质性偏离：</w:t>
      </w:r>
    </w:p>
    <w:p w14:paraId="6EB5DFDE">
      <w:pPr>
        <w:keepNext w:val="0"/>
        <w:keepLines w:val="0"/>
        <w:pageBreakBefore w:val="0"/>
        <w:widowControl w:val="0"/>
        <w:kinsoku/>
        <w:wordWrap/>
        <w:overflowPunct/>
        <w:topLinePunct w:val="0"/>
        <w:autoSpaceDE/>
        <w:autoSpaceDN/>
        <w:bidi w:val="0"/>
        <w:adjustRightInd/>
        <w:snapToGrid/>
        <w:spacing w:line="500" w:lineRule="exact"/>
        <w:ind w:right="0" w:rightChars="0" w:firstLine="420" w:firstLineChars="200"/>
        <w:jc w:val="both"/>
        <w:textAlignment w:val="auto"/>
        <w:outlineLvl w:val="9"/>
        <w:rPr>
          <w:rFonts w:hint="default" w:ascii="宋体" w:hAnsi="宋体" w:eastAsia="宋体" w:cs="宋体"/>
          <w:b w:val="0"/>
          <w:bCs w:val="0"/>
          <w:sz w:val="21"/>
          <w:szCs w:val="21"/>
          <w:highlight w:val="none"/>
          <w:lang w:val="en-US" w:eastAsia="zh-CN"/>
        </w:rPr>
      </w:pPr>
      <w:r>
        <w:rPr>
          <w:rFonts w:hint="default" w:ascii="宋体" w:hAnsi="宋体" w:eastAsia="宋体" w:cs="宋体"/>
          <w:b w:val="0"/>
          <w:bCs w:val="0"/>
          <w:sz w:val="21"/>
          <w:szCs w:val="21"/>
          <w:highlight w:val="none"/>
          <w:lang w:val="en-US" w:eastAsia="zh-CN"/>
        </w:rPr>
        <w:t>（1）文字表述的内容含义不明确；</w:t>
      </w:r>
    </w:p>
    <w:p w14:paraId="7BA682A1">
      <w:pPr>
        <w:keepNext w:val="0"/>
        <w:keepLines w:val="0"/>
        <w:pageBreakBefore w:val="0"/>
        <w:widowControl w:val="0"/>
        <w:kinsoku/>
        <w:wordWrap/>
        <w:overflowPunct/>
        <w:topLinePunct w:val="0"/>
        <w:autoSpaceDE/>
        <w:autoSpaceDN/>
        <w:bidi w:val="0"/>
        <w:adjustRightInd/>
        <w:snapToGrid/>
        <w:spacing w:line="500" w:lineRule="exact"/>
        <w:ind w:right="0" w:rightChars="0" w:firstLine="420" w:firstLineChars="200"/>
        <w:jc w:val="both"/>
        <w:textAlignment w:val="auto"/>
        <w:outlineLvl w:val="9"/>
        <w:rPr>
          <w:rFonts w:hint="default" w:ascii="宋体" w:hAnsi="宋体" w:eastAsia="宋体" w:cs="宋体"/>
          <w:b w:val="0"/>
          <w:bCs w:val="0"/>
          <w:sz w:val="21"/>
          <w:szCs w:val="21"/>
          <w:highlight w:val="none"/>
          <w:lang w:val="en-US" w:eastAsia="zh-CN"/>
        </w:rPr>
      </w:pPr>
      <w:r>
        <w:rPr>
          <w:rFonts w:hint="default" w:ascii="宋体" w:hAnsi="宋体" w:eastAsia="宋体" w:cs="宋体"/>
          <w:b w:val="0"/>
          <w:bCs w:val="0"/>
          <w:sz w:val="21"/>
          <w:szCs w:val="21"/>
          <w:highlight w:val="none"/>
          <w:lang w:val="en-US" w:eastAsia="zh-CN"/>
        </w:rPr>
        <w:t>（2）同类问题表述不一致；</w:t>
      </w:r>
    </w:p>
    <w:p w14:paraId="27B7342A">
      <w:pPr>
        <w:keepNext w:val="0"/>
        <w:keepLines w:val="0"/>
        <w:pageBreakBefore w:val="0"/>
        <w:widowControl w:val="0"/>
        <w:kinsoku/>
        <w:wordWrap/>
        <w:overflowPunct/>
        <w:topLinePunct w:val="0"/>
        <w:autoSpaceDE/>
        <w:autoSpaceDN/>
        <w:bidi w:val="0"/>
        <w:adjustRightInd/>
        <w:snapToGrid/>
        <w:spacing w:line="500" w:lineRule="exact"/>
        <w:ind w:right="0" w:rightChars="0" w:firstLine="420" w:firstLineChars="200"/>
        <w:jc w:val="both"/>
        <w:textAlignment w:val="auto"/>
        <w:outlineLvl w:val="9"/>
        <w:rPr>
          <w:rFonts w:hint="default" w:ascii="宋体" w:hAnsi="宋体" w:eastAsia="宋体" w:cs="宋体"/>
          <w:b w:val="0"/>
          <w:bCs w:val="0"/>
          <w:sz w:val="21"/>
          <w:szCs w:val="21"/>
          <w:highlight w:val="none"/>
          <w:lang w:val="en-US" w:eastAsia="zh-CN"/>
        </w:rPr>
      </w:pPr>
      <w:r>
        <w:rPr>
          <w:rFonts w:hint="default" w:ascii="宋体" w:hAnsi="宋体" w:eastAsia="宋体" w:cs="宋体"/>
          <w:b w:val="0"/>
          <w:bCs w:val="0"/>
          <w:sz w:val="21"/>
          <w:szCs w:val="21"/>
          <w:highlight w:val="none"/>
          <w:lang w:val="en-US" w:eastAsia="zh-CN"/>
        </w:rPr>
        <w:t>（3）有明显文字和计算错误；</w:t>
      </w:r>
    </w:p>
    <w:p w14:paraId="19B5E282">
      <w:pPr>
        <w:keepNext w:val="0"/>
        <w:keepLines w:val="0"/>
        <w:pageBreakBefore w:val="0"/>
        <w:widowControl w:val="0"/>
        <w:kinsoku/>
        <w:wordWrap/>
        <w:overflowPunct/>
        <w:topLinePunct w:val="0"/>
        <w:autoSpaceDE/>
        <w:autoSpaceDN/>
        <w:bidi w:val="0"/>
        <w:adjustRightInd/>
        <w:snapToGrid/>
        <w:spacing w:line="500" w:lineRule="exact"/>
        <w:ind w:right="0" w:rightChars="0" w:firstLine="420" w:firstLineChars="200"/>
        <w:jc w:val="both"/>
        <w:textAlignment w:val="auto"/>
        <w:outlineLvl w:val="9"/>
        <w:rPr>
          <w:rFonts w:hint="default" w:ascii="宋体" w:hAnsi="宋体" w:eastAsia="宋体" w:cs="宋体"/>
          <w:b w:val="0"/>
          <w:bCs w:val="0"/>
          <w:sz w:val="21"/>
          <w:szCs w:val="21"/>
          <w:highlight w:val="none"/>
          <w:lang w:val="en-US" w:eastAsia="zh-CN"/>
        </w:rPr>
      </w:pPr>
      <w:r>
        <w:rPr>
          <w:rFonts w:hint="default" w:ascii="宋体" w:hAnsi="宋体" w:eastAsia="宋体" w:cs="宋体"/>
          <w:b w:val="0"/>
          <w:bCs w:val="0"/>
          <w:sz w:val="21"/>
          <w:szCs w:val="21"/>
          <w:highlight w:val="none"/>
          <w:lang w:val="en-US" w:eastAsia="zh-CN"/>
        </w:rPr>
        <w:t>（4）提供的技术信息和数据资料不完整；</w:t>
      </w:r>
    </w:p>
    <w:p w14:paraId="2A907DEE">
      <w:pPr>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420" w:firstLineChars="200"/>
        <w:jc w:val="both"/>
        <w:textAlignment w:val="auto"/>
        <w:outlineLvl w:val="9"/>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（5）投标文件未按招标文件要求编制目录、页码；</w:t>
      </w:r>
    </w:p>
    <w:p w14:paraId="6957DC90">
      <w:pPr>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420" w:firstLineChars="200"/>
        <w:jc w:val="both"/>
        <w:textAlignment w:val="auto"/>
        <w:outlineLvl w:val="9"/>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（6）评标委员会认定的其他非实质性偏离。</w:t>
      </w:r>
    </w:p>
    <w:p w14:paraId="7250E02A">
      <w:pPr>
        <w:keepNext w:val="0"/>
        <w:keepLines w:val="0"/>
        <w:pageBreakBefore w:val="0"/>
        <w:widowControl w:val="0"/>
        <w:kinsoku/>
        <w:wordWrap/>
        <w:overflowPunct/>
        <w:topLinePunct w:val="0"/>
        <w:autoSpaceDE/>
        <w:autoSpaceDN/>
        <w:bidi w:val="0"/>
        <w:adjustRightInd/>
        <w:snapToGrid/>
        <w:spacing w:line="500" w:lineRule="exact"/>
        <w:ind w:right="0" w:rightChars="0"/>
        <w:jc w:val="both"/>
        <w:textAlignment w:val="auto"/>
        <w:outlineLvl w:val="9"/>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val="en-US" w:eastAsia="zh-CN"/>
        </w:rPr>
        <w:t xml:space="preserve">    </w:t>
      </w:r>
      <w:r>
        <w:rPr>
          <w:rFonts w:hint="eastAsia" w:ascii="宋体" w:hAnsi="宋体" w:eastAsia="宋体" w:cs="宋体"/>
          <w:b w:val="0"/>
          <w:bCs w:val="0"/>
          <w:sz w:val="21"/>
          <w:szCs w:val="21"/>
          <w:highlight w:val="none"/>
        </w:rPr>
        <w:t>投标文件有上述（1）至（4）情形之一的，评标委员会应当书面要求</w:t>
      </w:r>
      <w:r>
        <w:rPr>
          <w:rFonts w:hint="eastAsia" w:ascii="宋体" w:hAnsi="宋体" w:eastAsia="宋体" w:cs="宋体"/>
          <w:b w:val="0"/>
          <w:bCs w:val="0"/>
          <w:sz w:val="21"/>
          <w:szCs w:val="21"/>
          <w:highlight w:val="none"/>
          <w:lang w:eastAsia="zh-CN"/>
        </w:rPr>
        <w:t>投标人</w:t>
      </w:r>
      <w:r>
        <w:rPr>
          <w:rFonts w:hint="eastAsia" w:ascii="宋体" w:hAnsi="宋体" w:eastAsia="宋体" w:cs="宋体"/>
          <w:b w:val="0"/>
          <w:bCs w:val="0"/>
          <w:sz w:val="21"/>
          <w:szCs w:val="21"/>
          <w:highlight w:val="none"/>
        </w:rPr>
        <w:t>在规定的时间内予以澄清、说明或补正。</w:t>
      </w:r>
      <w:r>
        <w:rPr>
          <w:rFonts w:hint="eastAsia" w:ascii="宋体" w:hAnsi="宋体" w:eastAsia="宋体" w:cs="宋体"/>
          <w:b w:val="0"/>
          <w:bCs w:val="0"/>
          <w:sz w:val="21"/>
          <w:szCs w:val="21"/>
          <w:highlight w:val="none"/>
          <w:lang w:eastAsia="zh-CN"/>
        </w:rPr>
        <w:t>投标人</w:t>
      </w:r>
      <w:r>
        <w:rPr>
          <w:rFonts w:hint="eastAsia" w:ascii="宋体" w:hAnsi="宋体" w:eastAsia="宋体" w:cs="宋体"/>
          <w:b w:val="0"/>
          <w:bCs w:val="0"/>
          <w:sz w:val="21"/>
          <w:szCs w:val="21"/>
          <w:highlight w:val="none"/>
        </w:rPr>
        <w:t>拒不或在规定的时间内没有进行澄清、说明或补正或澄清、说明、补正的内容也不能说明问题的，视为投标文件制作不规范，按每一项非实质性偏离进行扣分处理，直至该项分值扣完为止。</w:t>
      </w:r>
    </w:p>
    <w:p w14:paraId="188A62BD">
      <w:pPr>
        <w:keepNext w:val="0"/>
        <w:keepLines w:val="0"/>
        <w:pageBreakBefore w:val="0"/>
        <w:widowControl w:val="0"/>
        <w:kinsoku/>
        <w:wordWrap/>
        <w:overflowPunct/>
        <w:topLinePunct w:val="0"/>
        <w:autoSpaceDE/>
        <w:autoSpaceDN/>
        <w:bidi w:val="0"/>
        <w:adjustRightInd/>
        <w:snapToGrid/>
        <w:spacing w:line="500" w:lineRule="exact"/>
        <w:ind w:right="0" w:rightChars="0"/>
        <w:jc w:val="both"/>
        <w:textAlignment w:val="auto"/>
        <w:outlineLvl w:val="9"/>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val="en-US" w:eastAsia="zh-CN"/>
        </w:rPr>
        <w:t xml:space="preserve">    2.</w:t>
      </w:r>
      <w:r>
        <w:rPr>
          <w:rFonts w:hint="eastAsia" w:ascii="宋体" w:hAnsi="宋体" w:eastAsia="宋体" w:cs="宋体"/>
          <w:b w:val="0"/>
          <w:bCs w:val="0"/>
          <w:sz w:val="21"/>
          <w:szCs w:val="21"/>
          <w:highlight w:val="none"/>
        </w:rPr>
        <w:t>2.</w:t>
      </w:r>
      <w:r>
        <w:rPr>
          <w:rFonts w:hint="eastAsia" w:ascii="宋体" w:hAnsi="宋体" w:eastAsia="宋体" w:cs="宋体"/>
          <w:b w:val="0"/>
          <w:bCs w:val="0"/>
          <w:sz w:val="21"/>
          <w:szCs w:val="21"/>
          <w:highlight w:val="none"/>
          <w:lang w:val="en-US" w:eastAsia="zh-CN"/>
        </w:rPr>
        <w:t xml:space="preserve">3.6 </w:t>
      </w:r>
      <w:r>
        <w:rPr>
          <w:rFonts w:hint="eastAsia" w:ascii="宋体" w:hAnsi="宋体" w:eastAsia="宋体" w:cs="宋体"/>
          <w:b w:val="0"/>
          <w:bCs w:val="0"/>
          <w:sz w:val="21"/>
          <w:szCs w:val="21"/>
          <w:highlight w:val="none"/>
        </w:rPr>
        <w:t>在投标文件初审过程中，如果出现评标委员会成员意见不一致的情况，按照少数服从多数的原则确定。</w:t>
      </w:r>
    </w:p>
    <w:p w14:paraId="04E62B84">
      <w:pPr>
        <w:keepNext w:val="0"/>
        <w:keepLines w:val="0"/>
        <w:pageBreakBefore w:val="0"/>
        <w:widowControl w:val="0"/>
        <w:kinsoku/>
        <w:wordWrap/>
        <w:overflowPunct/>
        <w:topLinePunct w:val="0"/>
        <w:autoSpaceDE/>
        <w:autoSpaceDN/>
        <w:bidi w:val="0"/>
        <w:adjustRightInd/>
        <w:snapToGrid/>
        <w:spacing w:line="500" w:lineRule="exact"/>
        <w:ind w:right="0" w:rightChars="0" w:firstLine="420"/>
        <w:jc w:val="both"/>
        <w:textAlignment w:val="auto"/>
        <w:outlineLvl w:val="9"/>
        <w:rPr>
          <w:rFonts w:hint="eastAsia" w:ascii="宋体" w:hAnsi="宋体" w:eastAsia="宋体" w:cs="宋体"/>
          <w:b/>
          <w:bCs/>
          <w:color w:val="auto"/>
          <w:sz w:val="21"/>
          <w:szCs w:val="21"/>
          <w:highlight w:val="none"/>
          <w:lang w:eastAsia="zh-CN"/>
        </w:rPr>
      </w:pPr>
      <w:r>
        <w:rPr>
          <w:rFonts w:hint="eastAsia" w:ascii="宋体" w:hAnsi="宋体" w:eastAsia="宋体" w:cs="宋体"/>
          <w:b w:val="0"/>
          <w:bCs w:val="0"/>
          <w:sz w:val="21"/>
          <w:szCs w:val="21"/>
          <w:highlight w:val="none"/>
          <w:lang w:val="en-US" w:eastAsia="zh-CN"/>
        </w:rPr>
        <w:t>2.</w:t>
      </w:r>
      <w:r>
        <w:rPr>
          <w:rFonts w:hint="eastAsia" w:ascii="宋体" w:hAnsi="宋体" w:eastAsia="宋体" w:cs="宋体"/>
          <w:b w:val="0"/>
          <w:bCs w:val="0"/>
          <w:sz w:val="21"/>
          <w:szCs w:val="21"/>
          <w:highlight w:val="none"/>
        </w:rPr>
        <w:t>2.</w:t>
      </w:r>
      <w:r>
        <w:rPr>
          <w:rFonts w:hint="eastAsia" w:ascii="宋体" w:hAnsi="宋体" w:eastAsia="宋体" w:cs="宋体"/>
          <w:b w:val="0"/>
          <w:bCs w:val="0"/>
          <w:sz w:val="21"/>
          <w:szCs w:val="21"/>
          <w:highlight w:val="none"/>
          <w:lang w:val="en-US" w:eastAsia="zh-CN"/>
        </w:rPr>
        <w:t xml:space="preserve">3.7 </w:t>
      </w:r>
      <w:r>
        <w:rPr>
          <w:rFonts w:hint="eastAsia" w:ascii="宋体" w:hAnsi="宋体" w:eastAsia="宋体" w:cs="宋体"/>
          <w:b w:val="0"/>
          <w:bCs w:val="0"/>
          <w:sz w:val="21"/>
          <w:szCs w:val="21"/>
          <w:highlight w:val="none"/>
        </w:rPr>
        <w:t>本采购项目的评标因素和标准见下列综合评分明细表。</w:t>
      </w:r>
    </w:p>
    <w:p w14:paraId="159F8AC6">
      <w:pPr>
        <w:jc w:val="center"/>
        <w:rPr>
          <w:rFonts w:hint="eastAsia" w:ascii="宋体" w:hAnsi="宋体" w:cs="宋体"/>
          <w:b/>
          <w:bCs/>
          <w:color w:val="auto"/>
          <w:sz w:val="28"/>
          <w:szCs w:val="28"/>
          <w:highlight w:val="none"/>
          <w:lang w:eastAsia="zh-CN"/>
        </w:rPr>
      </w:pPr>
      <w:r>
        <w:rPr>
          <w:rFonts w:hint="eastAsia" w:ascii="宋体" w:hAnsi="宋体" w:cs="宋体"/>
          <w:b/>
          <w:bCs/>
          <w:color w:val="auto"/>
          <w:sz w:val="28"/>
          <w:szCs w:val="28"/>
          <w:highlight w:val="none"/>
          <w:lang w:eastAsia="zh-CN"/>
        </w:rPr>
        <w:br w:type="page"/>
      </w:r>
      <w:r>
        <w:rPr>
          <w:rFonts w:hint="eastAsia" w:ascii="宋体" w:hAnsi="宋体" w:cs="宋体"/>
          <w:b/>
          <w:bCs/>
          <w:color w:val="auto"/>
          <w:sz w:val="28"/>
          <w:szCs w:val="28"/>
          <w:highlight w:val="none"/>
          <w:lang w:eastAsia="zh-CN"/>
        </w:rPr>
        <w:t>综合评分明细表</w:t>
      </w:r>
    </w:p>
    <w:tbl>
      <w:tblPr>
        <w:tblStyle w:val="41"/>
        <w:tblW w:w="87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34"/>
        <w:gridCol w:w="824"/>
        <w:gridCol w:w="6681"/>
      </w:tblGrid>
      <w:tr w14:paraId="574223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jc w:val="center"/>
        </w:trPr>
        <w:tc>
          <w:tcPr>
            <w:tcW w:w="1234" w:type="dxa"/>
            <w:noWrap w:val="0"/>
            <w:vAlign w:val="center"/>
          </w:tcPr>
          <w:p w14:paraId="38CA73C9">
            <w:pPr>
              <w:widowControl/>
              <w:jc w:val="center"/>
              <w:rPr>
                <w:rFonts w:hint="eastAsia" w:ascii="宋体" w:hAnsi="宋体" w:eastAsia="宋体" w:cs="宋体"/>
                <w:b/>
                <w:sz w:val="24"/>
                <w:szCs w:val="24"/>
              </w:rPr>
            </w:pPr>
            <w:r>
              <w:rPr>
                <w:rFonts w:hint="eastAsia" w:ascii="宋体" w:hAnsi="宋体" w:eastAsia="宋体" w:cs="宋体"/>
                <w:b/>
                <w:sz w:val="24"/>
                <w:szCs w:val="24"/>
              </w:rPr>
              <w:t>评审项目</w:t>
            </w:r>
          </w:p>
        </w:tc>
        <w:tc>
          <w:tcPr>
            <w:tcW w:w="824" w:type="dxa"/>
            <w:noWrap w:val="0"/>
            <w:vAlign w:val="center"/>
          </w:tcPr>
          <w:p w14:paraId="2F3D2C4A">
            <w:pPr>
              <w:widowControl/>
              <w:jc w:val="center"/>
              <w:rPr>
                <w:rFonts w:hint="eastAsia" w:ascii="宋体" w:hAnsi="宋体" w:eastAsia="宋体" w:cs="宋体"/>
                <w:b/>
                <w:sz w:val="24"/>
                <w:szCs w:val="24"/>
              </w:rPr>
            </w:pPr>
            <w:r>
              <w:rPr>
                <w:rFonts w:hint="eastAsia" w:ascii="宋体" w:hAnsi="宋体" w:eastAsia="宋体" w:cs="宋体"/>
                <w:b/>
                <w:sz w:val="24"/>
                <w:szCs w:val="24"/>
              </w:rPr>
              <w:t>分值</w:t>
            </w:r>
          </w:p>
        </w:tc>
        <w:tc>
          <w:tcPr>
            <w:tcW w:w="6681" w:type="dxa"/>
            <w:noWrap w:val="0"/>
            <w:vAlign w:val="center"/>
          </w:tcPr>
          <w:p w14:paraId="1EA66687">
            <w:pPr>
              <w:widowControl/>
              <w:jc w:val="center"/>
              <w:rPr>
                <w:rFonts w:hint="eastAsia" w:ascii="宋体" w:hAnsi="宋体" w:eastAsia="宋体" w:cs="宋体"/>
                <w:b/>
                <w:sz w:val="24"/>
                <w:szCs w:val="24"/>
              </w:rPr>
            </w:pPr>
            <w:r>
              <w:rPr>
                <w:rFonts w:hint="eastAsia" w:ascii="宋体" w:hAnsi="宋体" w:eastAsia="宋体" w:cs="宋体"/>
                <w:b/>
                <w:sz w:val="24"/>
                <w:szCs w:val="24"/>
              </w:rPr>
              <w:t>评分标准</w:t>
            </w:r>
          </w:p>
        </w:tc>
      </w:tr>
      <w:tr w14:paraId="246092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2" w:hRule="atLeast"/>
          <w:jc w:val="center"/>
        </w:trPr>
        <w:tc>
          <w:tcPr>
            <w:tcW w:w="1234" w:type="dxa"/>
            <w:noWrap w:val="0"/>
            <w:vAlign w:val="center"/>
          </w:tcPr>
          <w:p w14:paraId="4FD2ACC3">
            <w:pPr>
              <w:autoSpaceDE w:val="0"/>
              <w:autoSpaceDN w:val="0"/>
              <w:adjustRightInd w:val="0"/>
              <w:spacing w:line="276" w:lineRule="auto"/>
              <w:jc w:val="center"/>
              <w:rPr>
                <w:rFonts w:hint="eastAsia" w:ascii="宋体" w:hAnsi="宋体" w:eastAsia="宋体" w:cs="宋体"/>
                <w:b/>
                <w:sz w:val="24"/>
                <w:szCs w:val="24"/>
              </w:rPr>
            </w:pPr>
            <w:r>
              <w:rPr>
                <w:rFonts w:hint="eastAsia" w:ascii="宋体" w:hAnsi="宋体" w:eastAsia="宋体" w:cs="宋体"/>
                <w:sz w:val="24"/>
                <w:szCs w:val="24"/>
              </w:rPr>
              <w:t>报价评审</w:t>
            </w:r>
          </w:p>
        </w:tc>
        <w:tc>
          <w:tcPr>
            <w:tcW w:w="824" w:type="dxa"/>
            <w:noWrap w:val="0"/>
            <w:vAlign w:val="center"/>
          </w:tcPr>
          <w:p w14:paraId="1ADA3FA6">
            <w:pPr>
              <w:autoSpaceDE w:val="0"/>
              <w:autoSpaceDN w:val="0"/>
              <w:adjustRightInd w:val="0"/>
              <w:spacing w:line="276" w:lineRule="auto"/>
              <w:jc w:val="center"/>
              <w:rPr>
                <w:rFonts w:hint="eastAsia" w:ascii="宋体" w:hAnsi="宋体" w:eastAsia="宋体" w:cs="宋体"/>
                <w:sz w:val="24"/>
                <w:szCs w:val="24"/>
              </w:rPr>
            </w:pPr>
            <w:r>
              <w:rPr>
                <w:rFonts w:hint="eastAsia" w:ascii="宋体" w:hAnsi="宋体" w:eastAsia="宋体" w:cs="宋体"/>
                <w:sz w:val="24"/>
                <w:szCs w:val="24"/>
              </w:rPr>
              <w:t>30</w:t>
            </w:r>
          </w:p>
        </w:tc>
        <w:tc>
          <w:tcPr>
            <w:tcW w:w="6681" w:type="dxa"/>
            <w:noWrap w:val="0"/>
            <w:vAlign w:val="center"/>
          </w:tcPr>
          <w:p w14:paraId="409AB31F">
            <w:pPr>
              <w:autoSpaceDE w:val="0"/>
              <w:autoSpaceDN w:val="0"/>
              <w:adjustRightInd w:val="0"/>
              <w:spacing w:line="276" w:lineRule="auto"/>
              <w:jc w:val="left"/>
              <w:rPr>
                <w:rFonts w:hint="eastAsia" w:ascii="宋体" w:hAnsi="宋体" w:eastAsia="宋体" w:cs="宋体"/>
                <w:sz w:val="24"/>
                <w:szCs w:val="24"/>
              </w:rPr>
            </w:pPr>
            <w:r>
              <w:rPr>
                <w:rFonts w:hint="eastAsia" w:ascii="宋体" w:hAnsi="宋体" w:eastAsia="宋体" w:cs="宋体"/>
                <w:sz w:val="24"/>
                <w:szCs w:val="24"/>
              </w:rPr>
              <w:t>满足</w:t>
            </w:r>
            <w:r>
              <w:rPr>
                <w:rFonts w:hint="eastAsia" w:ascii="宋体" w:hAnsi="宋体" w:cs="宋体"/>
                <w:sz w:val="24"/>
                <w:szCs w:val="24"/>
                <w:lang w:eastAsia="zh-CN"/>
              </w:rPr>
              <w:t>招标文件</w:t>
            </w:r>
            <w:r>
              <w:rPr>
                <w:rFonts w:hint="eastAsia" w:ascii="宋体" w:hAnsi="宋体" w:eastAsia="宋体" w:cs="宋体"/>
                <w:sz w:val="24"/>
                <w:szCs w:val="24"/>
              </w:rPr>
              <w:t>要求且投标报价最低的为评标基准价，其价格分为满分。其他</w:t>
            </w:r>
            <w:r>
              <w:rPr>
                <w:rFonts w:hint="eastAsia" w:ascii="宋体" w:hAnsi="宋体" w:eastAsia="宋体" w:cs="宋体"/>
                <w:sz w:val="24"/>
                <w:szCs w:val="24"/>
                <w:lang w:eastAsia="zh-CN"/>
              </w:rPr>
              <w:t>供应商</w:t>
            </w:r>
            <w:r>
              <w:rPr>
                <w:rFonts w:hint="eastAsia" w:ascii="宋体" w:hAnsi="宋体" w:eastAsia="宋体" w:cs="宋体"/>
                <w:sz w:val="24"/>
                <w:szCs w:val="24"/>
              </w:rPr>
              <w:t xml:space="preserve">的价格分统一按照下列公式计算： </w:t>
            </w:r>
          </w:p>
          <w:p w14:paraId="443CF6C8">
            <w:pPr>
              <w:autoSpaceDE w:val="0"/>
              <w:autoSpaceDN w:val="0"/>
              <w:adjustRightInd w:val="0"/>
              <w:spacing w:line="276" w:lineRule="auto"/>
              <w:jc w:val="left"/>
              <w:rPr>
                <w:rFonts w:hint="eastAsia" w:ascii="宋体" w:hAnsi="宋体" w:eastAsia="宋体" w:cs="宋体"/>
                <w:b/>
                <w:sz w:val="24"/>
                <w:szCs w:val="24"/>
              </w:rPr>
            </w:pPr>
            <w:r>
              <w:rPr>
                <w:rFonts w:hint="eastAsia" w:ascii="宋体" w:hAnsi="宋体" w:eastAsia="宋体" w:cs="宋体"/>
                <w:sz w:val="24"/>
                <w:szCs w:val="24"/>
              </w:rPr>
              <w:t>投标报价得分=（评标基准价/投标报价）×30</w:t>
            </w:r>
          </w:p>
        </w:tc>
      </w:tr>
      <w:tr w14:paraId="0DFBD9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9" w:hRule="atLeast"/>
          <w:jc w:val="center"/>
        </w:trPr>
        <w:tc>
          <w:tcPr>
            <w:tcW w:w="1234" w:type="dxa"/>
            <w:noWrap w:val="0"/>
            <w:vAlign w:val="center"/>
          </w:tcPr>
          <w:p w14:paraId="77AAC02B">
            <w:pPr>
              <w:autoSpaceDE w:val="0"/>
              <w:autoSpaceDN w:val="0"/>
              <w:adjustRightInd w:val="0"/>
              <w:spacing w:line="276" w:lineRule="auto"/>
              <w:jc w:val="center"/>
              <w:rPr>
                <w:rFonts w:hint="eastAsia" w:ascii="宋体" w:hAnsi="宋体" w:eastAsia="宋体" w:cs="宋体"/>
                <w:kern w:val="2"/>
                <w:sz w:val="24"/>
                <w:szCs w:val="24"/>
                <w:lang w:val="zh-CN" w:eastAsia="zh-CN" w:bidi="ar-SA"/>
              </w:rPr>
            </w:pPr>
            <w:r>
              <w:rPr>
                <w:rFonts w:hint="eastAsia" w:ascii="宋体" w:hAnsi="宋体" w:eastAsia="宋体" w:cs="宋体"/>
                <w:sz w:val="24"/>
                <w:szCs w:val="24"/>
                <w:lang w:val="zh-CN"/>
              </w:rPr>
              <w:t>商务响应</w:t>
            </w:r>
          </w:p>
        </w:tc>
        <w:tc>
          <w:tcPr>
            <w:tcW w:w="824" w:type="dxa"/>
            <w:noWrap w:val="0"/>
            <w:vAlign w:val="center"/>
          </w:tcPr>
          <w:p w14:paraId="5741A8E4">
            <w:pPr>
              <w:autoSpaceDE w:val="0"/>
              <w:autoSpaceDN w:val="0"/>
              <w:adjustRightInd w:val="0"/>
              <w:spacing w:line="276" w:lineRule="auto"/>
              <w:jc w:val="center"/>
              <w:rPr>
                <w:rFonts w:hint="eastAsia" w:ascii="宋体" w:hAnsi="宋体" w:eastAsia="宋体" w:cs="宋体"/>
                <w:kern w:val="2"/>
                <w:sz w:val="24"/>
                <w:szCs w:val="24"/>
                <w:lang w:val="en-US" w:eastAsia="zh-CN" w:bidi="ar-SA"/>
              </w:rPr>
            </w:pPr>
            <w:r>
              <w:rPr>
                <w:rFonts w:hint="eastAsia" w:ascii="宋体" w:hAnsi="宋体" w:cs="宋体"/>
                <w:sz w:val="24"/>
                <w:szCs w:val="24"/>
                <w:lang w:val="en-US" w:eastAsia="zh-CN"/>
              </w:rPr>
              <w:t>4</w:t>
            </w:r>
          </w:p>
        </w:tc>
        <w:tc>
          <w:tcPr>
            <w:tcW w:w="6681" w:type="dxa"/>
            <w:noWrap w:val="0"/>
            <w:vAlign w:val="center"/>
          </w:tcPr>
          <w:p w14:paraId="660786A9">
            <w:pPr>
              <w:autoSpaceDE w:val="0"/>
              <w:autoSpaceDN w:val="0"/>
              <w:adjustRightInd w:val="0"/>
              <w:spacing w:line="276" w:lineRule="auto"/>
              <w:jc w:val="left"/>
              <w:rPr>
                <w:rFonts w:hint="eastAsia" w:ascii="宋体" w:hAnsi="宋体" w:eastAsia="宋体" w:cs="宋体"/>
                <w:kern w:val="2"/>
                <w:sz w:val="24"/>
                <w:szCs w:val="24"/>
                <w:lang w:val="en-US" w:eastAsia="zh-CN" w:bidi="ar-SA"/>
              </w:rPr>
            </w:pPr>
            <w:r>
              <w:rPr>
                <w:rFonts w:hint="eastAsia" w:ascii="宋体" w:hAnsi="宋体" w:eastAsia="宋体" w:cs="宋体"/>
                <w:sz w:val="24"/>
                <w:szCs w:val="24"/>
              </w:rPr>
              <w:t>投标人对</w:t>
            </w:r>
            <w:r>
              <w:rPr>
                <w:rFonts w:hint="eastAsia" w:ascii="宋体" w:hAnsi="宋体" w:cs="宋体"/>
                <w:sz w:val="24"/>
                <w:szCs w:val="24"/>
                <w:lang w:eastAsia="zh-CN"/>
              </w:rPr>
              <w:t>交货期限、</w:t>
            </w:r>
            <w:r>
              <w:rPr>
                <w:rFonts w:hint="eastAsia" w:ascii="宋体" w:hAnsi="宋体" w:eastAsia="宋体" w:cs="宋体"/>
                <w:sz w:val="24"/>
                <w:szCs w:val="24"/>
              </w:rPr>
              <w:t>付款、</w:t>
            </w:r>
            <w:r>
              <w:rPr>
                <w:rFonts w:hint="eastAsia" w:ascii="宋体" w:hAnsi="宋体" w:cs="宋体"/>
                <w:sz w:val="24"/>
                <w:szCs w:val="24"/>
                <w:lang w:eastAsia="zh-CN"/>
              </w:rPr>
              <w:t>质保、</w:t>
            </w:r>
            <w:r>
              <w:rPr>
                <w:rFonts w:hint="eastAsia" w:ascii="宋体" w:hAnsi="宋体" w:eastAsia="宋体" w:cs="宋体"/>
                <w:sz w:val="24"/>
                <w:szCs w:val="24"/>
              </w:rPr>
              <w:t>验收等</w:t>
            </w:r>
            <w:r>
              <w:rPr>
                <w:rFonts w:hint="eastAsia" w:ascii="宋体" w:hAnsi="宋体" w:cs="宋体"/>
                <w:sz w:val="24"/>
                <w:szCs w:val="24"/>
                <w:lang w:eastAsia="zh-CN"/>
              </w:rPr>
              <w:t>主要商务</w:t>
            </w:r>
            <w:r>
              <w:rPr>
                <w:rFonts w:hint="eastAsia" w:ascii="宋体" w:hAnsi="宋体" w:eastAsia="宋体" w:cs="宋体"/>
                <w:sz w:val="24"/>
                <w:szCs w:val="24"/>
              </w:rPr>
              <w:t>条款进行响应，</w:t>
            </w:r>
            <w:r>
              <w:rPr>
                <w:rFonts w:hint="eastAsia" w:ascii="宋体" w:hAnsi="宋体" w:cs="宋体"/>
                <w:sz w:val="24"/>
                <w:szCs w:val="24"/>
                <w:lang w:eastAsia="zh-CN"/>
              </w:rPr>
              <w:t>每响应一项得</w:t>
            </w:r>
            <w:r>
              <w:rPr>
                <w:rFonts w:hint="eastAsia" w:ascii="宋体" w:hAnsi="宋体" w:cs="宋体"/>
                <w:sz w:val="24"/>
                <w:szCs w:val="24"/>
                <w:lang w:val="en-US" w:eastAsia="zh-CN"/>
              </w:rPr>
              <w:t>1分，</w:t>
            </w:r>
            <w:r>
              <w:rPr>
                <w:rFonts w:hint="eastAsia" w:ascii="宋体" w:hAnsi="宋体" w:cs="宋体"/>
                <w:sz w:val="24"/>
                <w:szCs w:val="24"/>
                <w:highlight w:val="none"/>
                <w:lang w:val="en-US" w:eastAsia="zh-CN"/>
              </w:rPr>
              <w:t>共计</w:t>
            </w:r>
            <w:r>
              <w:rPr>
                <w:rFonts w:hint="eastAsia" w:ascii="宋体" w:hAnsi="宋体" w:cs="宋体"/>
                <w:sz w:val="24"/>
                <w:szCs w:val="24"/>
                <w:lang w:val="en-US" w:eastAsia="zh-CN"/>
              </w:rPr>
              <w:t>4分</w:t>
            </w:r>
            <w:r>
              <w:rPr>
                <w:rFonts w:hint="eastAsia" w:ascii="宋体" w:hAnsi="宋体" w:cs="宋体"/>
                <w:sz w:val="24"/>
                <w:szCs w:val="24"/>
                <w:lang w:eastAsia="zh-CN"/>
              </w:rPr>
              <w:t>。</w:t>
            </w:r>
          </w:p>
        </w:tc>
      </w:tr>
      <w:tr w14:paraId="2BB6B2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234" w:type="dxa"/>
            <w:noWrap w:val="0"/>
            <w:vAlign w:val="center"/>
          </w:tcPr>
          <w:p w14:paraId="36EFD6F4">
            <w:pPr>
              <w:autoSpaceDE w:val="0"/>
              <w:autoSpaceDN w:val="0"/>
              <w:adjustRightInd w:val="0"/>
              <w:spacing w:line="276" w:lineRule="auto"/>
              <w:jc w:val="center"/>
              <w:rPr>
                <w:rFonts w:hint="eastAsia" w:ascii="宋体" w:hAnsi="宋体" w:eastAsia="宋体" w:cs="宋体"/>
                <w:sz w:val="24"/>
                <w:szCs w:val="24"/>
                <w:lang w:val="zh-CN"/>
              </w:rPr>
            </w:pPr>
            <w:r>
              <w:rPr>
                <w:rFonts w:hint="eastAsia" w:ascii="宋体" w:hAnsi="宋体" w:cs="宋体"/>
                <w:sz w:val="24"/>
                <w:szCs w:val="24"/>
                <w:lang w:val="zh-CN"/>
              </w:rPr>
              <w:t>综合实力</w:t>
            </w:r>
          </w:p>
        </w:tc>
        <w:tc>
          <w:tcPr>
            <w:tcW w:w="824" w:type="dxa"/>
            <w:noWrap w:val="0"/>
            <w:vAlign w:val="center"/>
          </w:tcPr>
          <w:p w14:paraId="58275438">
            <w:pPr>
              <w:autoSpaceDE w:val="0"/>
              <w:autoSpaceDN w:val="0"/>
              <w:adjustRightInd w:val="0"/>
              <w:spacing w:line="276" w:lineRule="auto"/>
              <w:jc w:val="center"/>
              <w:rPr>
                <w:rFonts w:hint="default" w:ascii="宋体" w:hAnsi="宋体" w:cs="宋体"/>
                <w:sz w:val="24"/>
                <w:szCs w:val="24"/>
                <w:lang w:val="en-US" w:eastAsia="zh-CN"/>
              </w:rPr>
            </w:pPr>
            <w:r>
              <w:rPr>
                <w:rFonts w:hint="eastAsia" w:ascii="宋体" w:hAnsi="宋体" w:cs="宋体"/>
                <w:sz w:val="24"/>
                <w:szCs w:val="24"/>
                <w:lang w:val="en-US" w:eastAsia="zh-CN"/>
              </w:rPr>
              <w:t>3</w:t>
            </w:r>
          </w:p>
        </w:tc>
        <w:tc>
          <w:tcPr>
            <w:tcW w:w="6681" w:type="dxa"/>
            <w:noWrap w:val="0"/>
            <w:vAlign w:val="center"/>
          </w:tcPr>
          <w:p w14:paraId="06F5CBC5">
            <w:pPr>
              <w:autoSpaceDE w:val="0"/>
              <w:autoSpaceDN w:val="0"/>
              <w:adjustRightInd w:val="0"/>
              <w:spacing w:line="276" w:lineRule="auto"/>
              <w:jc w:val="left"/>
              <w:rPr>
                <w:rFonts w:hint="default" w:ascii="宋体" w:hAnsi="宋体" w:eastAsia="宋体" w:cs="宋体"/>
                <w:sz w:val="24"/>
                <w:szCs w:val="24"/>
                <w:lang w:val="en-US"/>
              </w:rPr>
            </w:pPr>
            <w:r>
              <w:rPr>
                <w:rFonts w:hint="eastAsia" w:ascii="宋体" w:hAnsi="宋体" w:cs="宋体"/>
                <w:sz w:val="24"/>
                <w:szCs w:val="24"/>
                <w:lang w:val="en-US" w:eastAsia="zh-CN"/>
              </w:rPr>
              <w:t>投标人具有质量管理体系、健康管理体系、环境管理体系认证，每提供一个得1分，</w:t>
            </w:r>
            <w:r>
              <w:rPr>
                <w:rFonts w:hint="eastAsia" w:ascii="宋体" w:hAnsi="宋体" w:cs="宋体"/>
                <w:sz w:val="24"/>
                <w:szCs w:val="24"/>
                <w:highlight w:val="none"/>
                <w:lang w:val="en-US" w:eastAsia="zh-CN"/>
              </w:rPr>
              <w:t>共计</w:t>
            </w:r>
            <w:r>
              <w:rPr>
                <w:rFonts w:hint="eastAsia" w:ascii="宋体" w:hAnsi="宋体" w:cs="宋体"/>
                <w:sz w:val="24"/>
                <w:szCs w:val="24"/>
                <w:lang w:val="en-US" w:eastAsia="zh-CN"/>
              </w:rPr>
              <w:t>3分。</w:t>
            </w:r>
          </w:p>
        </w:tc>
      </w:tr>
      <w:tr w14:paraId="02108F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4" w:hRule="atLeast"/>
          <w:jc w:val="center"/>
        </w:trPr>
        <w:tc>
          <w:tcPr>
            <w:tcW w:w="1234" w:type="dxa"/>
            <w:noWrap w:val="0"/>
            <w:vAlign w:val="center"/>
          </w:tcPr>
          <w:p w14:paraId="128D23C1">
            <w:pPr>
              <w:autoSpaceDE w:val="0"/>
              <w:autoSpaceDN w:val="0"/>
              <w:adjustRightInd w:val="0"/>
              <w:spacing w:line="276" w:lineRule="auto"/>
              <w:jc w:val="center"/>
              <w:rPr>
                <w:rFonts w:hint="eastAsia" w:ascii="宋体" w:hAnsi="宋体" w:eastAsia="宋体" w:cs="宋体"/>
                <w:kern w:val="2"/>
                <w:sz w:val="24"/>
                <w:szCs w:val="24"/>
                <w:highlight w:val="none"/>
                <w:lang w:val="en-US" w:eastAsia="zh-CN" w:bidi="ar-SA"/>
              </w:rPr>
            </w:pPr>
            <w:r>
              <w:rPr>
                <w:rFonts w:hint="eastAsia" w:ascii="宋体" w:hAnsi="宋体" w:eastAsia="宋体" w:cs="宋体"/>
                <w:sz w:val="24"/>
                <w:szCs w:val="24"/>
                <w:highlight w:val="none"/>
              </w:rPr>
              <w:t>节能、环保产品</w:t>
            </w:r>
          </w:p>
        </w:tc>
        <w:tc>
          <w:tcPr>
            <w:tcW w:w="824" w:type="dxa"/>
            <w:noWrap w:val="0"/>
            <w:vAlign w:val="center"/>
          </w:tcPr>
          <w:p w14:paraId="26A990A4">
            <w:pPr>
              <w:autoSpaceDE w:val="0"/>
              <w:autoSpaceDN w:val="0"/>
              <w:adjustRightInd w:val="0"/>
              <w:spacing w:line="276" w:lineRule="auto"/>
              <w:jc w:val="center"/>
              <w:rPr>
                <w:rFonts w:hint="eastAsia" w:ascii="宋体" w:hAnsi="宋体" w:eastAsia="宋体" w:cs="宋体"/>
                <w:kern w:val="2"/>
                <w:sz w:val="24"/>
                <w:szCs w:val="24"/>
                <w:highlight w:val="none"/>
                <w:lang w:val="en-US" w:eastAsia="zh-CN" w:bidi="ar-SA"/>
              </w:rPr>
            </w:pPr>
            <w:r>
              <w:rPr>
                <w:rFonts w:hint="eastAsia" w:ascii="宋体" w:hAnsi="宋体" w:cs="宋体"/>
                <w:sz w:val="24"/>
                <w:szCs w:val="24"/>
                <w:highlight w:val="none"/>
                <w:lang w:val="en-US" w:eastAsia="zh-CN"/>
              </w:rPr>
              <w:t>6</w:t>
            </w:r>
          </w:p>
        </w:tc>
        <w:tc>
          <w:tcPr>
            <w:tcW w:w="6681" w:type="dxa"/>
            <w:noWrap w:val="0"/>
            <w:vAlign w:val="center"/>
          </w:tcPr>
          <w:p w14:paraId="5AA4334A">
            <w:pPr>
              <w:autoSpaceDE w:val="0"/>
              <w:autoSpaceDN w:val="0"/>
              <w:adjustRightInd w:val="0"/>
              <w:spacing w:line="276"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所投产品中每有一项为节能产品政府采购清单中优先采购的节能产品计</w:t>
            </w:r>
            <w:r>
              <w:rPr>
                <w:rFonts w:hint="eastAsia" w:ascii="宋体" w:hAnsi="宋体" w:cs="宋体"/>
                <w:sz w:val="24"/>
                <w:szCs w:val="24"/>
                <w:highlight w:val="none"/>
                <w:lang w:val="en-US" w:eastAsia="zh-CN"/>
              </w:rPr>
              <w:t>1.5</w:t>
            </w:r>
            <w:r>
              <w:rPr>
                <w:rFonts w:hint="eastAsia" w:ascii="宋体" w:hAnsi="宋体" w:eastAsia="宋体" w:cs="宋体"/>
                <w:sz w:val="24"/>
                <w:szCs w:val="24"/>
                <w:highlight w:val="none"/>
              </w:rPr>
              <w:t>分</w:t>
            </w: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最多得3分</w:t>
            </w:r>
            <w:r>
              <w:rPr>
                <w:rFonts w:hint="eastAsia" w:ascii="宋体" w:hAnsi="宋体" w:eastAsia="宋体" w:cs="宋体"/>
                <w:sz w:val="24"/>
                <w:szCs w:val="24"/>
                <w:highlight w:val="none"/>
              </w:rPr>
              <w:t>；每有一项为环境标志产品政府采购清单中的产品的计</w:t>
            </w:r>
            <w:r>
              <w:rPr>
                <w:rFonts w:hint="eastAsia" w:ascii="宋体" w:hAnsi="宋体" w:cs="宋体"/>
                <w:sz w:val="24"/>
                <w:szCs w:val="24"/>
                <w:highlight w:val="none"/>
                <w:lang w:val="en-US" w:eastAsia="zh-CN"/>
              </w:rPr>
              <w:t>1.5</w:t>
            </w:r>
            <w:r>
              <w:rPr>
                <w:rFonts w:hint="eastAsia" w:ascii="宋体" w:hAnsi="宋体" w:eastAsia="宋体" w:cs="宋体"/>
                <w:sz w:val="24"/>
                <w:szCs w:val="24"/>
                <w:highlight w:val="none"/>
              </w:rPr>
              <w:t>分</w:t>
            </w: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最多得3分</w:t>
            </w:r>
            <w:r>
              <w:rPr>
                <w:rFonts w:hint="eastAsia" w:ascii="宋体" w:hAnsi="宋体" w:eastAsia="宋体" w:cs="宋体"/>
                <w:sz w:val="24"/>
                <w:szCs w:val="24"/>
                <w:highlight w:val="none"/>
              </w:rPr>
              <w:t>；</w:t>
            </w:r>
            <w:r>
              <w:rPr>
                <w:rFonts w:hint="eastAsia" w:ascii="宋体" w:hAnsi="宋体" w:cs="宋体"/>
                <w:sz w:val="24"/>
                <w:szCs w:val="24"/>
                <w:highlight w:val="none"/>
                <w:lang w:val="en-US" w:eastAsia="zh-CN"/>
              </w:rPr>
              <w:t>共计6分</w:t>
            </w:r>
            <w:r>
              <w:rPr>
                <w:rFonts w:hint="eastAsia" w:ascii="宋体" w:hAnsi="宋体" w:eastAsia="宋体" w:cs="宋体"/>
                <w:sz w:val="24"/>
                <w:szCs w:val="24"/>
                <w:highlight w:val="none"/>
              </w:rPr>
              <w:t>。</w:t>
            </w:r>
          </w:p>
          <w:p w14:paraId="1609A860">
            <w:pPr>
              <w:autoSpaceDE w:val="0"/>
              <w:autoSpaceDN w:val="0"/>
              <w:adjustRightInd w:val="0"/>
              <w:spacing w:line="276" w:lineRule="auto"/>
              <w:jc w:val="left"/>
              <w:rPr>
                <w:rFonts w:hint="eastAsia" w:ascii="宋体" w:hAnsi="宋体" w:eastAsia="宋体" w:cs="宋体"/>
                <w:kern w:val="2"/>
                <w:sz w:val="24"/>
                <w:szCs w:val="24"/>
                <w:highlight w:val="none"/>
                <w:lang w:val="en-US" w:eastAsia="zh-CN" w:bidi="ar-SA"/>
              </w:rPr>
            </w:pPr>
            <w:r>
              <w:rPr>
                <w:rFonts w:hint="eastAsia" w:ascii="宋体" w:hAnsi="宋体" w:eastAsia="宋体" w:cs="宋体"/>
                <w:sz w:val="24"/>
                <w:szCs w:val="24"/>
                <w:highlight w:val="none"/>
              </w:rPr>
              <w:t>（提供认证机构出具、处于有效期之内的节能产品、环境标志产品认证证书，详见“节能产品、环境标志产品政策”）</w:t>
            </w:r>
          </w:p>
        </w:tc>
      </w:tr>
      <w:tr w14:paraId="3E631A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10" w:hRule="atLeast"/>
          <w:jc w:val="center"/>
        </w:trPr>
        <w:tc>
          <w:tcPr>
            <w:tcW w:w="1234" w:type="dxa"/>
            <w:noWrap w:val="0"/>
            <w:vAlign w:val="center"/>
          </w:tcPr>
          <w:p w14:paraId="0F9ACE98">
            <w:pPr>
              <w:autoSpaceDE w:val="0"/>
              <w:autoSpaceDN w:val="0"/>
              <w:adjustRightInd w:val="0"/>
              <w:spacing w:line="276" w:lineRule="auto"/>
              <w:jc w:val="center"/>
              <w:rPr>
                <w:rFonts w:hint="eastAsia" w:ascii="宋体" w:hAnsi="宋体" w:eastAsia="宋体" w:cs="宋体"/>
                <w:sz w:val="24"/>
                <w:szCs w:val="24"/>
              </w:rPr>
            </w:pPr>
            <w:r>
              <w:rPr>
                <w:rFonts w:hint="eastAsia" w:ascii="宋体" w:hAnsi="宋体" w:eastAsia="宋体" w:cs="宋体"/>
                <w:sz w:val="24"/>
                <w:szCs w:val="24"/>
              </w:rPr>
              <w:t>技术参数</w:t>
            </w:r>
          </w:p>
        </w:tc>
        <w:tc>
          <w:tcPr>
            <w:tcW w:w="824" w:type="dxa"/>
            <w:noWrap w:val="0"/>
            <w:vAlign w:val="center"/>
          </w:tcPr>
          <w:p w14:paraId="1F244E69">
            <w:pPr>
              <w:autoSpaceDE w:val="0"/>
              <w:autoSpaceDN w:val="0"/>
              <w:adjustRightInd w:val="0"/>
              <w:spacing w:line="276" w:lineRule="auto"/>
              <w:jc w:val="center"/>
              <w:rPr>
                <w:rFonts w:hint="eastAsia" w:ascii="宋体" w:hAnsi="宋体" w:eastAsia="宋体" w:cs="宋体"/>
                <w:sz w:val="24"/>
                <w:szCs w:val="24"/>
                <w:lang w:eastAsia="zh-CN"/>
              </w:rPr>
            </w:pPr>
            <w:r>
              <w:rPr>
                <w:rFonts w:hint="eastAsia" w:ascii="宋体" w:hAnsi="宋体" w:eastAsia="宋体" w:cs="宋体"/>
                <w:sz w:val="24"/>
                <w:szCs w:val="24"/>
              </w:rPr>
              <w:t>2</w:t>
            </w:r>
            <w:r>
              <w:rPr>
                <w:rFonts w:hint="eastAsia" w:ascii="宋体" w:hAnsi="宋体" w:cs="宋体"/>
                <w:sz w:val="24"/>
                <w:szCs w:val="24"/>
                <w:lang w:val="en-US" w:eastAsia="zh-CN"/>
              </w:rPr>
              <w:t>7</w:t>
            </w:r>
          </w:p>
        </w:tc>
        <w:tc>
          <w:tcPr>
            <w:tcW w:w="6681" w:type="dxa"/>
            <w:noWrap w:val="0"/>
            <w:vAlign w:val="center"/>
          </w:tcPr>
          <w:p w14:paraId="764F66C5">
            <w:pPr>
              <w:overflowPunct w:val="0"/>
              <w:adjustRightInd w:val="0"/>
              <w:snapToGrid w:val="0"/>
              <w:spacing w:line="276" w:lineRule="auto"/>
              <w:rPr>
                <w:rFonts w:hint="eastAsia" w:ascii="宋体" w:hAnsi="宋体" w:eastAsia="宋体" w:cs="宋体"/>
                <w:sz w:val="24"/>
                <w:szCs w:val="24"/>
              </w:rPr>
            </w:pPr>
            <w:r>
              <w:rPr>
                <w:rFonts w:hint="eastAsia" w:ascii="宋体" w:hAnsi="宋体" w:eastAsia="宋体" w:cs="宋体"/>
                <w:sz w:val="24"/>
                <w:szCs w:val="24"/>
              </w:rPr>
              <w:t>产品的基本功能、技术指标与需求的吻合程度和偏差情况（包括产品的规格型号、配置、主要技术参数、其他要求等），是否能够满足</w:t>
            </w:r>
            <w:r>
              <w:rPr>
                <w:rFonts w:hint="eastAsia" w:ascii="宋体" w:hAnsi="宋体" w:cs="宋体"/>
                <w:sz w:val="24"/>
                <w:szCs w:val="24"/>
                <w:lang w:eastAsia="zh-CN"/>
              </w:rPr>
              <w:t>招标文件</w:t>
            </w:r>
            <w:r>
              <w:rPr>
                <w:rFonts w:hint="eastAsia" w:ascii="宋体" w:hAnsi="宋体" w:eastAsia="宋体" w:cs="宋体"/>
                <w:sz w:val="24"/>
                <w:szCs w:val="24"/>
              </w:rPr>
              <w:t>要求。</w:t>
            </w:r>
            <w:r>
              <w:rPr>
                <w:rFonts w:hint="eastAsia" w:ascii="宋体" w:hAnsi="宋体" w:eastAsia="宋体" w:cs="宋体"/>
                <w:sz w:val="24"/>
                <w:szCs w:val="24"/>
                <w:lang w:val="en-US" w:eastAsia="zh-CN"/>
              </w:rPr>
              <w:t>完全符合、响应招标文件要求，没有负偏离计</w:t>
            </w:r>
            <w:r>
              <w:rPr>
                <w:rFonts w:hint="eastAsia" w:ascii="宋体" w:hAnsi="宋体" w:cs="宋体"/>
                <w:sz w:val="24"/>
                <w:szCs w:val="24"/>
                <w:lang w:val="en-US" w:eastAsia="zh-CN"/>
              </w:rPr>
              <w:t>27</w:t>
            </w:r>
            <w:r>
              <w:rPr>
                <w:rFonts w:hint="eastAsia" w:ascii="宋体" w:hAnsi="宋体" w:eastAsia="宋体" w:cs="宋体"/>
                <w:sz w:val="24"/>
                <w:szCs w:val="24"/>
                <w:lang w:val="en-US" w:eastAsia="zh-CN"/>
              </w:rPr>
              <w:t>分；“★”号参数为重要技术指标，每负偏离一项扣1分，非“★”号参数每负偏离一项扣0.5分，扣完为止。★指标必须提供佐证材料，否则视为负偏离。</w:t>
            </w:r>
          </w:p>
          <w:p w14:paraId="016835E8">
            <w:pPr>
              <w:overflowPunct w:val="0"/>
              <w:adjustRightInd w:val="0"/>
              <w:snapToGrid w:val="0"/>
              <w:spacing w:line="276" w:lineRule="auto"/>
              <w:rPr>
                <w:rFonts w:hint="eastAsia" w:ascii="宋体" w:hAnsi="宋体" w:eastAsia="宋体" w:cs="宋体"/>
                <w:sz w:val="24"/>
                <w:szCs w:val="24"/>
              </w:rPr>
            </w:pPr>
            <w:r>
              <w:rPr>
                <w:rFonts w:hint="eastAsia" w:ascii="宋体" w:hAnsi="宋体" w:eastAsia="宋体" w:cs="宋体"/>
                <w:sz w:val="24"/>
                <w:szCs w:val="24"/>
              </w:rPr>
              <w:t>注：标“</w:t>
            </w:r>
            <w:r>
              <w:rPr>
                <w:rFonts w:hint="eastAsia" w:ascii="宋体" w:hAnsi="宋体" w:eastAsia="宋体" w:cs="宋体"/>
                <w:sz w:val="24"/>
                <w:szCs w:val="24"/>
                <w:lang w:val="en-US" w:eastAsia="zh-CN"/>
              </w:rPr>
              <w:t>▲</w:t>
            </w:r>
            <w:r>
              <w:rPr>
                <w:rFonts w:hint="eastAsia" w:ascii="宋体" w:hAnsi="宋体" w:eastAsia="宋体" w:cs="宋体"/>
                <w:sz w:val="24"/>
                <w:szCs w:val="24"/>
              </w:rPr>
              <w:t>”技术参数不允许负偏离，否则按无效投标处理</w:t>
            </w:r>
            <w:r>
              <w:rPr>
                <w:rFonts w:hint="eastAsia" w:ascii="宋体" w:hAnsi="宋体" w:cs="宋体"/>
                <w:sz w:val="24"/>
                <w:szCs w:val="24"/>
                <w:lang w:eastAsia="zh-CN"/>
              </w:rPr>
              <w:t>。</w:t>
            </w:r>
          </w:p>
        </w:tc>
      </w:tr>
      <w:tr w14:paraId="2D8689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jc w:val="center"/>
        </w:trPr>
        <w:tc>
          <w:tcPr>
            <w:tcW w:w="1234" w:type="dxa"/>
            <w:noWrap w:val="0"/>
            <w:vAlign w:val="center"/>
          </w:tcPr>
          <w:p w14:paraId="20CDEDD5">
            <w:pPr>
              <w:autoSpaceDE w:val="0"/>
              <w:autoSpaceDN w:val="0"/>
              <w:adjustRightInd w:val="0"/>
              <w:spacing w:line="276" w:lineRule="auto"/>
              <w:jc w:val="center"/>
              <w:rPr>
                <w:rFonts w:hint="eastAsia" w:ascii="宋体" w:hAnsi="宋体" w:eastAsia="宋体" w:cs="宋体"/>
                <w:sz w:val="24"/>
                <w:szCs w:val="24"/>
              </w:rPr>
            </w:pPr>
            <w:r>
              <w:rPr>
                <w:rFonts w:hint="eastAsia" w:ascii="宋体" w:hAnsi="宋体" w:eastAsia="宋体" w:cs="宋体"/>
                <w:sz w:val="24"/>
                <w:szCs w:val="24"/>
              </w:rPr>
              <w:t>实施方案</w:t>
            </w:r>
          </w:p>
        </w:tc>
        <w:tc>
          <w:tcPr>
            <w:tcW w:w="824" w:type="dxa"/>
            <w:noWrap w:val="0"/>
            <w:vAlign w:val="center"/>
          </w:tcPr>
          <w:p w14:paraId="5AA71756">
            <w:pPr>
              <w:autoSpaceDE w:val="0"/>
              <w:autoSpaceDN w:val="0"/>
              <w:adjustRightInd w:val="0"/>
              <w:spacing w:line="276" w:lineRule="auto"/>
              <w:jc w:val="center"/>
              <w:rPr>
                <w:rFonts w:hint="eastAsia" w:ascii="宋体" w:hAnsi="宋体" w:eastAsia="宋体" w:cs="宋体"/>
                <w:sz w:val="24"/>
                <w:szCs w:val="24"/>
                <w:lang w:eastAsia="zh-CN"/>
              </w:rPr>
            </w:pPr>
            <w:r>
              <w:rPr>
                <w:rFonts w:hint="eastAsia" w:ascii="宋体" w:hAnsi="宋体" w:cs="宋体"/>
                <w:sz w:val="24"/>
                <w:szCs w:val="24"/>
                <w:lang w:val="en-US" w:eastAsia="zh-CN"/>
              </w:rPr>
              <w:t>4</w:t>
            </w:r>
          </w:p>
        </w:tc>
        <w:tc>
          <w:tcPr>
            <w:tcW w:w="6681" w:type="dxa"/>
            <w:noWrap w:val="0"/>
            <w:vAlign w:val="center"/>
          </w:tcPr>
          <w:p w14:paraId="4E289853">
            <w:pPr>
              <w:rPr>
                <w:rFonts w:hint="eastAsia" w:ascii="宋体" w:hAnsi="宋体" w:eastAsia="宋体" w:cs="宋体"/>
                <w:sz w:val="24"/>
                <w:szCs w:val="24"/>
              </w:rPr>
            </w:pPr>
            <w:r>
              <w:rPr>
                <w:rFonts w:hint="eastAsia" w:ascii="宋体" w:hAnsi="宋体" w:eastAsia="宋体" w:cs="宋体"/>
                <w:sz w:val="24"/>
                <w:szCs w:val="24"/>
              </w:rPr>
              <w:t>根据项目需求编制</w:t>
            </w:r>
            <w:r>
              <w:rPr>
                <w:rFonts w:hint="eastAsia" w:ascii="宋体" w:hAnsi="宋体" w:eastAsia="宋体" w:cs="宋体"/>
                <w:sz w:val="24"/>
                <w:szCs w:val="24"/>
                <w:lang w:eastAsia="zh-CN"/>
              </w:rPr>
              <w:t>实施</w:t>
            </w:r>
            <w:r>
              <w:rPr>
                <w:rFonts w:hint="eastAsia" w:ascii="宋体" w:hAnsi="宋体" w:eastAsia="宋体" w:cs="宋体"/>
                <w:sz w:val="24"/>
                <w:szCs w:val="24"/>
              </w:rPr>
              <w:t>方案：</w:t>
            </w:r>
            <w:r>
              <w:rPr>
                <w:rFonts w:hint="eastAsia" w:ascii="宋体" w:hAnsi="宋体" w:eastAsia="宋体" w:cs="宋体"/>
                <w:sz w:val="24"/>
                <w:szCs w:val="24"/>
                <w:lang w:eastAsia="zh-CN"/>
              </w:rPr>
              <w:t>方案至少</w:t>
            </w:r>
            <w:r>
              <w:rPr>
                <w:rFonts w:hint="eastAsia" w:ascii="宋体" w:hAnsi="宋体" w:eastAsia="宋体" w:cs="宋体"/>
                <w:sz w:val="24"/>
                <w:szCs w:val="24"/>
              </w:rPr>
              <w:t>包含</w:t>
            </w:r>
          </w:p>
          <w:p w14:paraId="547A3C96">
            <w:pPr>
              <w:ind w:firstLine="240" w:firstLineChars="100"/>
              <w:rPr>
                <w:rFonts w:hint="eastAsia" w:ascii="宋体" w:hAnsi="宋体" w:eastAsia="宋体" w:cs="宋体"/>
                <w:sz w:val="24"/>
                <w:szCs w:val="24"/>
              </w:rPr>
            </w:pPr>
            <w:r>
              <w:rPr>
                <w:rFonts w:hint="eastAsia" w:ascii="宋体" w:hAnsi="宋体" w:eastAsia="宋体" w:cs="宋体"/>
                <w:sz w:val="24"/>
                <w:szCs w:val="24"/>
              </w:rPr>
              <w:t>①供货、安装</w:t>
            </w:r>
            <w:r>
              <w:rPr>
                <w:rFonts w:hint="eastAsia" w:ascii="宋体" w:hAnsi="宋体" w:cs="宋体"/>
                <w:sz w:val="24"/>
                <w:szCs w:val="24"/>
                <w:lang w:eastAsia="zh-CN"/>
              </w:rPr>
              <w:t>、</w:t>
            </w:r>
            <w:r>
              <w:rPr>
                <w:rFonts w:hint="eastAsia" w:ascii="宋体" w:hAnsi="宋体" w:cs="宋体"/>
                <w:sz w:val="24"/>
                <w:szCs w:val="24"/>
                <w:lang w:val="en-US" w:eastAsia="zh-CN"/>
              </w:rPr>
              <w:t>调试</w:t>
            </w:r>
            <w:r>
              <w:rPr>
                <w:rFonts w:hint="eastAsia" w:ascii="宋体" w:hAnsi="宋体" w:eastAsia="宋体" w:cs="宋体"/>
                <w:sz w:val="24"/>
                <w:szCs w:val="24"/>
              </w:rPr>
              <w:t>方案；</w:t>
            </w:r>
          </w:p>
          <w:p w14:paraId="4DDEA100">
            <w:pPr>
              <w:ind w:firstLine="240" w:firstLineChars="100"/>
              <w:rPr>
                <w:rFonts w:hint="eastAsia" w:ascii="宋体" w:hAnsi="宋体" w:eastAsia="宋体" w:cs="宋体"/>
                <w:sz w:val="24"/>
                <w:szCs w:val="24"/>
              </w:rPr>
            </w:pPr>
            <w:r>
              <w:rPr>
                <w:rFonts w:hint="eastAsia" w:ascii="宋体" w:hAnsi="宋体" w:eastAsia="宋体" w:cs="宋体"/>
                <w:sz w:val="24"/>
                <w:szCs w:val="24"/>
              </w:rPr>
              <w:t>②进度计划措施；</w:t>
            </w:r>
          </w:p>
          <w:p w14:paraId="7C221E73">
            <w:pPr>
              <w:ind w:firstLine="240" w:firstLineChars="100"/>
              <w:rPr>
                <w:rFonts w:hint="eastAsia" w:ascii="宋体" w:hAnsi="宋体" w:eastAsia="宋体" w:cs="宋体"/>
                <w:sz w:val="24"/>
                <w:szCs w:val="24"/>
              </w:rPr>
            </w:pPr>
            <w:r>
              <w:rPr>
                <w:rFonts w:hint="eastAsia" w:ascii="宋体" w:hAnsi="宋体" w:eastAsia="宋体" w:cs="宋体"/>
                <w:sz w:val="24"/>
                <w:szCs w:val="24"/>
              </w:rPr>
              <w:t>③人员配备及验收组织措施方案；</w:t>
            </w:r>
          </w:p>
          <w:p w14:paraId="1C9A6308">
            <w:pPr>
              <w:ind w:firstLine="240" w:firstLineChars="100"/>
              <w:rPr>
                <w:rFonts w:hint="eastAsia" w:ascii="宋体" w:hAnsi="宋体" w:eastAsia="宋体" w:cs="宋体"/>
                <w:sz w:val="24"/>
                <w:szCs w:val="24"/>
                <w:lang w:eastAsia="zh-CN"/>
              </w:rPr>
            </w:pPr>
            <w:r>
              <w:rPr>
                <w:rFonts w:hint="eastAsia" w:ascii="宋体" w:hAnsi="宋体" w:eastAsia="宋体" w:cs="宋体"/>
                <w:sz w:val="24"/>
                <w:szCs w:val="24"/>
              </w:rPr>
              <w:t>④应急预案</w:t>
            </w:r>
            <w:r>
              <w:rPr>
                <w:rFonts w:hint="eastAsia" w:ascii="宋体" w:hAnsi="宋体" w:eastAsia="宋体" w:cs="宋体"/>
                <w:sz w:val="24"/>
                <w:szCs w:val="24"/>
                <w:lang w:eastAsia="zh-CN"/>
              </w:rPr>
              <w:t>。</w:t>
            </w:r>
          </w:p>
          <w:p w14:paraId="34F9E5EA">
            <w:pPr>
              <w:ind w:firstLine="240" w:firstLineChars="100"/>
              <w:rPr>
                <w:rFonts w:hint="eastAsia" w:ascii="宋体" w:hAnsi="宋体" w:eastAsia="宋体" w:cs="宋体"/>
                <w:sz w:val="24"/>
                <w:szCs w:val="24"/>
              </w:rPr>
            </w:pPr>
            <w:r>
              <w:rPr>
                <w:rFonts w:hint="eastAsia" w:ascii="宋体" w:hAnsi="宋体" w:eastAsia="宋体" w:cs="宋体"/>
                <w:sz w:val="24"/>
                <w:szCs w:val="24"/>
                <w:lang w:eastAsia="zh-CN"/>
              </w:rPr>
              <w:t>以上</w:t>
            </w:r>
            <w:r>
              <w:rPr>
                <w:rFonts w:hint="eastAsia" w:ascii="宋体" w:hAnsi="宋体" w:eastAsia="宋体" w:cs="宋体"/>
                <w:sz w:val="24"/>
                <w:szCs w:val="24"/>
                <w:lang w:val="en-US" w:eastAsia="zh-CN"/>
              </w:rPr>
              <w:t>4项内容齐全，针对性强、条理清晰、表述准确得分</w:t>
            </w:r>
            <w:r>
              <w:rPr>
                <w:rFonts w:hint="eastAsia" w:ascii="宋体" w:hAnsi="宋体" w:cs="宋体"/>
                <w:sz w:val="24"/>
                <w:szCs w:val="24"/>
                <w:lang w:val="en-US" w:eastAsia="zh-CN"/>
              </w:rPr>
              <w:t>4</w:t>
            </w:r>
            <w:r>
              <w:rPr>
                <w:rFonts w:hint="eastAsia" w:ascii="宋体" w:hAnsi="宋体" w:eastAsia="宋体" w:cs="宋体"/>
                <w:sz w:val="24"/>
                <w:szCs w:val="24"/>
                <w:lang w:val="en-US" w:eastAsia="zh-CN"/>
              </w:rPr>
              <w:t>分。</w:t>
            </w:r>
            <w:r>
              <w:rPr>
                <w:rFonts w:hint="eastAsia" w:ascii="宋体" w:hAnsi="宋体" w:cs="宋体"/>
                <w:sz w:val="24"/>
                <w:szCs w:val="24"/>
                <w:lang w:val="en-US" w:eastAsia="zh-CN"/>
              </w:rPr>
              <w:t>方案</w:t>
            </w:r>
            <w:r>
              <w:rPr>
                <w:rFonts w:hint="eastAsia" w:ascii="宋体" w:hAnsi="宋体" w:eastAsia="宋体" w:cs="宋体"/>
                <w:sz w:val="24"/>
                <w:szCs w:val="24"/>
                <w:lang w:val="en-US" w:eastAsia="zh-CN"/>
              </w:rPr>
              <w:t>每缺</w:t>
            </w:r>
            <w:r>
              <w:rPr>
                <w:rFonts w:hint="eastAsia" w:ascii="宋体" w:hAnsi="宋体" w:cs="宋体"/>
                <w:sz w:val="24"/>
                <w:szCs w:val="24"/>
                <w:lang w:val="en-US" w:eastAsia="zh-CN"/>
              </w:rPr>
              <w:t>失</w:t>
            </w:r>
            <w:r>
              <w:rPr>
                <w:rFonts w:hint="eastAsia" w:ascii="宋体" w:hAnsi="宋体" w:eastAsia="宋体" w:cs="宋体"/>
                <w:sz w:val="24"/>
                <w:szCs w:val="24"/>
                <w:lang w:val="en-US" w:eastAsia="zh-CN"/>
              </w:rPr>
              <w:t>一项内容扣</w:t>
            </w:r>
            <w:r>
              <w:rPr>
                <w:rFonts w:hint="eastAsia" w:ascii="宋体" w:hAnsi="宋体" w:cs="宋体"/>
                <w:sz w:val="24"/>
                <w:szCs w:val="24"/>
                <w:lang w:val="en-US" w:eastAsia="zh-CN"/>
              </w:rPr>
              <w:t>1</w:t>
            </w:r>
            <w:r>
              <w:rPr>
                <w:rFonts w:hint="eastAsia" w:ascii="宋体" w:hAnsi="宋体" w:eastAsia="宋体" w:cs="宋体"/>
                <w:sz w:val="24"/>
                <w:szCs w:val="24"/>
                <w:lang w:val="en-US" w:eastAsia="zh-CN"/>
              </w:rPr>
              <w:t>分（缺陷是指在完整性、可实施性和针对性等方面存在瑕疵或实用性不强）</w:t>
            </w:r>
            <w:r>
              <w:rPr>
                <w:rFonts w:hint="eastAsia" w:ascii="宋体" w:hAnsi="宋体" w:eastAsia="宋体" w:cs="宋体"/>
                <w:sz w:val="24"/>
                <w:szCs w:val="24"/>
              </w:rPr>
              <w:t>。</w:t>
            </w:r>
          </w:p>
          <w:p w14:paraId="605FB2F1">
            <w:pPr>
              <w:ind w:firstLine="240" w:firstLineChars="100"/>
              <w:rPr>
                <w:rFonts w:hint="eastAsia" w:ascii="宋体" w:hAnsi="宋体" w:eastAsia="宋体" w:cs="宋体"/>
                <w:sz w:val="24"/>
                <w:szCs w:val="24"/>
              </w:rPr>
            </w:pPr>
            <w:r>
              <w:rPr>
                <w:rFonts w:hint="eastAsia" w:ascii="宋体" w:hAnsi="宋体" w:eastAsia="宋体" w:cs="宋体"/>
                <w:sz w:val="24"/>
                <w:szCs w:val="24"/>
              </w:rPr>
              <w:t>根据评审标准对供应商技术方案进行评审，每一条不符合本项目特点和实际需求，存在缺陷或实用性不强的扣</w:t>
            </w:r>
            <w:r>
              <w:rPr>
                <w:rFonts w:hint="eastAsia" w:ascii="宋体" w:hAnsi="宋体" w:cs="宋体"/>
                <w:sz w:val="24"/>
                <w:szCs w:val="24"/>
                <w:lang w:val="en-US" w:eastAsia="zh-CN"/>
              </w:rPr>
              <w:t>0.5</w:t>
            </w:r>
            <w:r>
              <w:rPr>
                <w:rFonts w:hint="eastAsia" w:ascii="宋体" w:hAnsi="宋体" w:eastAsia="宋体" w:cs="宋体"/>
                <w:sz w:val="24"/>
                <w:szCs w:val="24"/>
              </w:rPr>
              <w:t>分，扣完为止。</w:t>
            </w:r>
          </w:p>
          <w:p w14:paraId="4C163DE2">
            <w:pPr>
              <w:ind w:firstLine="240" w:firstLineChars="100"/>
              <w:rPr>
                <w:rFonts w:hint="eastAsia" w:ascii="宋体" w:hAnsi="宋体" w:eastAsia="宋体" w:cs="宋体"/>
                <w:sz w:val="24"/>
                <w:szCs w:val="24"/>
              </w:rPr>
            </w:pPr>
            <w:r>
              <w:rPr>
                <w:rFonts w:hint="eastAsia" w:ascii="宋体" w:hAnsi="宋体" w:eastAsia="宋体" w:cs="宋体"/>
                <w:sz w:val="24"/>
                <w:szCs w:val="24"/>
              </w:rPr>
              <w:t xml:space="preserve">评审标准： </w:t>
            </w:r>
          </w:p>
          <w:p w14:paraId="6F6308F1">
            <w:pPr>
              <w:ind w:firstLine="240" w:firstLineChars="100"/>
              <w:rPr>
                <w:rFonts w:hint="eastAsia" w:ascii="宋体" w:hAnsi="宋体" w:eastAsia="宋体" w:cs="宋体"/>
                <w:sz w:val="24"/>
                <w:szCs w:val="24"/>
              </w:rPr>
            </w:pPr>
            <w:r>
              <w:rPr>
                <w:rFonts w:hint="eastAsia" w:ascii="宋体" w:hAnsi="宋体" w:eastAsia="宋体" w:cs="宋体"/>
                <w:sz w:val="24"/>
                <w:szCs w:val="24"/>
              </w:rPr>
              <w:t xml:space="preserve">完整性：方案须全面，对评审内容中的各项要求有详细描述； </w:t>
            </w:r>
          </w:p>
          <w:p w14:paraId="097237DF">
            <w:pPr>
              <w:ind w:firstLine="240" w:firstLineChars="100"/>
              <w:rPr>
                <w:rFonts w:hint="eastAsia" w:ascii="宋体" w:hAnsi="宋体" w:eastAsia="宋体" w:cs="宋体"/>
                <w:sz w:val="24"/>
                <w:szCs w:val="24"/>
              </w:rPr>
            </w:pPr>
            <w:r>
              <w:rPr>
                <w:rFonts w:hint="eastAsia" w:ascii="宋体" w:hAnsi="宋体" w:eastAsia="宋体" w:cs="宋体"/>
                <w:sz w:val="24"/>
                <w:szCs w:val="24"/>
              </w:rPr>
              <w:t xml:space="preserve">可实施性：切合本项目实际情况，实施步骤清晰、合理； </w:t>
            </w:r>
          </w:p>
          <w:p w14:paraId="209EA1BA">
            <w:pPr>
              <w:ind w:firstLine="240" w:firstLineChars="100"/>
              <w:rPr>
                <w:rFonts w:hint="eastAsia" w:ascii="宋体" w:hAnsi="宋体" w:eastAsia="宋体" w:cs="宋体"/>
                <w:sz w:val="24"/>
                <w:szCs w:val="24"/>
              </w:rPr>
            </w:pPr>
            <w:r>
              <w:rPr>
                <w:rFonts w:hint="eastAsia" w:ascii="宋体" w:hAnsi="宋体" w:eastAsia="宋体" w:cs="宋体"/>
                <w:sz w:val="24"/>
                <w:szCs w:val="24"/>
              </w:rPr>
              <w:t xml:space="preserve">针对性：方案能够紧扣项目实际情况，内容科学合理。 </w:t>
            </w:r>
          </w:p>
        </w:tc>
      </w:tr>
      <w:tr w14:paraId="150876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234" w:type="dxa"/>
            <w:noWrap w:val="0"/>
            <w:vAlign w:val="center"/>
          </w:tcPr>
          <w:p w14:paraId="22B929CA">
            <w:pPr>
              <w:autoSpaceDE w:val="0"/>
              <w:autoSpaceDN w:val="0"/>
              <w:adjustRightInd w:val="0"/>
              <w:spacing w:line="276" w:lineRule="auto"/>
              <w:jc w:val="center"/>
              <w:rPr>
                <w:rFonts w:hint="eastAsia" w:ascii="宋体" w:hAnsi="宋体" w:eastAsia="宋体" w:cs="宋体"/>
                <w:sz w:val="24"/>
                <w:szCs w:val="24"/>
              </w:rPr>
            </w:pPr>
            <w:r>
              <w:rPr>
                <w:rFonts w:hint="eastAsia" w:ascii="宋体" w:hAnsi="宋体" w:eastAsia="宋体" w:cs="宋体"/>
                <w:sz w:val="24"/>
                <w:szCs w:val="24"/>
              </w:rPr>
              <w:t>质量保证</w:t>
            </w:r>
          </w:p>
        </w:tc>
        <w:tc>
          <w:tcPr>
            <w:tcW w:w="824" w:type="dxa"/>
            <w:noWrap w:val="0"/>
            <w:vAlign w:val="center"/>
          </w:tcPr>
          <w:p w14:paraId="4288DD61">
            <w:pPr>
              <w:autoSpaceDE w:val="0"/>
              <w:autoSpaceDN w:val="0"/>
              <w:adjustRightInd w:val="0"/>
              <w:spacing w:line="276" w:lineRule="auto"/>
              <w:jc w:val="center"/>
              <w:rPr>
                <w:rFonts w:hint="eastAsia" w:ascii="宋体" w:hAnsi="宋体" w:eastAsia="宋体" w:cs="宋体"/>
                <w:sz w:val="24"/>
                <w:szCs w:val="24"/>
                <w:lang w:eastAsia="zh-CN"/>
              </w:rPr>
            </w:pPr>
            <w:r>
              <w:rPr>
                <w:rFonts w:hint="eastAsia" w:ascii="宋体" w:hAnsi="宋体" w:eastAsia="宋体" w:cs="宋体"/>
                <w:sz w:val="24"/>
                <w:szCs w:val="24"/>
                <w:lang w:val="en-US" w:eastAsia="zh-CN"/>
              </w:rPr>
              <w:t>6</w:t>
            </w:r>
          </w:p>
        </w:tc>
        <w:tc>
          <w:tcPr>
            <w:tcW w:w="6681" w:type="dxa"/>
            <w:noWrap w:val="0"/>
            <w:vAlign w:val="center"/>
          </w:tcPr>
          <w:p w14:paraId="0C7327A6">
            <w:pPr>
              <w:rPr>
                <w:rFonts w:hint="eastAsia" w:ascii="宋体" w:hAnsi="宋体" w:eastAsia="宋体" w:cs="宋体"/>
                <w:sz w:val="24"/>
                <w:szCs w:val="24"/>
              </w:rPr>
            </w:pPr>
            <w:r>
              <w:rPr>
                <w:rFonts w:hint="eastAsia" w:ascii="宋体" w:hAnsi="宋体" w:eastAsia="宋体" w:cs="宋体"/>
                <w:sz w:val="24"/>
                <w:szCs w:val="24"/>
              </w:rPr>
              <w:t>根据项目需求内容制定整体质量保证措施：</w:t>
            </w:r>
          </w:p>
          <w:p w14:paraId="4C5C299C">
            <w:pPr>
              <w:ind w:firstLine="240" w:firstLineChars="100"/>
              <w:rPr>
                <w:rFonts w:hint="eastAsia" w:ascii="宋体" w:hAnsi="宋体" w:eastAsia="宋体" w:cs="宋体"/>
                <w:sz w:val="24"/>
                <w:szCs w:val="24"/>
              </w:rPr>
            </w:pPr>
            <w:r>
              <w:rPr>
                <w:rFonts w:hint="eastAsia" w:ascii="宋体" w:hAnsi="宋体" w:eastAsia="宋体" w:cs="宋体"/>
                <w:sz w:val="24"/>
                <w:szCs w:val="24"/>
              </w:rPr>
              <w:t>①产品符合行业标准，配件齐全，使用简单方便；</w:t>
            </w:r>
          </w:p>
          <w:p w14:paraId="67AF17D3">
            <w:pPr>
              <w:ind w:firstLine="240" w:firstLineChars="100"/>
              <w:rPr>
                <w:rFonts w:hint="eastAsia" w:ascii="宋体" w:hAnsi="宋体" w:eastAsia="宋体" w:cs="宋体"/>
                <w:sz w:val="24"/>
                <w:szCs w:val="24"/>
              </w:rPr>
            </w:pPr>
            <w:r>
              <w:rPr>
                <w:rFonts w:hint="eastAsia" w:ascii="宋体" w:hAnsi="宋体" w:eastAsia="宋体" w:cs="宋体"/>
                <w:sz w:val="24"/>
                <w:szCs w:val="24"/>
              </w:rPr>
              <w:t>②产品供货渠道正规，无产权纠纷</w:t>
            </w:r>
            <w:r>
              <w:rPr>
                <w:rFonts w:hint="eastAsia" w:ascii="宋体" w:hAnsi="宋体" w:cs="宋体"/>
                <w:sz w:val="24"/>
                <w:szCs w:val="24"/>
                <w:lang w:eastAsia="zh-CN"/>
              </w:rPr>
              <w:t>，</w:t>
            </w:r>
            <w:r>
              <w:rPr>
                <w:rFonts w:hint="eastAsia" w:ascii="宋体" w:hAnsi="宋体" w:eastAsia="宋体" w:cs="宋体"/>
                <w:sz w:val="24"/>
                <w:szCs w:val="24"/>
              </w:rPr>
              <w:t>并提供相应的证明材料，包括但不限于所投产品</w:t>
            </w:r>
            <w:r>
              <w:rPr>
                <w:rFonts w:hint="eastAsia" w:ascii="宋体" w:hAnsi="宋体" w:eastAsia="宋体" w:cs="宋体"/>
                <w:sz w:val="24"/>
                <w:szCs w:val="24"/>
                <w:lang w:eastAsia="zh-CN"/>
              </w:rPr>
              <w:t>厂家授权、销售协议</w:t>
            </w:r>
            <w:r>
              <w:rPr>
                <w:rFonts w:hint="eastAsia" w:ascii="宋体" w:hAnsi="宋体" w:eastAsia="宋体" w:cs="宋体"/>
                <w:sz w:val="24"/>
                <w:szCs w:val="24"/>
              </w:rPr>
              <w:t>等；</w:t>
            </w:r>
          </w:p>
          <w:p w14:paraId="611D07BB">
            <w:pPr>
              <w:ind w:firstLine="240" w:firstLineChars="100"/>
              <w:rPr>
                <w:rFonts w:hint="eastAsia" w:ascii="宋体" w:hAnsi="宋体" w:cs="宋体"/>
                <w:sz w:val="24"/>
                <w:szCs w:val="24"/>
                <w:lang w:eastAsia="zh-CN"/>
              </w:rPr>
            </w:pPr>
            <w:r>
              <w:rPr>
                <w:rFonts w:hint="eastAsia" w:ascii="宋体" w:hAnsi="宋体" w:eastAsia="宋体" w:cs="宋体"/>
                <w:sz w:val="24"/>
                <w:szCs w:val="24"/>
              </w:rPr>
              <w:t>③相关的质量保证承诺，并提供相应的证明材料，包括但不限于所投产品的</w:t>
            </w:r>
            <w:r>
              <w:rPr>
                <w:rFonts w:hint="eastAsia" w:ascii="宋体" w:hAnsi="宋体" w:eastAsia="宋体" w:cs="宋体"/>
                <w:sz w:val="24"/>
                <w:szCs w:val="24"/>
                <w:lang w:val="en-US" w:eastAsia="zh-CN"/>
              </w:rPr>
              <w:t>检测报告、技术说明书、彩页、官网截图等</w:t>
            </w:r>
            <w:r>
              <w:rPr>
                <w:rFonts w:hint="eastAsia" w:ascii="宋体" w:hAnsi="宋体" w:cs="宋体"/>
                <w:sz w:val="24"/>
                <w:szCs w:val="24"/>
                <w:lang w:eastAsia="zh-CN"/>
              </w:rPr>
              <w:t>。</w:t>
            </w:r>
          </w:p>
          <w:p w14:paraId="6F25D2D0">
            <w:pPr>
              <w:ind w:firstLine="240" w:firstLineChars="100"/>
              <w:rPr>
                <w:rFonts w:hint="eastAsia" w:ascii="宋体" w:hAnsi="宋体" w:eastAsia="宋体" w:cs="宋体"/>
                <w:sz w:val="24"/>
                <w:szCs w:val="24"/>
              </w:rPr>
            </w:pPr>
            <w:r>
              <w:rPr>
                <w:rFonts w:hint="eastAsia" w:ascii="宋体" w:hAnsi="宋体" w:eastAsia="宋体" w:cs="宋体"/>
                <w:sz w:val="24"/>
                <w:szCs w:val="24"/>
                <w:lang w:eastAsia="zh-CN"/>
              </w:rPr>
              <w:t>以上三项</w:t>
            </w:r>
            <w:r>
              <w:rPr>
                <w:rFonts w:hint="eastAsia" w:ascii="宋体" w:hAnsi="宋体" w:eastAsia="宋体" w:cs="宋体"/>
                <w:sz w:val="24"/>
                <w:szCs w:val="24"/>
              </w:rPr>
              <w:t>内容齐全、结构完整、表述准确、条理清晰得</w:t>
            </w:r>
            <w:r>
              <w:rPr>
                <w:rFonts w:hint="eastAsia" w:ascii="宋体" w:hAnsi="宋体" w:eastAsia="宋体" w:cs="宋体"/>
                <w:sz w:val="24"/>
                <w:szCs w:val="24"/>
                <w:lang w:val="en-US" w:eastAsia="zh-CN"/>
              </w:rPr>
              <w:t>6</w:t>
            </w:r>
            <w:r>
              <w:rPr>
                <w:rFonts w:hint="eastAsia" w:ascii="宋体" w:hAnsi="宋体" w:eastAsia="宋体" w:cs="宋体"/>
                <w:sz w:val="24"/>
                <w:szCs w:val="24"/>
              </w:rPr>
              <w:t>分，方案每缺失一项</w:t>
            </w:r>
            <w:r>
              <w:rPr>
                <w:rFonts w:hint="eastAsia" w:ascii="宋体" w:hAnsi="宋体" w:cs="宋体"/>
                <w:sz w:val="24"/>
                <w:szCs w:val="24"/>
                <w:lang w:val="en-US" w:eastAsia="zh-CN"/>
              </w:rPr>
              <w:t>内容</w:t>
            </w:r>
            <w:r>
              <w:rPr>
                <w:rFonts w:hint="eastAsia" w:ascii="宋体" w:hAnsi="宋体" w:eastAsia="宋体" w:cs="宋体"/>
                <w:sz w:val="24"/>
                <w:szCs w:val="24"/>
              </w:rPr>
              <w:t>扣</w:t>
            </w:r>
            <w:r>
              <w:rPr>
                <w:rFonts w:hint="eastAsia" w:ascii="宋体" w:hAnsi="宋体" w:eastAsia="宋体" w:cs="宋体"/>
                <w:sz w:val="24"/>
                <w:szCs w:val="24"/>
                <w:lang w:val="en-US" w:eastAsia="zh-CN"/>
              </w:rPr>
              <w:t>2</w:t>
            </w:r>
            <w:r>
              <w:rPr>
                <w:rFonts w:hint="eastAsia" w:ascii="宋体" w:hAnsi="宋体" w:eastAsia="宋体" w:cs="宋体"/>
                <w:sz w:val="24"/>
                <w:szCs w:val="24"/>
              </w:rPr>
              <w:t>分</w:t>
            </w:r>
            <w:r>
              <w:rPr>
                <w:rFonts w:hint="eastAsia" w:ascii="宋体" w:hAnsi="宋体" w:eastAsia="宋体" w:cs="宋体"/>
                <w:sz w:val="24"/>
                <w:szCs w:val="24"/>
                <w:lang w:val="en-US" w:eastAsia="zh-CN"/>
              </w:rPr>
              <w:t>（缺陷是指在完整性、可实施性和针对性等方面存在瑕疵或实用性不强）</w:t>
            </w:r>
            <w:r>
              <w:rPr>
                <w:rFonts w:hint="eastAsia" w:ascii="宋体" w:hAnsi="宋体" w:eastAsia="宋体" w:cs="宋体"/>
                <w:sz w:val="24"/>
                <w:szCs w:val="24"/>
              </w:rPr>
              <w:t>。</w:t>
            </w:r>
          </w:p>
          <w:p w14:paraId="6F15054C">
            <w:pPr>
              <w:ind w:firstLine="240" w:firstLineChars="100"/>
              <w:rPr>
                <w:rFonts w:hint="eastAsia" w:ascii="宋体" w:hAnsi="宋体" w:eastAsia="宋体" w:cs="宋体"/>
                <w:sz w:val="24"/>
                <w:szCs w:val="24"/>
              </w:rPr>
            </w:pPr>
            <w:r>
              <w:rPr>
                <w:rFonts w:hint="eastAsia" w:ascii="宋体" w:hAnsi="宋体" w:eastAsia="宋体" w:cs="宋体"/>
                <w:sz w:val="24"/>
                <w:szCs w:val="24"/>
              </w:rPr>
              <w:t>根据评审标准对供应商整体质量保证措施进行评审，每一条不符合本项目特点和实际需求，存在缺陷或实用性不强的扣1分，扣完为止。</w:t>
            </w:r>
          </w:p>
          <w:p w14:paraId="7178B923">
            <w:pPr>
              <w:ind w:firstLine="240" w:firstLineChars="100"/>
              <w:rPr>
                <w:rFonts w:hint="eastAsia" w:ascii="宋体" w:hAnsi="宋体" w:eastAsia="宋体" w:cs="宋体"/>
                <w:sz w:val="24"/>
                <w:szCs w:val="24"/>
              </w:rPr>
            </w:pPr>
            <w:r>
              <w:rPr>
                <w:rFonts w:hint="eastAsia" w:ascii="宋体" w:hAnsi="宋体" w:eastAsia="宋体" w:cs="宋体"/>
                <w:sz w:val="24"/>
                <w:szCs w:val="24"/>
              </w:rPr>
              <w:t xml:space="preserve">评审标准： </w:t>
            </w:r>
          </w:p>
          <w:p w14:paraId="21F3C605">
            <w:pPr>
              <w:ind w:firstLine="240" w:firstLineChars="100"/>
              <w:rPr>
                <w:rFonts w:hint="eastAsia" w:ascii="宋体" w:hAnsi="宋体" w:eastAsia="宋体" w:cs="宋体"/>
                <w:sz w:val="24"/>
                <w:szCs w:val="24"/>
              </w:rPr>
            </w:pPr>
            <w:r>
              <w:rPr>
                <w:rFonts w:hint="eastAsia" w:ascii="宋体" w:hAnsi="宋体" w:eastAsia="宋体" w:cs="宋体"/>
                <w:sz w:val="24"/>
                <w:szCs w:val="24"/>
              </w:rPr>
              <w:t xml:space="preserve">完整性：方案须全面，对评审内容中的各项要求有详细描述； </w:t>
            </w:r>
          </w:p>
          <w:p w14:paraId="3BA893FB">
            <w:pPr>
              <w:ind w:firstLine="240" w:firstLineChars="100"/>
              <w:rPr>
                <w:rFonts w:hint="eastAsia" w:ascii="宋体" w:hAnsi="宋体" w:eastAsia="宋体" w:cs="宋体"/>
                <w:sz w:val="24"/>
                <w:szCs w:val="24"/>
              </w:rPr>
            </w:pPr>
            <w:r>
              <w:rPr>
                <w:rFonts w:hint="eastAsia" w:ascii="宋体" w:hAnsi="宋体" w:eastAsia="宋体" w:cs="宋体"/>
                <w:sz w:val="24"/>
                <w:szCs w:val="24"/>
              </w:rPr>
              <w:t xml:space="preserve">可实施性：切合本项目实际情况，实施步骤清晰、合理； </w:t>
            </w:r>
          </w:p>
          <w:p w14:paraId="16F57174">
            <w:pPr>
              <w:ind w:firstLine="240" w:firstLineChars="100"/>
              <w:rPr>
                <w:rFonts w:hint="eastAsia" w:ascii="宋体" w:hAnsi="宋体" w:eastAsia="宋体" w:cs="宋体"/>
                <w:sz w:val="24"/>
                <w:szCs w:val="24"/>
              </w:rPr>
            </w:pPr>
            <w:r>
              <w:rPr>
                <w:rFonts w:hint="eastAsia" w:ascii="宋体" w:hAnsi="宋体" w:eastAsia="宋体" w:cs="宋体"/>
                <w:sz w:val="24"/>
                <w:szCs w:val="24"/>
              </w:rPr>
              <w:t>针对性：方案能够紧扣项目实际情况，内容科学合理。</w:t>
            </w:r>
          </w:p>
        </w:tc>
      </w:tr>
      <w:tr w14:paraId="001773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6" w:hRule="atLeast"/>
          <w:jc w:val="center"/>
        </w:trPr>
        <w:tc>
          <w:tcPr>
            <w:tcW w:w="1234" w:type="dxa"/>
            <w:noWrap w:val="0"/>
            <w:vAlign w:val="center"/>
          </w:tcPr>
          <w:p w14:paraId="638BF5A6">
            <w:pPr>
              <w:pStyle w:val="16"/>
              <w:rPr>
                <w:rFonts w:hint="eastAsia" w:ascii="宋体" w:hAnsi="宋体" w:eastAsia="宋体" w:cs="宋体"/>
                <w:sz w:val="24"/>
                <w:szCs w:val="24"/>
              </w:rPr>
            </w:pPr>
            <w:r>
              <w:rPr>
                <w:rFonts w:hint="eastAsia" w:ascii="宋体" w:hAnsi="宋体" w:eastAsia="宋体" w:cs="宋体"/>
                <w:sz w:val="24"/>
                <w:szCs w:val="24"/>
              </w:rPr>
              <w:t>售后服务</w:t>
            </w:r>
          </w:p>
        </w:tc>
        <w:tc>
          <w:tcPr>
            <w:tcW w:w="824" w:type="dxa"/>
            <w:noWrap w:val="0"/>
            <w:vAlign w:val="center"/>
          </w:tcPr>
          <w:p w14:paraId="71CD97DF">
            <w:pPr>
              <w:autoSpaceDE w:val="0"/>
              <w:autoSpaceDN w:val="0"/>
              <w:adjustRightInd w:val="0"/>
              <w:spacing w:line="276" w:lineRule="auto"/>
              <w:jc w:val="center"/>
              <w:rPr>
                <w:rFonts w:hint="eastAsia" w:ascii="宋体" w:hAnsi="宋体" w:eastAsia="宋体" w:cs="宋体"/>
                <w:sz w:val="24"/>
                <w:szCs w:val="24"/>
                <w:lang w:eastAsia="zh-CN"/>
              </w:rPr>
            </w:pPr>
            <w:r>
              <w:rPr>
                <w:rFonts w:hint="eastAsia" w:ascii="宋体" w:hAnsi="宋体" w:cs="宋体"/>
                <w:sz w:val="24"/>
                <w:szCs w:val="24"/>
                <w:lang w:val="en-US" w:eastAsia="zh-CN"/>
              </w:rPr>
              <w:t>8</w:t>
            </w:r>
          </w:p>
        </w:tc>
        <w:tc>
          <w:tcPr>
            <w:tcW w:w="6681" w:type="dxa"/>
            <w:noWrap w:val="0"/>
            <w:vAlign w:val="center"/>
          </w:tcPr>
          <w:p w14:paraId="2CE0CF06">
            <w:pPr>
              <w:rPr>
                <w:rFonts w:hint="eastAsia" w:ascii="宋体" w:hAnsi="宋体" w:cs="宋体"/>
                <w:sz w:val="24"/>
                <w:szCs w:val="24"/>
                <w:lang w:eastAsia="zh-CN"/>
              </w:rPr>
            </w:pPr>
            <w:r>
              <w:rPr>
                <w:rFonts w:hint="eastAsia" w:ascii="宋体" w:hAnsi="宋体" w:eastAsia="宋体" w:cs="宋体"/>
                <w:sz w:val="24"/>
                <w:szCs w:val="24"/>
              </w:rPr>
              <w:t>针对本项目</w:t>
            </w:r>
            <w:r>
              <w:rPr>
                <w:rFonts w:hint="eastAsia" w:ascii="宋体" w:hAnsi="宋体" w:eastAsia="宋体" w:cs="宋体"/>
                <w:sz w:val="24"/>
                <w:szCs w:val="24"/>
                <w:lang w:eastAsia="zh-CN"/>
              </w:rPr>
              <w:t>提供</w:t>
            </w:r>
            <w:r>
              <w:rPr>
                <w:rFonts w:hint="eastAsia" w:ascii="宋体" w:hAnsi="宋体" w:eastAsia="宋体" w:cs="宋体"/>
                <w:sz w:val="24"/>
                <w:szCs w:val="24"/>
              </w:rPr>
              <w:t>售后服务方案</w:t>
            </w:r>
            <w:r>
              <w:rPr>
                <w:rFonts w:hint="eastAsia" w:ascii="宋体" w:hAnsi="宋体" w:cs="宋体"/>
                <w:sz w:val="24"/>
                <w:szCs w:val="24"/>
                <w:lang w:eastAsia="zh-CN"/>
              </w:rPr>
              <w:t>：</w:t>
            </w:r>
          </w:p>
          <w:p w14:paraId="21FD230D">
            <w:pPr>
              <w:ind w:firstLine="240" w:firstLineChars="100"/>
              <w:rPr>
                <w:rFonts w:hint="eastAsia" w:ascii="宋体" w:hAnsi="宋体" w:eastAsia="宋体" w:cs="宋体"/>
                <w:sz w:val="24"/>
                <w:szCs w:val="24"/>
              </w:rPr>
            </w:pPr>
            <w:r>
              <w:rPr>
                <w:rFonts w:hint="eastAsia" w:ascii="宋体" w:hAnsi="宋体" w:eastAsia="宋体" w:cs="宋体"/>
                <w:sz w:val="24"/>
                <w:szCs w:val="24"/>
              </w:rPr>
              <w:t>①售后服务承诺</w:t>
            </w:r>
            <w:r>
              <w:rPr>
                <w:rFonts w:hint="eastAsia" w:ascii="宋体" w:hAnsi="宋体" w:cs="宋体"/>
                <w:sz w:val="24"/>
                <w:szCs w:val="24"/>
                <w:lang w:eastAsia="zh-CN"/>
              </w:rPr>
              <w:t>，服务质量承诺，承诺维修服务具体响应时限（有详细的设备在发生不同类型故障后的到达现场、解决故障时间、补救措施）；</w:t>
            </w:r>
          </w:p>
          <w:p w14:paraId="432FDEA3">
            <w:pPr>
              <w:ind w:firstLine="240" w:firstLineChars="100"/>
              <w:rPr>
                <w:rFonts w:hint="eastAsia" w:ascii="宋体" w:hAnsi="宋体" w:eastAsia="宋体" w:cs="宋体"/>
                <w:sz w:val="24"/>
                <w:szCs w:val="24"/>
              </w:rPr>
            </w:pPr>
            <w:r>
              <w:rPr>
                <w:rFonts w:hint="eastAsia" w:ascii="宋体" w:hAnsi="宋体" w:eastAsia="宋体" w:cs="宋体"/>
                <w:sz w:val="24"/>
                <w:szCs w:val="24"/>
              </w:rPr>
              <w:t>②</w:t>
            </w:r>
            <w:r>
              <w:rPr>
                <w:rFonts w:hint="eastAsia" w:ascii="宋体" w:hAnsi="宋体" w:eastAsia="宋体" w:cs="宋体"/>
                <w:sz w:val="24"/>
                <w:szCs w:val="24"/>
                <w:lang w:val="en-US" w:eastAsia="zh-CN"/>
              </w:rPr>
              <w:t>售后</w:t>
            </w:r>
            <w:r>
              <w:rPr>
                <w:rFonts w:hint="eastAsia" w:ascii="宋体" w:hAnsi="宋体" w:cs="宋体"/>
                <w:sz w:val="24"/>
                <w:szCs w:val="24"/>
                <w:lang w:val="en-US" w:eastAsia="zh-CN"/>
              </w:rPr>
              <w:t>服务</w:t>
            </w:r>
            <w:r>
              <w:rPr>
                <w:rFonts w:hint="eastAsia" w:ascii="宋体" w:hAnsi="宋体" w:eastAsia="宋体" w:cs="宋体"/>
                <w:sz w:val="24"/>
                <w:szCs w:val="24"/>
              </w:rPr>
              <w:t>人员</w:t>
            </w:r>
            <w:r>
              <w:rPr>
                <w:rFonts w:hint="eastAsia" w:ascii="宋体" w:hAnsi="宋体" w:cs="宋体"/>
                <w:sz w:val="24"/>
                <w:szCs w:val="24"/>
                <w:lang w:val="en-US" w:eastAsia="zh-CN"/>
              </w:rPr>
              <w:t>具有相关专业职称或技能证书，并提供</w:t>
            </w:r>
            <w:r>
              <w:rPr>
                <w:rFonts w:hint="eastAsia" w:ascii="宋体" w:hAnsi="宋体" w:cs="宋体"/>
                <w:sz w:val="24"/>
                <w:szCs w:val="24"/>
                <w:lang w:eastAsia="zh-CN"/>
              </w:rPr>
              <w:t>社保证明</w:t>
            </w:r>
            <w:r>
              <w:rPr>
                <w:rFonts w:hint="eastAsia" w:ascii="宋体" w:hAnsi="宋体" w:eastAsia="宋体" w:cs="宋体"/>
                <w:sz w:val="24"/>
                <w:szCs w:val="24"/>
              </w:rPr>
              <w:t>；</w:t>
            </w:r>
          </w:p>
          <w:p w14:paraId="46B352C3">
            <w:pPr>
              <w:ind w:firstLine="240" w:firstLineChars="100"/>
              <w:rPr>
                <w:rFonts w:hint="eastAsia" w:ascii="宋体" w:hAnsi="宋体" w:cs="宋体"/>
                <w:sz w:val="24"/>
                <w:szCs w:val="24"/>
                <w:lang w:eastAsia="zh-CN"/>
              </w:rPr>
            </w:pPr>
            <w:r>
              <w:rPr>
                <w:rFonts w:hint="eastAsia" w:ascii="宋体" w:hAnsi="宋体" w:eastAsia="宋体" w:cs="宋体"/>
                <w:sz w:val="24"/>
                <w:szCs w:val="24"/>
              </w:rPr>
              <w:t>③售后服务方案、售后服务保障措施</w:t>
            </w:r>
            <w:r>
              <w:rPr>
                <w:rFonts w:hint="eastAsia" w:ascii="宋体" w:hAnsi="宋体" w:cs="宋体"/>
                <w:sz w:val="24"/>
                <w:szCs w:val="24"/>
                <w:lang w:eastAsia="zh-CN"/>
              </w:rPr>
              <w:t>；</w:t>
            </w:r>
          </w:p>
          <w:p w14:paraId="7C3B7314">
            <w:pPr>
              <w:pStyle w:val="16"/>
              <w:ind w:firstLine="240" w:firstLineChars="100"/>
              <w:jc w:val="both"/>
              <w:rPr>
                <w:rFonts w:hint="eastAsia" w:ascii="宋体" w:hAnsi="宋体" w:eastAsia="宋体" w:cs="宋体"/>
                <w:sz w:val="24"/>
                <w:szCs w:val="24"/>
                <w:lang w:eastAsia="zh-CN"/>
              </w:rPr>
            </w:pPr>
            <w:r>
              <w:rPr>
                <w:rFonts w:hint="eastAsia" w:ascii="宋体" w:hAnsi="宋体" w:cs="宋体"/>
                <w:sz w:val="24"/>
                <w:szCs w:val="24"/>
                <w:lang w:eastAsia="zh-CN"/>
              </w:rPr>
              <w:t>④售后服务机构健全，在项目当地有售后服务机构</w:t>
            </w:r>
            <w:r>
              <w:rPr>
                <w:rFonts w:hint="eastAsia" w:ascii="宋体" w:hAnsi="宋体" w:cs="宋体"/>
                <w:sz w:val="24"/>
                <w:szCs w:val="24"/>
                <w:lang w:val="en-US" w:eastAsia="zh-CN"/>
              </w:rPr>
              <w:t>或承诺中标后在当地建立售后服务机构</w:t>
            </w:r>
            <w:r>
              <w:rPr>
                <w:rFonts w:hint="eastAsia" w:ascii="宋体" w:hAnsi="宋体" w:cs="宋体"/>
                <w:sz w:val="24"/>
                <w:szCs w:val="24"/>
                <w:lang w:eastAsia="zh-CN"/>
              </w:rPr>
              <w:t>，并提供相关证明资料</w:t>
            </w:r>
            <w:r>
              <w:rPr>
                <w:rFonts w:hint="eastAsia" w:ascii="宋体" w:hAnsi="宋体" w:cs="宋体"/>
                <w:sz w:val="24"/>
                <w:szCs w:val="24"/>
                <w:lang w:val="en-US" w:eastAsia="zh-CN"/>
              </w:rPr>
              <w:t>或承诺书</w:t>
            </w:r>
            <w:r>
              <w:rPr>
                <w:rFonts w:hint="eastAsia" w:ascii="宋体" w:hAnsi="宋体" w:eastAsia="宋体" w:cs="宋体"/>
                <w:sz w:val="24"/>
                <w:szCs w:val="24"/>
                <w:lang w:eastAsia="zh-CN"/>
              </w:rPr>
              <w:t>。</w:t>
            </w:r>
          </w:p>
          <w:p w14:paraId="63B8961F">
            <w:pPr>
              <w:pStyle w:val="16"/>
              <w:ind w:firstLine="240" w:firstLineChars="100"/>
              <w:jc w:val="both"/>
              <w:rPr>
                <w:rFonts w:hint="eastAsia" w:ascii="宋体" w:hAnsi="宋体" w:eastAsia="宋体" w:cs="宋体"/>
                <w:sz w:val="24"/>
                <w:szCs w:val="24"/>
              </w:rPr>
            </w:pPr>
            <w:r>
              <w:rPr>
                <w:rFonts w:hint="eastAsia" w:ascii="宋体" w:hAnsi="宋体" w:eastAsia="宋体" w:cs="宋体"/>
                <w:sz w:val="24"/>
                <w:szCs w:val="24"/>
                <w:lang w:eastAsia="zh-CN"/>
              </w:rPr>
              <w:t>以上</w:t>
            </w:r>
            <w:r>
              <w:rPr>
                <w:rFonts w:hint="eastAsia" w:ascii="宋体" w:hAnsi="宋体" w:cs="宋体"/>
                <w:sz w:val="24"/>
                <w:szCs w:val="24"/>
                <w:lang w:eastAsia="zh-CN"/>
              </w:rPr>
              <w:t>五</w:t>
            </w:r>
            <w:r>
              <w:rPr>
                <w:rFonts w:hint="eastAsia" w:ascii="宋体" w:hAnsi="宋体" w:eastAsia="宋体" w:cs="宋体"/>
                <w:sz w:val="24"/>
                <w:szCs w:val="24"/>
                <w:lang w:eastAsia="zh-CN"/>
              </w:rPr>
              <w:t>项</w:t>
            </w:r>
            <w:r>
              <w:rPr>
                <w:rFonts w:hint="eastAsia" w:ascii="宋体" w:hAnsi="宋体" w:eastAsia="宋体" w:cs="宋体"/>
                <w:sz w:val="24"/>
                <w:szCs w:val="24"/>
              </w:rPr>
              <w:t>内容齐全、结构完整、表述准确、条理清晰得</w:t>
            </w:r>
            <w:r>
              <w:rPr>
                <w:rFonts w:hint="eastAsia" w:ascii="宋体" w:hAnsi="宋体" w:cs="宋体"/>
                <w:sz w:val="24"/>
                <w:szCs w:val="24"/>
                <w:lang w:val="en-US" w:eastAsia="zh-CN"/>
              </w:rPr>
              <w:t>8</w:t>
            </w:r>
            <w:r>
              <w:rPr>
                <w:rFonts w:hint="eastAsia" w:ascii="宋体" w:hAnsi="宋体" w:eastAsia="宋体" w:cs="宋体"/>
                <w:sz w:val="24"/>
                <w:szCs w:val="24"/>
              </w:rPr>
              <w:t>分，方案每缺失一项</w:t>
            </w:r>
            <w:r>
              <w:rPr>
                <w:rFonts w:hint="eastAsia" w:ascii="宋体" w:hAnsi="宋体" w:cs="宋体"/>
                <w:sz w:val="24"/>
                <w:szCs w:val="24"/>
                <w:lang w:val="en-US" w:eastAsia="zh-CN"/>
              </w:rPr>
              <w:t>内容</w:t>
            </w:r>
            <w:r>
              <w:rPr>
                <w:rFonts w:hint="eastAsia" w:ascii="宋体" w:hAnsi="宋体" w:eastAsia="宋体" w:cs="宋体"/>
                <w:sz w:val="24"/>
                <w:szCs w:val="24"/>
              </w:rPr>
              <w:t>扣</w:t>
            </w:r>
            <w:r>
              <w:rPr>
                <w:rFonts w:hint="eastAsia" w:ascii="宋体" w:hAnsi="宋体" w:eastAsia="宋体" w:cs="宋体"/>
                <w:sz w:val="24"/>
                <w:szCs w:val="24"/>
                <w:lang w:val="en-US" w:eastAsia="zh-CN"/>
              </w:rPr>
              <w:t>2</w:t>
            </w:r>
            <w:r>
              <w:rPr>
                <w:rFonts w:hint="eastAsia" w:ascii="宋体" w:hAnsi="宋体" w:eastAsia="宋体" w:cs="宋体"/>
                <w:sz w:val="24"/>
                <w:szCs w:val="24"/>
              </w:rPr>
              <w:t>分</w:t>
            </w:r>
            <w:r>
              <w:rPr>
                <w:rFonts w:hint="eastAsia" w:ascii="宋体" w:hAnsi="宋体" w:eastAsia="宋体" w:cs="宋体"/>
                <w:sz w:val="24"/>
                <w:szCs w:val="24"/>
                <w:lang w:val="en-US" w:eastAsia="zh-CN"/>
              </w:rPr>
              <w:t>（缺陷是指在完整性、可实施性和针对性等方面存在瑕疵或实用性不强）</w:t>
            </w:r>
            <w:r>
              <w:rPr>
                <w:rFonts w:hint="eastAsia" w:ascii="宋体" w:hAnsi="宋体" w:eastAsia="宋体" w:cs="宋体"/>
                <w:sz w:val="24"/>
                <w:szCs w:val="24"/>
              </w:rPr>
              <w:t>。</w:t>
            </w:r>
          </w:p>
          <w:p w14:paraId="5CC987AC">
            <w:pPr>
              <w:ind w:firstLine="240" w:firstLineChars="100"/>
              <w:rPr>
                <w:rFonts w:hint="eastAsia"/>
              </w:rPr>
            </w:pPr>
            <w:r>
              <w:rPr>
                <w:rFonts w:hint="eastAsia" w:ascii="宋体" w:hAnsi="宋体" w:eastAsia="宋体" w:cs="宋体"/>
                <w:sz w:val="24"/>
                <w:szCs w:val="24"/>
              </w:rPr>
              <w:t>根据评审标准对供应商整体质量保证措施进行评审，每一条不符合本项目特点和实际需求，存在缺陷或实用性不强的扣</w:t>
            </w:r>
            <w:r>
              <w:rPr>
                <w:rFonts w:hint="eastAsia" w:ascii="宋体" w:hAnsi="宋体" w:cs="宋体"/>
                <w:sz w:val="24"/>
                <w:szCs w:val="24"/>
                <w:lang w:val="en-US" w:eastAsia="zh-CN"/>
              </w:rPr>
              <w:t>1</w:t>
            </w:r>
            <w:r>
              <w:rPr>
                <w:rFonts w:hint="eastAsia" w:ascii="宋体" w:hAnsi="宋体" w:eastAsia="宋体" w:cs="宋体"/>
                <w:sz w:val="24"/>
                <w:szCs w:val="24"/>
              </w:rPr>
              <w:t>分，扣完为止。</w:t>
            </w:r>
          </w:p>
          <w:p w14:paraId="398BC709">
            <w:pPr>
              <w:ind w:firstLine="240" w:firstLineChars="100"/>
              <w:rPr>
                <w:rFonts w:hint="eastAsia" w:ascii="宋体" w:hAnsi="宋体" w:eastAsia="宋体" w:cs="宋体"/>
                <w:sz w:val="24"/>
                <w:szCs w:val="24"/>
              </w:rPr>
            </w:pPr>
            <w:r>
              <w:rPr>
                <w:rFonts w:hint="eastAsia" w:ascii="宋体" w:hAnsi="宋体" w:eastAsia="宋体" w:cs="宋体"/>
                <w:sz w:val="24"/>
                <w:szCs w:val="24"/>
              </w:rPr>
              <w:t xml:space="preserve">评审标准： </w:t>
            </w:r>
          </w:p>
          <w:p w14:paraId="6828EE53">
            <w:pPr>
              <w:ind w:firstLine="240" w:firstLineChars="100"/>
              <w:rPr>
                <w:rFonts w:hint="eastAsia" w:ascii="宋体" w:hAnsi="宋体" w:eastAsia="宋体" w:cs="宋体"/>
                <w:sz w:val="24"/>
                <w:szCs w:val="24"/>
              </w:rPr>
            </w:pPr>
            <w:r>
              <w:rPr>
                <w:rFonts w:hint="eastAsia" w:ascii="宋体" w:hAnsi="宋体" w:eastAsia="宋体" w:cs="宋体"/>
                <w:sz w:val="24"/>
                <w:szCs w:val="24"/>
              </w:rPr>
              <w:t xml:space="preserve">完整性：方案须全面，对评审内容中的各项要求有详细描述； </w:t>
            </w:r>
          </w:p>
          <w:p w14:paraId="316FAB83">
            <w:pPr>
              <w:ind w:firstLine="240" w:firstLineChars="100"/>
              <w:rPr>
                <w:rFonts w:hint="eastAsia" w:ascii="宋体" w:hAnsi="宋体" w:eastAsia="宋体" w:cs="宋体"/>
                <w:sz w:val="24"/>
                <w:szCs w:val="24"/>
              </w:rPr>
            </w:pPr>
            <w:r>
              <w:rPr>
                <w:rFonts w:hint="eastAsia" w:ascii="宋体" w:hAnsi="宋体" w:eastAsia="宋体" w:cs="宋体"/>
                <w:sz w:val="24"/>
                <w:szCs w:val="24"/>
              </w:rPr>
              <w:t xml:space="preserve">可实施性：切合本项目实际情况，实施步骤清晰、合理； </w:t>
            </w:r>
          </w:p>
          <w:p w14:paraId="3D001B77">
            <w:pPr>
              <w:ind w:firstLine="240" w:firstLineChars="100"/>
              <w:rPr>
                <w:rFonts w:hint="eastAsia" w:ascii="宋体" w:hAnsi="宋体" w:eastAsia="宋体" w:cs="宋体"/>
                <w:sz w:val="24"/>
                <w:szCs w:val="24"/>
              </w:rPr>
            </w:pPr>
            <w:r>
              <w:rPr>
                <w:rFonts w:hint="eastAsia" w:ascii="宋体" w:hAnsi="宋体" w:eastAsia="宋体" w:cs="宋体"/>
                <w:sz w:val="24"/>
                <w:szCs w:val="24"/>
              </w:rPr>
              <w:t>针对性：方案能够紧扣项目实际情况，内容科学合理。</w:t>
            </w:r>
          </w:p>
        </w:tc>
      </w:tr>
      <w:tr w14:paraId="0AA2D8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6" w:hRule="atLeast"/>
          <w:jc w:val="center"/>
        </w:trPr>
        <w:tc>
          <w:tcPr>
            <w:tcW w:w="1234" w:type="dxa"/>
            <w:noWrap w:val="0"/>
            <w:vAlign w:val="center"/>
          </w:tcPr>
          <w:p w14:paraId="52772167">
            <w:pPr>
              <w:pStyle w:val="16"/>
              <w:rPr>
                <w:rFonts w:hint="eastAsia" w:ascii="宋体" w:hAnsi="宋体" w:eastAsia="宋体" w:cs="宋体"/>
                <w:sz w:val="24"/>
                <w:szCs w:val="24"/>
                <w:lang w:eastAsia="zh-CN"/>
              </w:rPr>
            </w:pPr>
            <w:r>
              <w:rPr>
                <w:rFonts w:hint="eastAsia" w:ascii="宋体" w:hAnsi="宋体" w:cs="宋体"/>
                <w:sz w:val="24"/>
                <w:szCs w:val="24"/>
                <w:lang w:eastAsia="zh-CN"/>
              </w:rPr>
              <w:t>培训方案</w:t>
            </w:r>
          </w:p>
        </w:tc>
        <w:tc>
          <w:tcPr>
            <w:tcW w:w="824" w:type="dxa"/>
            <w:noWrap w:val="0"/>
            <w:vAlign w:val="center"/>
          </w:tcPr>
          <w:p w14:paraId="64008CC4">
            <w:pPr>
              <w:autoSpaceDE w:val="0"/>
              <w:autoSpaceDN w:val="0"/>
              <w:adjustRightInd w:val="0"/>
              <w:spacing w:line="276" w:lineRule="auto"/>
              <w:jc w:val="center"/>
              <w:rPr>
                <w:rFonts w:hint="default" w:ascii="宋体" w:hAnsi="宋体" w:cs="宋体"/>
                <w:sz w:val="24"/>
                <w:szCs w:val="24"/>
                <w:lang w:val="en-US" w:eastAsia="zh-CN"/>
              </w:rPr>
            </w:pPr>
            <w:r>
              <w:rPr>
                <w:rFonts w:hint="eastAsia" w:ascii="宋体" w:hAnsi="宋体" w:cs="宋体"/>
                <w:sz w:val="24"/>
                <w:szCs w:val="24"/>
                <w:lang w:val="en-US" w:eastAsia="zh-CN"/>
              </w:rPr>
              <w:t>2</w:t>
            </w:r>
          </w:p>
        </w:tc>
        <w:tc>
          <w:tcPr>
            <w:tcW w:w="6681" w:type="dxa"/>
            <w:noWrap w:val="0"/>
            <w:vAlign w:val="center"/>
          </w:tcPr>
          <w:p w14:paraId="008BEFC5">
            <w:pPr>
              <w:rPr>
                <w:rFonts w:hint="eastAsia" w:ascii="宋体" w:hAnsi="宋体" w:eastAsia="宋体" w:cs="宋体"/>
                <w:sz w:val="24"/>
                <w:szCs w:val="24"/>
              </w:rPr>
            </w:pPr>
            <w:r>
              <w:rPr>
                <w:rFonts w:hint="eastAsia" w:ascii="宋体" w:hAnsi="宋体" w:eastAsia="宋体" w:cs="宋体"/>
                <w:sz w:val="24"/>
                <w:szCs w:val="24"/>
              </w:rPr>
              <w:t>培训方案合理、可行，明确培训内容、培训方式。包括设备操作、设备维护等，按其响应程度1-</w:t>
            </w:r>
            <w:r>
              <w:rPr>
                <w:rFonts w:hint="eastAsia" w:ascii="宋体" w:hAnsi="宋体" w:cs="宋体"/>
                <w:sz w:val="24"/>
                <w:szCs w:val="24"/>
                <w:lang w:val="en-US" w:eastAsia="zh-CN"/>
              </w:rPr>
              <w:t>2</w:t>
            </w:r>
            <w:r>
              <w:rPr>
                <w:rFonts w:hint="eastAsia" w:ascii="宋体" w:hAnsi="宋体" w:eastAsia="宋体" w:cs="宋体"/>
                <w:sz w:val="24"/>
                <w:szCs w:val="24"/>
              </w:rPr>
              <w:t>分</w:t>
            </w:r>
            <w:r>
              <w:rPr>
                <w:rFonts w:hint="eastAsia" w:ascii="宋体" w:hAnsi="宋体" w:cs="宋体"/>
                <w:sz w:val="24"/>
                <w:szCs w:val="24"/>
                <w:lang w:eastAsia="zh-CN"/>
              </w:rPr>
              <w:t>，</w:t>
            </w:r>
            <w:r>
              <w:rPr>
                <w:rFonts w:hint="eastAsia" w:ascii="宋体" w:hAnsi="宋体" w:cs="宋体"/>
                <w:sz w:val="24"/>
                <w:szCs w:val="24"/>
                <w:lang w:val="en-US" w:eastAsia="zh-CN"/>
              </w:rPr>
              <w:t>未提供不得分</w:t>
            </w:r>
            <w:r>
              <w:rPr>
                <w:rFonts w:hint="eastAsia" w:ascii="宋体" w:hAnsi="宋体" w:eastAsia="宋体" w:cs="宋体"/>
                <w:sz w:val="24"/>
                <w:szCs w:val="24"/>
              </w:rPr>
              <w:t>。</w:t>
            </w:r>
          </w:p>
        </w:tc>
      </w:tr>
      <w:tr w14:paraId="6A556F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2" w:hRule="atLeast"/>
          <w:jc w:val="center"/>
        </w:trPr>
        <w:tc>
          <w:tcPr>
            <w:tcW w:w="1234" w:type="dxa"/>
            <w:noWrap w:val="0"/>
            <w:vAlign w:val="center"/>
          </w:tcPr>
          <w:p w14:paraId="18329026">
            <w:pPr>
              <w:autoSpaceDE w:val="0"/>
              <w:autoSpaceDN w:val="0"/>
              <w:adjustRightInd w:val="0"/>
              <w:spacing w:line="276" w:lineRule="auto"/>
              <w:jc w:val="center"/>
              <w:rPr>
                <w:rFonts w:hint="eastAsia" w:ascii="宋体" w:hAnsi="宋体" w:eastAsia="宋体" w:cs="宋体"/>
                <w:sz w:val="24"/>
                <w:szCs w:val="24"/>
                <w:lang w:val="zh-CN"/>
              </w:rPr>
            </w:pPr>
            <w:r>
              <w:rPr>
                <w:rFonts w:hint="eastAsia" w:ascii="宋体" w:hAnsi="宋体" w:eastAsia="宋体" w:cs="宋体"/>
                <w:sz w:val="24"/>
                <w:szCs w:val="24"/>
                <w:lang w:val="zh-CN"/>
              </w:rPr>
              <w:t>类似业绩</w:t>
            </w:r>
          </w:p>
        </w:tc>
        <w:tc>
          <w:tcPr>
            <w:tcW w:w="824" w:type="dxa"/>
            <w:noWrap w:val="0"/>
            <w:vAlign w:val="center"/>
          </w:tcPr>
          <w:p w14:paraId="19F3D8C8">
            <w:pPr>
              <w:autoSpaceDE w:val="0"/>
              <w:autoSpaceDN w:val="0"/>
              <w:adjustRightInd w:val="0"/>
              <w:spacing w:line="276" w:lineRule="auto"/>
              <w:jc w:val="center"/>
              <w:rPr>
                <w:rFonts w:hint="default" w:ascii="宋体" w:hAnsi="宋体" w:eastAsia="宋体" w:cs="宋体"/>
                <w:sz w:val="24"/>
                <w:szCs w:val="24"/>
                <w:lang w:val="en-US" w:eastAsia="zh-CN"/>
              </w:rPr>
            </w:pPr>
            <w:r>
              <w:rPr>
                <w:rFonts w:hint="eastAsia" w:ascii="宋体" w:hAnsi="宋体" w:cs="宋体"/>
                <w:sz w:val="24"/>
                <w:szCs w:val="24"/>
                <w:lang w:val="en-US" w:eastAsia="zh-CN"/>
              </w:rPr>
              <w:t>10</w:t>
            </w:r>
          </w:p>
        </w:tc>
        <w:tc>
          <w:tcPr>
            <w:tcW w:w="6681" w:type="dxa"/>
            <w:noWrap w:val="0"/>
            <w:vAlign w:val="center"/>
          </w:tcPr>
          <w:p w14:paraId="2D73B920">
            <w:pPr>
              <w:autoSpaceDE w:val="0"/>
              <w:autoSpaceDN w:val="0"/>
              <w:adjustRightInd w:val="0"/>
              <w:spacing w:line="276" w:lineRule="auto"/>
              <w:jc w:val="left"/>
              <w:rPr>
                <w:rFonts w:hint="eastAsia" w:ascii="宋体" w:hAnsi="宋体" w:eastAsia="宋体" w:cs="宋体"/>
                <w:sz w:val="24"/>
                <w:szCs w:val="24"/>
              </w:rPr>
            </w:pPr>
            <w:r>
              <w:rPr>
                <w:rFonts w:hint="eastAsia" w:ascii="宋体" w:hAnsi="宋体" w:eastAsia="宋体" w:cs="宋体"/>
                <w:sz w:val="24"/>
                <w:szCs w:val="24"/>
              </w:rPr>
              <w:t>具有类似或相关项目业绩</w:t>
            </w:r>
            <w:r>
              <w:rPr>
                <w:rFonts w:hint="eastAsia" w:ascii="宋体" w:hAnsi="宋体" w:cs="宋体"/>
                <w:sz w:val="24"/>
                <w:szCs w:val="24"/>
                <w:lang w:eastAsia="zh-CN"/>
              </w:rPr>
              <w:t>，</w:t>
            </w:r>
            <w:r>
              <w:rPr>
                <w:rFonts w:hint="eastAsia" w:ascii="宋体" w:hAnsi="宋体" w:eastAsia="宋体" w:cs="宋体"/>
                <w:sz w:val="24"/>
                <w:szCs w:val="24"/>
                <w:lang w:val="en-US" w:eastAsia="zh-CN"/>
              </w:rPr>
              <w:t xml:space="preserve">合同案例同时满足以下要求： </w:t>
            </w:r>
          </w:p>
          <w:p w14:paraId="62DC3689">
            <w:pPr>
              <w:spacing w:line="276" w:lineRule="auto"/>
              <w:rPr>
                <w:rFonts w:hint="eastAsia" w:ascii="宋体" w:hAnsi="宋体" w:eastAsia="宋体" w:cs="宋体"/>
                <w:sz w:val="24"/>
                <w:szCs w:val="24"/>
              </w:rPr>
            </w:pPr>
            <w:r>
              <w:rPr>
                <w:rFonts w:hint="default" w:ascii="宋体" w:hAnsi="宋体" w:eastAsia="宋体" w:cs="宋体"/>
                <w:sz w:val="24"/>
                <w:szCs w:val="24"/>
                <w:lang w:val="en-US" w:eastAsia="zh-CN"/>
              </w:rPr>
              <w:t xml:space="preserve">1.合同签订时间为2023年1月1日至投标文件递交截止日； </w:t>
            </w:r>
          </w:p>
          <w:p w14:paraId="32DC9639">
            <w:pPr>
              <w:spacing w:line="276" w:lineRule="auto"/>
              <w:rPr>
                <w:rFonts w:hint="eastAsia" w:ascii="宋体" w:hAnsi="宋体" w:eastAsia="宋体" w:cs="宋体"/>
                <w:sz w:val="24"/>
                <w:szCs w:val="24"/>
              </w:rPr>
            </w:pPr>
            <w:r>
              <w:rPr>
                <w:rFonts w:hint="default" w:ascii="宋体" w:hAnsi="宋体" w:eastAsia="宋体" w:cs="宋体"/>
                <w:sz w:val="24"/>
                <w:szCs w:val="24"/>
                <w:lang w:val="en-US" w:eastAsia="zh-CN"/>
              </w:rPr>
              <w:t>2.需提供相应的合同扫描件（包含首页、盖章页、关键信息页）及合同对应的任意发票，以上材料提供扫描件</w:t>
            </w:r>
            <w:r>
              <w:rPr>
                <w:rFonts w:hint="eastAsia" w:ascii="宋体" w:hAnsi="宋体" w:cs="宋体"/>
                <w:sz w:val="24"/>
                <w:szCs w:val="24"/>
                <w:lang w:val="en-US" w:eastAsia="zh-CN"/>
              </w:rPr>
              <w:t>。</w:t>
            </w:r>
          </w:p>
          <w:p w14:paraId="7496A0EC">
            <w:pPr>
              <w:autoSpaceDE w:val="0"/>
              <w:autoSpaceDN w:val="0"/>
              <w:adjustRightInd w:val="0"/>
              <w:spacing w:line="276" w:lineRule="auto"/>
              <w:jc w:val="left"/>
              <w:rPr>
                <w:rFonts w:hint="eastAsia" w:ascii="宋体" w:hAnsi="宋体" w:eastAsia="宋体" w:cs="宋体"/>
                <w:sz w:val="24"/>
                <w:szCs w:val="24"/>
              </w:rPr>
            </w:pPr>
            <w:r>
              <w:rPr>
                <w:rFonts w:hint="eastAsia" w:ascii="宋体" w:hAnsi="宋体" w:eastAsia="宋体" w:cs="宋体"/>
                <w:sz w:val="24"/>
                <w:szCs w:val="24"/>
              </w:rPr>
              <w:t>提供一份有效业绩得</w:t>
            </w:r>
            <w:r>
              <w:rPr>
                <w:rFonts w:hint="eastAsia" w:ascii="宋体" w:hAnsi="宋体" w:cs="宋体"/>
                <w:sz w:val="24"/>
                <w:szCs w:val="24"/>
                <w:lang w:val="en-US" w:eastAsia="zh-CN"/>
              </w:rPr>
              <w:t>2</w:t>
            </w:r>
            <w:r>
              <w:rPr>
                <w:rFonts w:hint="eastAsia" w:ascii="宋体" w:hAnsi="宋体" w:eastAsia="宋体" w:cs="宋体"/>
                <w:sz w:val="24"/>
                <w:szCs w:val="24"/>
              </w:rPr>
              <w:t>分</w:t>
            </w:r>
            <w:r>
              <w:rPr>
                <w:rFonts w:hint="eastAsia" w:ascii="宋体" w:hAnsi="宋体" w:cs="宋体"/>
                <w:sz w:val="24"/>
                <w:szCs w:val="24"/>
                <w:lang w:eastAsia="zh-CN"/>
              </w:rPr>
              <w:t>，满分</w:t>
            </w:r>
            <w:r>
              <w:rPr>
                <w:rFonts w:hint="eastAsia" w:ascii="宋体" w:hAnsi="宋体" w:cs="宋体"/>
                <w:sz w:val="24"/>
                <w:szCs w:val="24"/>
                <w:lang w:val="en-US" w:eastAsia="zh-CN"/>
              </w:rPr>
              <w:t>10分。</w:t>
            </w:r>
            <w:r>
              <w:rPr>
                <w:rFonts w:hint="eastAsia" w:ascii="宋体" w:hAnsi="宋体" w:eastAsia="宋体" w:cs="宋体"/>
                <w:sz w:val="24"/>
                <w:szCs w:val="24"/>
              </w:rPr>
              <w:t xml:space="preserve"> </w:t>
            </w:r>
          </w:p>
        </w:tc>
      </w:tr>
      <w:tr w14:paraId="0E0675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83" w:hRule="atLeast"/>
          <w:jc w:val="center"/>
        </w:trPr>
        <w:tc>
          <w:tcPr>
            <w:tcW w:w="2058" w:type="dxa"/>
            <w:gridSpan w:val="2"/>
            <w:noWrap w:val="0"/>
            <w:vAlign w:val="center"/>
          </w:tcPr>
          <w:p w14:paraId="41FF2C30">
            <w:pPr>
              <w:overflowPunct w:val="0"/>
              <w:adjustRightInd w:val="0"/>
              <w:snapToGrid w:val="0"/>
              <w:spacing w:line="276" w:lineRule="auto"/>
              <w:jc w:val="center"/>
              <w:rPr>
                <w:rFonts w:hint="eastAsia" w:ascii="宋体" w:hAnsi="宋体" w:eastAsia="宋体" w:cs="宋体"/>
                <w:sz w:val="24"/>
                <w:szCs w:val="24"/>
              </w:rPr>
            </w:pPr>
            <w:r>
              <w:rPr>
                <w:rFonts w:hint="eastAsia" w:ascii="宋体" w:hAnsi="宋体" w:eastAsia="宋体" w:cs="宋体"/>
                <w:sz w:val="24"/>
                <w:szCs w:val="24"/>
              </w:rPr>
              <w:t>说明</w:t>
            </w:r>
          </w:p>
        </w:tc>
        <w:tc>
          <w:tcPr>
            <w:tcW w:w="6681" w:type="dxa"/>
            <w:noWrap w:val="0"/>
            <w:vAlign w:val="center"/>
          </w:tcPr>
          <w:p w14:paraId="2CE5E40E">
            <w:pPr>
              <w:spacing w:line="276" w:lineRule="auto"/>
              <w:rPr>
                <w:rFonts w:hint="eastAsia" w:ascii="宋体" w:hAnsi="宋体" w:eastAsia="宋体" w:cs="宋体"/>
                <w:sz w:val="24"/>
                <w:szCs w:val="24"/>
              </w:rPr>
            </w:pPr>
            <w:r>
              <w:rPr>
                <w:rFonts w:hint="eastAsia" w:ascii="宋体" w:hAnsi="宋体" w:cs="宋体"/>
                <w:sz w:val="24"/>
                <w:szCs w:val="24"/>
                <w:lang w:eastAsia="zh-CN"/>
              </w:rPr>
              <w:t>1.</w:t>
            </w:r>
            <w:r>
              <w:rPr>
                <w:rFonts w:hint="eastAsia" w:ascii="宋体" w:hAnsi="宋体" w:eastAsia="宋体" w:cs="宋体"/>
                <w:sz w:val="24"/>
                <w:szCs w:val="24"/>
              </w:rPr>
              <w:t>评标委员会成员必须按照本评审要素据实打分，各类数字计算均按“四舍五入”保留小数点后两位。</w:t>
            </w:r>
          </w:p>
          <w:p w14:paraId="23044E7C">
            <w:pPr>
              <w:spacing w:line="276" w:lineRule="auto"/>
              <w:rPr>
                <w:rFonts w:hint="eastAsia" w:ascii="宋体" w:hAnsi="宋体" w:eastAsia="宋体" w:cs="宋体"/>
                <w:sz w:val="24"/>
                <w:szCs w:val="24"/>
              </w:rPr>
            </w:pPr>
            <w:r>
              <w:rPr>
                <w:rFonts w:hint="eastAsia" w:ascii="宋体" w:hAnsi="宋体" w:cs="宋体"/>
                <w:sz w:val="24"/>
                <w:szCs w:val="24"/>
                <w:lang w:eastAsia="zh-CN"/>
              </w:rPr>
              <w:t>2.</w:t>
            </w:r>
            <w:r>
              <w:rPr>
                <w:rFonts w:hint="eastAsia" w:ascii="宋体" w:hAnsi="宋体" w:eastAsia="宋体" w:cs="宋体"/>
                <w:sz w:val="24"/>
                <w:szCs w:val="24"/>
              </w:rPr>
              <w:t>评委打分超过得分界限或未按本表规定赋分时，该评委的打分无效，不计入汇总分。</w:t>
            </w:r>
          </w:p>
          <w:p w14:paraId="12011705">
            <w:pPr>
              <w:spacing w:line="276" w:lineRule="auto"/>
              <w:rPr>
                <w:rFonts w:hint="eastAsia" w:ascii="宋体" w:hAnsi="宋体" w:eastAsia="宋体" w:cs="宋体"/>
                <w:sz w:val="24"/>
                <w:szCs w:val="24"/>
              </w:rPr>
            </w:pPr>
            <w:r>
              <w:rPr>
                <w:rFonts w:hint="eastAsia" w:ascii="宋体" w:hAnsi="宋体" w:cs="宋体"/>
                <w:sz w:val="24"/>
                <w:szCs w:val="24"/>
                <w:lang w:eastAsia="zh-CN"/>
              </w:rPr>
              <w:t>3.</w:t>
            </w:r>
            <w:r>
              <w:rPr>
                <w:rFonts w:hint="eastAsia" w:ascii="宋体" w:hAnsi="宋体" w:eastAsia="宋体" w:cs="宋体"/>
                <w:sz w:val="24"/>
                <w:szCs w:val="24"/>
              </w:rPr>
              <w:t>缺陷和不合理是指存在不适用项目实际情况的情形、凭空编造、逻辑漏洞、科学原理错误以及不可能实现的夸大情形等。</w:t>
            </w:r>
          </w:p>
        </w:tc>
      </w:tr>
    </w:tbl>
    <w:p w14:paraId="7096ADBD">
      <w:pPr>
        <w:pStyle w:val="11"/>
        <w:rPr>
          <w:rFonts w:hint="eastAsia"/>
        </w:rPr>
      </w:pPr>
    </w:p>
    <w:p w14:paraId="108DF2D5">
      <w:pPr>
        <w:keepNext w:val="0"/>
        <w:keepLines w:val="0"/>
        <w:pageBreakBefore w:val="0"/>
        <w:widowControl w:val="0"/>
        <w:kinsoku/>
        <w:wordWrap/>
        <w:overflowPunct/>
        <w:topLinePunct w:val="0"/>
        <w:autoSpaceDE/>
        <w:autoSpaceDN/>
        <w:bidi w:val="0"/>
        <w:adjustRightInd/>
        <w:snapToGrid/>
        <w:spacing w:line="500" w:lineRule="exact"/>
        <w:ind w:right="0" w:rightChars="0" w:firstLineChars="200"/>
        <w:jc w:val="both"/>
        <w:textAlignment w:val="auto"/>
        <w:outlineLvl w:val="9"/>
        <w:rPr>
          <w:rFonts w:hint="eastAsia" w:ascii="Times New Roman" w:hAnsi="Times New Roman" w:eastAsia="宋体" w:cs="Times New Roman"/>
          <w:b w:val="0"/>
          <w:bCs w:val="0"/>
          <w:sz w:val="21"/>
          <w:szCs w:val="21"/>
          <w:highlight w:val="none"/>
        </w:rPr>
      </w:pPr>
      <w:r>
        <w:rPr>
          <w:rFonts w:hint="eastAsia" w:ascii="Times New Roman" w:hAnsi="Times New Roman" w:eastAsia="宋体" w:cs="Times New Roman"/>
          <w:b w:val="0"/>
          <w:bCs w:val="0"/>
          <w:sz w:val="21"/>
          <w:szCs w:val="21"/>
          <w:highlight w:val="none"/>
          <w:lang w:val="en-US" w:eastAsia="zh-CN"/>
        </w:rPr>
        <w:t>注：</w:t>
      </w:r>
      <w:r>
        <w:rPr>
          <w:rFonts w:hint="eastAsia" w:ascii="Times New Roman" w:hAnsi="Times New Roman" w:eastAsia="宋体" w:cs="Times New Roman"/>
          <w:b w:val="0"/>
          <w:bCs w:val="0"/>
          <w:sz w:val="21"/>
          <w:szCs w:val="21"/>
          <w:highlight w:val="none"/>
        </w:rPr>
        <w:t>评标委员会各评委独立评分，按评审后综合得分由高到低顺序排列，推荐3名中标候选人。得分相同的，按投标报价由低到高顺序排列，得分且投标报价相同的，比较技术得分，此技术得分高者排在前。</w:t>
      </w:r>
    </w:p>
    <w:p w14:paraId="5BB1AD5F">
      <w:pPr>
        <w:spacing w:before="240" w:after="120"/>
        <w:jc w:val="left"/>
        <w:outlineLvl w:val="2"/>
        <w:rPr>
          <w:rFonts w:hint="eastAsia" w:ascii="宋体" w:hAnsi="宋体" w:cs="宋体"/>
          <w:b/>
          <w:bCs/>
          <w:kern w:val="0"/>
          <w:sz w:val="24"/>
          <w:highlight w:val="none"/>
        </w:rPr>
      </w:pPr>
      <w:r>
        <w:rPr>
          <w:rFonts w:hint="eastAsia" w:ascii="宋体" w:hAnsi="宋体" w:cs="宋体"/>
          <w:b/>
          <w:bCs/>
          <w:kern w:val="0"/>
          <w:sz w:val="24"/>
          <w:highlight w:val="none"/>
          <w:lang w:val="en-US" w:eastAsia="zh-CN"/>
        </w:rPr>
        <w:t>2.</w:t>
      </w:r>
      <w:r>
        <w:rPr>
          <w:rFonts w:hint="eastAsia" w:ascii="宋体" w:hAnsi="宋体" w:cs="宋体"/>
          <w:b/>
          <w:bCs/>
          <w:kern w:val="0"/>
          <w:sz w:val="24"/>
          <w:highlight w:val="none"/>
        </w:rPr>
        <w:t>3</w:t>
      </w:r>
      <w:r>
        <w:rPr>
          <w:rFonts w:hint="eastAsia" w:ascii="宋体" w:hAnsi="宋体" w:cs="宋体"/>
          <w:b/>
          <w:bCs/>
          <w:kern w:val="0"/>
          <w:sz w:val="24"/>
          <w:highlight w:val="none"/>
          <w:lang w:val="en-US" w:eastAsia="zh-CN"/>
        </w:rPr>
        <w:t xml:space="preserve">  </w:t>
      </w:r>
      <w:r>
        <w:rPr>
          <w:rFonts w:hint="eastAsia" w:ascii="宋体" w:hAnsi="宋体" w:cs="宋体"/>
          <w:b/>
          <w:bCs/>
          <w:kern w:val="0"/>
          <w:sz w:val="24"/>
          <w:highlight w:val="none"/>
        </w:rPr>
        <w:t>特殊情况的处理</w:t>
      </w:r>
    </w:p>
    <w:p w14:paraId="64092715">
      <w:pPr>
        <w:keepNext w:val="0"/>
        <w:keepLines w:val="0"/>
        <w:pageBreakBefore w:val="0"/>
        <w:widowControl w:val="0"/>
        <w:kinsoku/>
        <w:wordWrap/>
        <w:overflowPunct/>
        <w:topLinePunct w:val="0"/>
        <w:autoSpaceDE/>
        <w:autoSpaceDN/>
        <w:bidi w:val="0"/>
        <w:adjustRightInd/>
        <w:snapToGrid/>
        <w:spacing w:line="500" w:lineRule="exact"/>
        <w:ind w:right="0" w:rightChars="0" w:firstLine="420"/>
        <w:jc w:val="both"/>
        <w:textAlignment w:val="auto"/>
        <w:outlineLvl w:val="9"/>
        <w:rPr>
          <w:rFonts w:hint="eastAsia" w:ascii="Times New Roman" w:hAnsi="Times New Roman" w:eastAsia="宋体" w:cs="Times New Roman"/>
          <w:b w:val="0"/>
          <w:bCs w:val="0"/>
          <w:sz w:val="21"/>
          <w:szCs w:val="21"/>
          <w:highlight w:val="none"/>
        </w:rPr>
      </w:pPr>
      <w:r>
        <w:rPr>
          <w:rFonts w:hint="eastAsia" w:cs="Times New Roman"/>
          <w:b w:val="0"/>
          <w:bCs w:val="0"/>
          <w:sz w:val="21"/>
          <w:szCs w:val="21"/>
          <w:highlight w:val="none"/>
          <w:lang w:val="en-US" w:eastAsia="zh-CN"/>
        </w:rPr>
        <w:t>2.3.1</w:t>
      </w:r>
      <w:r>
        <w:rPr>
          <w:rFonts w:hint="eastAsia" w:ascii="Times New Roman" w:hAnsi="Times New Roman" w:eastAsia="宋体" w:cs="Times New Roman"/>
          <w:b w:val="0"/>
          <w:bCs w:val="0"/>
          <w:sz w:val="21"/>
          <w:szCs w:val="21"/>
          <w:highlight w:val="none"/>
        </w:rPr>
        <w:t xml:space="preserve"> 相同品牌产品</w:t>
      </w:r>
    </w:p>
    <w:p w14:paraId="1073733F">
      <w:pPr>
        <w:keepNext w:val="0"/>
        <w:keepLines w:val="0"/>
        <w:pageBreakBefore w:val="0"/>
        <w:widowControl w:val="0"/>
        <w:kinsoku/>
        <w:wordWrap/>
        <w:overflowPunct/>
        <w:topLinePunct w:val="0"/>
        <w:autoSpaceDE/>
        <w:autoSpaceDN/>
        <w:bidi w:val="0"/>
        <w:adjustRightInd/>
        <w:snapToGrid/>
        <w:spacing w:line="500" w:lineRule="exact"/>
        <w:ind w:right="0" w:rightChars="0" w:firstLine="420" w:firstLineChars="200"/>
        <w:jc w:val="both"/>
        <w:textAlignment w:val="auto"/>
        <w:outlineLvl w:val="9"/>
        <w:rPr>
          <w:rFonts w:hint="eastAsia" w:ascii="Times New Roman" w:hAnsi="Times New Roman" w:eastAsia="宋体" w:cs="Times New Roman"/>
          <w:b w:val="0"/>
          <w:bCs w:val="0"/>
          <w:sz w:val="21"/>
          <w:szCs w:val="21"/>
          <w:highlight w:val="none"/>
        </w:rPr>
      </w:pPr>
      <w:r>
        <w:rPr>
          <w:rFonts w:hint="eastAsia" w:ascii="Times New Roman" w:hAnsi="Times New Roman" w:eastAsia="宋体" w:cs="Times New Roman"/>
          <w:b w:val="0"/>
          <w:bCs w:val="0"/>
          <w:sz w:val="21"/>
          <w:szCs w:val="21"/>
          <w:highlight w:val="none"/>
        </w:rPr>
        <w:t>单一产品采购项目，提供相同品牌产品且通过资格审查、符合性审查的不同投标人参加同一合同项下投标的，按一家投标人计算，评审后得分最高的同品牌投标人获得中标人推荐资格；评审得分相同的，投标报价得分高者获得中标人推荐资格，若投标报价得分相同，产品来源渠道证明得分高者获得中标人推荐资格，若上述两项得分相同，则由全体评标委员会成员无记名投票，得票高者获得中标人推荐资格，其他同品牌投标人不作为中标候选人。</w:t>
      </w:r>
    </w:p>
    <w:p w14:paraId="3FCE8643">
      <w:pPr>
        <w:keepNext w:val="0"/>
        <w:keepLines w:val="0"/>
        <w:pageBreakBefore w:val="0"/>
        <w:widowControl w:val="0"/>
        <w:kinsoku/>
        <w:wordWrap/>
        <w:overflowPunct/>
        <w:topLinePunct w:val="0"/>
        <w:autoSpaceDE/>
        <w:autoSpaceDN/>
        <w:bidi w:val="0"/>
        <w:adjustRightInd/>
        <w:snapToGrid/>
        <w:spacing w:line="500" w:lineRule="exact"/>
        <w:ind w:right="0" w:rightChars="0" w:firstLine="420" w:firstLineChars="200"/>
        <w:jc w:val="both"/>
        <w:textAlignment w:val="auto"/>
        <w:outlineLvl w:val="9"/>
        <w:rPr>
          <w:rFonts w:hint="eastAsia" w:ascii="Times New Roman" w:hAnsi="Times New Roman" w:eastAsia="宋体" w:cs="Times New Roman"/>
          <w:b w:val="0"/>
          <w:bCs w:val="0"/>
          <w:sz w:val="21"/>
          <w:szCs w:val="21"/>
          <w:highlight w:val="none"/>
        </w:rPr>
      </w:pPr>
      <w:r>
        <w:rPr>
          <w:rFonts w:hint="eastAsia" w:ascii="Times New Roman" w:hAnsi="Times New Roman" w:eastAsia="宋体" w:cs="Times New Roman"/>
          <w:b w:val="0"/>
          <w:bCs w:val="0"/>
          <w:sz w:val="21"/>
          <w:szCs w:val="21"/>
          <w:highlight w:val="none"/>
        </w:rPr>
        <w:t>非单一产品采购项目，多家投标人提供的核心产品品牌相同的，按照前款规定处理。</w:t>
      </w:r>
    </w:p>
    <w:p w14:paraId="55C0ED68">
      <w:pPr>
        <w:keepNext w:val="0"/>
        <w:keepLines w:val="0"/>
        <w:pageBreakBefore w:val="0"/>
        <w:widowControl w:val="0"/>
        <w:kinsoku/>
        <w:wordWrap/>
        <w:overflowPunct/>
        <w:topLinePunct w:val="0"/>
        <w:autoSpaceDE/>
        <w:autoSpaceDN/>
        <w:bidi w:val="0"/>
        <w:adjustRightInd/>
        <w:snapToGrid/>
        <w:spacing w:line="500" w:lineRule="exact"/>
        <w:ind w:right="0" w:rightChars="0" w:firstLine="420" w:firstLineChars="200"/>
        <w:jc w:val="both"/>
        <w:textAlignment w:val="auto"/>
        <w:outlineLvl w:val="9"/>
        <w:rPr>
          <w:rFonts w:hint="eastAsia" w:ascii="Times New Roman" w:hAnsi="Times New Roman" w:eastAsia="宋体" w:cs="Times New Roman"/>
          <w:b w:val="0"/>
          <w:bCs w:val="0"/>
          <w:sz w:val="21"/>
          <w:szCs w:val="21"/>
          <w:highlight w:val="none"/>
        </w:rPr>
      </w:pPr>
      <w:r>
        <w:rPr>
          <w:rFonts w:hint="eastAsia" w:cs="Times New Roman"/>
          <w:b w:val="0"/>
          <w:bCs w:val="0"/>
          <w:sz w:val="21"/>
          <w:szCs w:val="21"/>
          <w:highlight w:val="none"/>
          <w:lang w:val="en-US" w:eastAsia="zh-CN"/>
        </w:rPr>
        <w:t>2.3.2</w:t>
      </w:r>
      <w:r>
        <w:rPr>
          <w:rFonts w:hint="eastAsia" w:ascii="Times New Roman" w:hAnsi="Times New Roman" w:eastAsia="宋体" w:cs="Times New Roman"/>
          <w:b w:val="0"/>
          <w:bCs w:val="0"/>
          <w:sz w:val="21"/>
          <w:szCs w:val="21"/>
          <w:highlight w:val="none"/>
        </w:rPr>
        <w:t xml:space="preserve"> 若出现综合得分相同时，投标报价得分高者为第一中标候选人，若投标报价得分相同，产品质量方案得分高者为第一中标候选人，若上述两项得分相同，则由全体评标委员会成员无记名投票，得票高者为第一中标候选人。</w:t>
      </w:r>
    </w:p>
    <w:p w14:paraId="269C486D">
      <w:pPr>
        <w:keepNext w:val="0"/>
        <w:keepLines w:val="0"/>
        <w:pageBreakBefore w:val="0"/>
        <w:widowControl w:val="0"/>
        <w:kinsoku/>
        <w:wordWrap/>
        <w:overflowPunct/>
        <w:topLinePunct w:val="0"/>
        <w:autoSpaceDE/>
        <w:autoSpaceDN/>
        <w:bidi w:val="0"/>
        <w:adjustRightInd/>
        <w:snapToGrid/>
        <w:spacing w:line="500" w:lineRule="exact"/>
        <w:ind w:right="0" w:rightChars="0" w:firstLine="420" w:firstLineChars="200"/>
        <w:jc w:val="both"/>
        <w:textAlignment w:val="auto"/>
        <w:outlineLvl w:val="9"/>
        <w:rPr>
          <w:rFonts w:hint="eastAsia"/>
        </w:rPr>
      </w:pPr>
      <w:r>
        <w:rPr>
          <w:rFonts w:hint="eastAsia" w:cs="Times New Roman"/>
          <w:b w:val="0"/>
          <w:bCs w:val="0"/>
          <w:sz w:val="21"/>
          <w:szCs w:val="21"/>
          <w:highlight w:val="none"/>
          <w:lang w:val="en-US" w:eastAsia="zh-CN"/>
        </w:rPr>
        <w:t>2.3.3</w:t>
      </w:r>
      <w:r>
        <w:rPr>
          <w:rFonts w:hint="eastAsia" w:ascii="Times New Roman" w:hAnsi="Times New Roman" w:eastAsia="宋体" w:cs="Times New Roman"/>
          <w:b w:val="0"/>
          <w:bCs w:val="0"/>
          <w:sz w:val="21"/>
          <w:szCs w:val="21"/>
          <w:highlight w:val="none"/>
        </w:rPr>
        <w:t xml:space="preserve"> 评标过程中，若出现本评标方法以外的特殊情况时，将暂停评标，待评委商榷后再进行复会。</w:t>
      </w:r>
    </w:p>
    <w:p w14:paraId="275168B4">
      <w:pPr>
        <w:keepNext w:val="0"/>
        <w:keepLines w:val="0"/>
        <w:pageBreakBefore w:val="0"/>
        <w:widowControl w:val="0"/>
        <w:kinsoku/>
        <w:wordWrap/>
        <w:overflowPunct/>
        <w:topLinePunct w:val="0"/>
        <w:autoSpaceDE/>
        <w:autoSpaceDN/>
        <w:bidi w:val="0"/>
        <w:adjustRightInd/>
        <w:snapToGrid/>
        <w:spacing w:line="500" w:lineRule="exact"/>
        <w:ind w:right="0" w:rightChars="0" w:firstLine="420"/>
        <w:jc w:val="both"/>
        <w:textAlignment w:val="auto"/>
        <w:outlineLvl w:val="9"/>
        <w:rPr>
          <w:rFonts w:hint="eastAsia" w:ascii="Times New Roman" w:hAnsi="Times New Roman" w:eastAsia="宋体" w:cs="Times New Roman"/>
          <w:b w:val="0"/>
          <w:bCs w:val="0"/>
          <w:sz w:val="21"/>
          <w:szCs w:val="21"/>
          <w:highlight w:val="none"/>
        </w:rPr>
      </w:pPr>
      <w:r>
        <w:rPr>
          <w:rFonts w:hint="eastAsia" w:ascii="Times New Roman" w:hAnsi="Times New Roman" w:eastAsia="宋体" w:cs="Times New Roman"/>
          <w:b w:val="0"/>
          <w:bCs w:val="0"/>
          <w:sz w:val="21"/>
          <w:szCs w:val="21"/>
          <w:highlight w:val="none"/>
          <w:lang w:val="en-US" w:eastAsia="zh-CN"/>
        </w:rPr>
        <w:t>2.</w:t>
      </w:r>
      <w:r>
        <w:rPr>
          <w:rFonts w:hint="eastAsia" w:ascii="Times New Roman" w:hAnsi="Times New Roman" w:eastAsia="宋体" w:cs="Times New Roman"/>
          <w:b w:val="0"/>
          <w:bCs w:val="0"/>
          <w:sz w:val="21"/>
          <w:szCs w:val="21"/>
          <w:highlight w:val="none"/>
        </w:rPr>
        <w:t>3.</w:t>
      </w:r>
      <w:r>
        <w:rPr>
          <w:rFonts w:hint="eastAsia" w:cs="Times New Roman"/>
          <w:b w:val="0"/>
          <w:bCs w:val="0"/>
          <w:sz w:val="21"/>
          <w:szCs w:val="21"/>
          <w:highlight w:val="none"/>
          <w:lang w:val="en-US" w:eastAsia="zh-CN"/>
        </w:rPr>
        <w:t>4</w:t>
      </w:r>
      <w:r>
        <w:rPr>
          <w:rFonts w:hint="eastAsia" w:ascii="Times New Roman" w:hAnsi="Times New Roman" w:eastAsia="宋体" w:cs="Times New Roman"/>
          <w:b w:val="0"/>
          <w:bCs w:val="0"/>
          <w:sz w:val="21"/>
          <w:szCs w:val="21"/>
          <w:highlight w:val="none"/>
        </w:rPr>
        <w:t xml:space="preserve"> 投标文件中如果出现计算错误，可按以下原则进行修正：</w:t>
      </w:r>
    </w:p>
    <w:p w14:paraId="592A9197">
      <w:pPr>
        <w:keepNext w:val="0"/>
        <w:keepLines w:val="0"/>
        <w:pageBreakBefore w:val="0"/>
        <w:widowControl w:val="0"/>
        <w:kinsoku/>
        <w:wordWrap/>
        <w:overflowPunct/>
        <w:topLinePunct w:val="0"/>
        <w:autoSpaceDE/>
        <w:autoSpaceDN/>
        <w:bidi w:val="0"/>
        <w:adjustRightInd/>
        <w:snapToGrid/>
        <w:spacing w:line="500" w:lineRule="exact"/>
        <w:ind w:right="0" w:rightChars="0" w:firstLine="420"/>
        <w:jc w:val="both"/>
        <w:textAlignment w:val="auto"/>
        <w:outlineLvl w:val="9"/>
        <w:rPr>
          <w:rFonts w:hint="eastAsia" w:ascii="Times New Roman" w:hAnsi="Times New Roman" w:eastAsia="宋体" w:cs="Times New Roman"/>
          <w:b w:val="0"/>
          <w:bCs w:val="0"/>
          <w:sz w:val="21"/>
          <w:szCs w:val="21"/>
          <w:highlight w:val="none"/>
        </w:rPr>
      </w:pPr>
      <w:r>
        <w:rPr>
          <w:rFonts w:hint="eastAsia" w:ascii="Times New Roman" w:hAnsi="Times New Roman" w:eastAsia="宋体" w:cs="Times New Roman"/>
          <w:b w:val="0"/>
          <w:bCs w:val="0"/>
          <w:sz w:val="21"/>
          <w:szCs w:val="21"/>
          <w:highlight w:val="none"/>
        </w:rPr>
        <w:t>（1）投标文件中的大写金额与小写金额不一致的，以大写金额为准；</w:t>
      </w:r>
    </w:p>
    <w:p w14:paraId="4C836F6D">
      <w:pPr>
        <w:keepNext w:val="0"/>
        <w:keepLines w:val="0"/>
        <w:pageBreakBefore w:val="0"/>
        <w:widowControl w:val="0"/>
        <w:kinsoku/>
        <w:wordWrap/>
        <w:overflowPunct/>
        <w:topLinePunct w:val="0"/>
        <w:autoSpaceDE/>
        <w:autoSpaceDN/>
        <w:bidi w:val="0"/>
        <w:adjustRightInd/>
        <w:snapToGrid/>
        <w:spacing w:line="500" w:lineRule="exact"/>
        <w:ind w:right="0" w:rightChars="0" w:firstLine="420"/>
        <w:jc w:val="both"/>
        <w:textAlignment w:val="auto"/>
        <w:outlineLvl w:val="9"/>
        <w:rPr>
          <w:rFonts w:hint="eastAsia" w:ascii="Times New Roman" w:hAnsi="Times New Roman" w:eastAsia="宋体" w:cs="Times New Roman"/>
          <w:b w:val="0"/>
          <w:bCs w:val="0"/>
          <w:sz w:val="21"/>
          <w:szCs w:val="21"/>
          <w:highlight w:val="none"/>
        </w:rPr>
      </w:pPr>
      <w:r>
        <w:rPr>
          <w:rFonts w:hint="eastAsia" w:ascii="Times New Roman" w:hAnsi="Times New Roman" w:eastAsia="宋体" w:cs="Times New Roman"/>
          <w:b w:val="0"/>
          <w:bCs w:val="0"/>
          <w:sz w:val="21"/>
          <w:szCs w:val="21"/>
          <w:highlight w:val="none"/>
        </w:rPr>
        <w:t>（2）投标文件中的总价金额与按单价计算的汇总金额不一致的，以单价计算的汇总金额为准；</w:t>
      </w:r>
    </w:p>
    <w:p w14:paraId="13CDFB0A">
      <w:pPr>
        <w:keepNext w:val="0"/>
        <w:keepLines w:val="0"/>
        <w:pageBreakBefore w:val="0"/>
        <w:widowControl w:val="0"/>
        <w:kinsoku/>
        <w:wordWrap/>
        <w:overflowPunct/>
        <w:topLinePunct w:val="0"/>
        <w:autoSpaceDE/>
        <w:autoSpaceDN/>
        <w:bidi w:val="0"/>
        <w:adjustRightInd/>
        <w:snapToGrid/>
        <w:spacing w:line="500" w:lineRule="exact"/>
        <w:ind w:right="0" w:rightChars="0" w:firstLine="420"/>
        <w:jc w:val="both"/>
        <w:textAlignment w:val="auto"/>
        <w:outlineLvl w:val="9"/>
        <w:rPr>
          <w:rFonts w:hint="eastAsia" w:ascii="Times New Roman" w:hAnsi="Times New Roman" w:eastAsia="宋体" w:cs="Times New Roman"/>
          <w:b w:val="0"/>
          <w:bCs w:val="0"/>
          <w:sz w:val="21"/>
          <w:szCs w:val="21"/>
          <w:highlight w:val="none"/>
        </w:rPr>
      </w:pPr>
      <w:r>
        <w:rPr>
          <w:rFonts w:hint="eastAsia" w:ascii="Times New Roman" w:hAnsi="Times New Roman" w:eastAsia="宋体" w:cs="Times New Roman"/>
          <w:b w:val="0"/>
          <w:bCs w:val="0"/>
          <w:sz w:val="21"/>
          <w:szCs w:val="21"/>
          <w:highlight w:val="none"/>
        </w:rPr>
        <w:t>（3）投标文件中的单价金额有明显小数点错误的，以总价为准，并修改单价；</w:t>
      </w:r>
    </w:p>
    <w:p w14:paraId="5B4F9B33">
      <w:pPr>
        <w:keepNext w:val="0"/>
        <w:keepLines w:val="0"/>
        <w:pageBreakBefore w:val="0"/>
        <w:widowControl w:val="0"/>
        <w:kinsoku/>
        <w:wordWrap/>
        <w:overflowPunct/>
        <w:topLinePunct w:val="0"/>
        <w:autoSpaceDE/>
        <w:autoSpaceDN/>
        <w:bidi w:val="0"/>
        <w:adjustRightInd/>
        <w:snapToGrid/>
        <w:spacing w:line="500" w:lineRule="exact"/>
        <w:ind w:right="0" w:rightChars="0" w:firstLine="420"/>
        <w:jc w:val="both"/>
        <w:textAlignment w:val="auto"/>
        <w:outlineLvl w:val="9"/>
        <w:rPr>
          <w:rFonts w:hint="eastAsia" w:ascii="Times New Roman" w:hAnsi="Times New Roman" w:eastAsia="宋体" w:cs="Times New Roman"/>
          <w:b w:val="0"/>
          <w:bCs w:val="0"/>
          <w:sz w:val="21"/>
          <w:szCs w:val="21"/>
          <w:highlight w:val="none"/>
        </w:rPr>
      </w:pPr>
      <w:r>
        <w:rPr>
          <w:rFonts w:hint="eastAsia" w:ascii="Times New Roman" w:hAnsi="Times New Roman" w:eastAsia="宋体" w:cs="Times New Roman"/>
          <w:b w:val="0"/>
          <w:bCs w:val="0"/>
          <w:sz w:val="21"/>
          <w:szCs w:val="21"/>
          <w:highlight w:val="none"/>
        </w:rPr>
        <w:t>（4）投标文件中有关分项表内容与</w:t>
      </w:r>
      <w:r>
        <w:rPr>
          <w:rFonts w:hint="eastAsia" w:ascii="Times New Roman" w:hAnsi="Times New Roman" w:eastAsia="宋体" w:cs="Times New Roman"/>
          <w:b w:val="0"/>
          <w:bCs w:val="0"/>
          <w:sz w:val="21"/>
          <w:szCs w:val="21"/>
          <w:highlight w:val="none"/>
          <w:lang w:eastAsia="zh-CN"/>
        </w:rPr>
        <w:t>“</w:t>
      </w:r>
      <w:r>
        <w:rPr>
          <w:rFonts w:hint="eastAsia" w:ascii="Times New Roman" w:hAnsi="Times New Roman" w:eastAsia="宋体" w:cs="Times New Roman"/>
          <w:b w:val="0"/>
          <w:bCs w:val="0"/>
          <w:sz w:val="21"/>
          <w:szCs w:val="21"/>
          <w:highlight w:val="none"/>
        </w:rPr>
        <w:t>开标一览表</w:t>
      </w:r>
      <w:r>
        <w:rPr>
          <w:rFonts w:hint="eastAsia" w:ascii="Times New Roman" w:hAnsi="Times New Roman" w:eastAsia="宋体" w:cs="Times New Roman"/>
          <w:b w:val="0"/>
          <w:bCs w:val="0"/>
          <w:sz w:val="21"/>
          <w:szCs w:val="21"/>
          <w:highlight w:val="none"/>
          <w:lang w:eastAsia="zh-CN"/>
        </w:rPr>
        <w:t>”</w:t>
      </w:r>
      <w:r>
        <w:rPr>
          <w:rFonts w:hint="eastAsia" w:ascii="Times New Roman" w:hAnsi="Times New Roman" w:eastAsia="宋体" w:cs="Times New Roman"/>
          <w:b w:val="0"/>
          <w:bCs w:val="0"/>
          <w:sz w:val="21"/>
          <w:szCs w:val="21"/>
          <w:highlight w:val="none"/>
        </w:rPr>
        <w:t>不一致的，以</w:t>
      </w:r>
      <w:r>
        <w:rPr>
          <w:rFonts w:hint="eastAsia" w:ascii="Times New Roman" w:hAnsi="Times New Roman" w:eastAsia="宋体" w:cs="Times New Roman"/>
          <w:b w:val="0"/>
          <w:bCs w:val="0"/>
          <w:sz w:val="21"/>
          <w:szCs w:val="21"/>
          <w:highlight w:val="none"/>
          <w:lang w:eastAsia="zh-CN"/>
        </w:rPr>
        <w:t>“</w:t>
      </w:r>
      <w:r>
        <w:rPr>
          <w:rFonts w:hint="eastAsia" w:ascii="Times New Roman" w:hAnsi="Times New Roman" w:eastAsia="宋体" w:cs="Times New Roman"/>
          <w:b w:val="0"/>
          <w:bCs w:val="0"/>
          <w:sz w:val="21"/>
          <w:szCs w:val="21"/>
          <w:highlight w:val="none"/>
        </w:rPr>
        <w:t>开标一览表</w:t>
      </w:r>
      <w:r>
        <w:rPr>
          <w:rFonts w:hint="eastAsia" w:ascii="Times New Roman" w:hAnsi="Times New Roman" w:eastAsia="宋体" w:cs="Times New Roman"/>
          <w:b w:val="0"/>
          <w:bCs w:val="0"/>
          <w:sz w:val="21"/>
          <w:szCs w:val="21"/>
          <w:highlight w:val="none"/>
          <w:lang w:eastAsia="zh-CN"/>
        </w:rPr>
        <w:t>”</w:t>
      </w:r>
      <w:r>
        <w:rPr>
          <w:rFonts w:hint="eastAsia" w:ascii="Times New Roman" w:hAnsi="Times New Roman" w:eastAsia="宋体" w:cs="Times New Roman"/>
          <w:b w:val="0"/>
          <w:bCs w:val="0"/>
          <w:sz w:val="21"/>
          <w:szCs w:val="21"/>
          <w:highlight w:val="none"/>
        </w:rPr>
        <w:t>为准；</w:t>
      </w:r>
    </w:p>
    <w:p w14:paraId="5836E770">
      <w:pPr>
        <w:keepNext w:val="0"/>
        <w:keepLines w:val="0"/>
        <w:pageBreakBefore w:val="0"/>
        <w:widowControl w:val="0"/>
        <w:kinsoku/>
        <w:wordWrap/>
        <w:overflowPunct/>
        <w:topLinePunct w:val="0"/>
        <w:autoSpaceDE/>
        <w:autoSpaceDN/>
        <w:bidi w:val="0"/>
        <w:adjustRightInd/>
        <w:snapToGrid/>
        <w:spacing w:line="500" w:lineRule="exact"/>
        <w:ind w:right="0" w:rightChars="0" w:firstLine="420"/>
        <w:jc w:val="both"/>
        <w:textAlignment w:val="auto"/>
        <w:outlineLvl w:val="9"/>
        <w:rPr>
          <w:rFonts w:hint="eastAsia" w:ascii="Times New Roman" w:hAnsi="Times New Roman" w:eastAsia="宋体" w:cs="Times New Roman"/>
          <w:b w:val="0"/>
          <w:bCs w:val="0"/>
          <w:sz w:val="21"/>
          <w:szCs w:val="21"/>
          <w:highlight w:val="none"/>
        </w:rPr>
      </w:pPr>
      <w:r>
        <w:rPr>
          <w:rFonts w:hint="eastAsia" w:ascii="Times New Roman" w:hAnsi="Times New Roman" w:eastAsia="宋体" w:cs="Times New Roman"/>
          <w:b w:val="0"/>
          <w:bCs w:val="0"/>
          <w:sz w:val="21"/>
          <w:szCs w:val="21"/>
          <w:highlight w:val="none"/>
        </w:rPr>
        <w:t>（5）投标文件中图表与文字表述不一致的，以文字表述为准；</w:t>
      </w:r>
    </w:p>
    <w:p w14:paraId="565EE396">
      <w:pPr>
        <w:keepNext w:val="0"/>
        <w:keepLines w:val="0"/>
        <w:pageBreakBefore w:val="0"/>
        <w:widowControl w:val="0"/>
        <w:kinsoku/>
        <w:wordWrap/>
        <w:overflowPunct/>
        <w:topLinePunct w:val="0"/>
        <w:autoSpaceDE/>
        <w:autoSpaceDN/>
        <w:bidi w:val="0"/>
        <w:adjustRightInd/>
        <w:snapToGrid/>
        <w:spacing w:line="500" w:lineRule="exact"/>
        <w:ind w:right="0" w:rightChars="0" w:firstLine="420"/>
        <w:jc w:val="both"/>
        <w:textAlignment w:val="auto"/>
        <w:outlineLvl w:val="9"/>
        <w:rPr>
          <w:rFonts w:hint="eastAsia" w:ascii="Times New Roman" w:hAnsi="Times New Roman" w:eastAsia="宋体" w:cs="Times New Roman"/>
          <w:b w:val="0"/>
          <w:bCs w:val="0"/>
          <w:sz w:val="21"/>
          <w:szCs w:val="21"/>
          <w:highlight w:val="none"/>
        </w:rPr>
      </w:pPr>
      <w:r>
        <w:rPr>
          <w:rFonts w:hint="eastAsia" w:ascii="Times New Roman" w:hAnsi="Times New Roman" w:eastAsia="宋体" w:cs="Times New Roman"/>
          <w:b w:val="0"/>
          <w:bCs w:val="0"/>
          <w:sz w:val="21"/>
          <w:szCs w:val="21"/>
          <w:highlight w:val="none"/>
        </w:rPr>
        <w:t>（</w:t>
      </w:r>
      <w:r>
        <w:rPr>
          <w:rFonts w:hint="eastAsia" w:cs="Times New Roman"/>
          <w:b w:val="0"/>
          <w:bCs w:val="0"/>
          <w:sz w:val="21"/>
          <w:szCs w:val="21"/>
          <w:highlight w:val="none"/>
          <w:lang w:val="en-US" w:eastAsia="zh-CN"/>
        </w:rPr>
        <w:t>6</w:t>
      </w:r>
      <w:r>
        <w:rPr>
          <w:rFonts w:hint="eastAsia" w:ascii="Times New Roman" w:hAnsi="Times New Roman" w:eastAsia="宋体" w:cs="Times New Roman"/>
          <w:b w:val="0"/>
          <w:bCs w:val="0"/>
          <w:sz w:val="21"/>
          <w:szCs w:val="21"/>
          <w:highlight w:val="none"/>
        </w:rPr>
        <w:t>）对不同文字文本投标文件的解释发生异议的，以中文文本为准。</w:t>
      </w:r>
    </w:p>
    <w:p w14:paraId="331DC76F">
      <w:pPr>
        <w:keepNext w:val="0"/>
        <w:keepLines w:val="0"/>
        <w:pageBreakBefore w:val="0"/>
        <w:widowControl w:val="0"/>
        <w:kinsoku/>
        <w:wordWrap/>
        <w:overflowPunct/>
        <w:topLinePunct w:val="0"/>
        <w:autoSpaceDE/>
        <w:autoSpaceDN/>
        <w:bidi w:val="0"/>
        <w:adjustRightInd/>
        <w:snapToGrid/>
        <w:spacing w:line="500" w:lineRule="exact"/>
        <w:ind w:right="0" w:rightChars="0" w:firstLine="420"/>
        <w:jc w:val="both"/>
        <w:textAlignment w:val="auto"/>
        <w:outlineLvl w:val="9"/>
        <w:rPr>
          <w:rFonts w:hint="eastAsia" w:ascii="Times New Roman" w:hAnsi="Times New Roman" w:eastAsia="宋体" w:cs="Times New Roman"/>
          <w:b w:val="0"/>
          <w:bCs w:val="0"/>
          <w:sz w:val="21"/>
          <w:szCs w:val="21"/>
          <w:highlight w:val="none"/>
        </w:rPr>
      </w:pPr>
      <w:r>
        <w:rPr>
          <w:rFonts w:hint="eastAsia" w:ascii="Times New Roman" w:hAnsi="Times New Roman" w:eastAsia="宋体" w:cs="Times New Roman"/>
          <w:b w:val="0"/>
          <w:bCs w:val="0"/>
          <w:sz w:val="21"/>
          <w:szCs w:val="21"/>
          <w:highlight w:val="none"/>
        </w:rPr>
        <w:t>按上述修正错误的方法调整的投标报价应对投标</w:t>
      </w:r>
      <w:r>
        <w:rPr>
          <w:rFonts w:hint="eastAsia" w:ascii="Times New Roman" w:hAnsi="Times New Roman" w:eastAsia="宋体" w:cs="Times New Roman"/>
          <w:b w:val="0"/>
          <w:bCs w:val="0"/>
          <w:sz w:val="21"/>
          <w:szCs w:val="21"/>
          <w:highlight w:val="none"/>
          <w:lang w:eastAsia="zh-CN"/>
        </w:rPr>
        <w:t>人</w:t>
      </w:r>
      <w:r>
        <w:rPr>
          <w:rFonts w:hint="eastAsia" w:ascii="Times New Roman" w:hAnsi="Times New Roman" w:eastAsia="宋体" w:cs="Times New Roman"/>
          <w:b w:val="0"/>
          <w:bCs w:val="0"/>
          <w:sz w:val="21"/>
          <w:szCs w:val="21"/>
          <w:highlight w:val="none"/>
        </w:rPr>
        <w:t>具有约束力。如果投标</w:t>
      </w:r>
      <w:r>
        <w:rPr>
          <w:rFonts w:hint="eastAsia" w:ascii="Times New Roman" w:hAnsi="Times New Roman" w:eastAsia="宋体" w:cs="Times New Roman"/>
          <w:b w:val="0"/>
          <w:bCs w:val="0"/>
          <w:sz w:val="21"/>
          <w:szCs w:val="21"/>
          <w:highlight w:val="none"/>
          <w:lang w:eastAsia="zh-CN"/>
        </w:rPr>
        <w:t>人</w:t>
      </w:r>
      <w:r>
        <w:rPr>
          <w:rFonts w:hint="eastAsia" w:ascii="Times New Roman" w:hAnsi="Times New Roman" w:eastAsia="宋体" w:cs="Times New Roman"/>
          <w:b w:val="0"/>
          <w:bCs w:val="0"/>
          <w:sz w:val="21"/>
          <w:szCs w:val="21"/>
          <w:highlight w:val="none"/>
        </w:rPr>
        <w:t>不接受修正后的价格，其投标将被拒绝。</w:t>
      </w:r>
    </w:p>
    <w:p w14:paraId="67D4EC1F">
      <w:pPr>
        <w:keepNext w:val="0"/>
        <w:keepLines w:val="0"/>
        <w:pageBreakBefore w:val="0"/>
        <w:widowControl w:val="0"/>
        <w:kinsoku/>
        <w:wordWrap/>
        <w:overflowPunct/>
        <w:topLinePunct w:val="0"/>
        <w:autoSpaceDE/>
        <w:autoSpaceDN/>
        <w:bidi w:val="0"/>
        <w:adjustRightInd/>
        <w:snapToGrid/>
        <w:spacing w:line="500" w:lineRule="exact"/>
        <w:ind w:right="0" w:rightChars="0" w:firstLine="420"/>
        <w:jc w:val="both"/>
        <w:textAlignment w:val="auto"/>
        <w:outlineLvl w:val="9"/>
        <w:rPr>
          <w:rFonts w:hint="eastAsia" w:ascii="Times New Roman" w:hAnsi="Times New Roman" w:eastAsia="宋体" w:cs="Times New Roman"/>
          <w:b w:val="0"/>
          <w:bCs w:val="0"/>
          <w:sz w:val="21"/>
          <w:szCs w:val="21"/>
          <w:highlight w:val="none"/>
        </w:rPr>
      </w:pPr>
      <w:r>
        <w:rPr>
          <w:rFonts w:hint="eastAsia" w:ascii="Times New Roman" w:hAnsi="Times New Roman" w:eastAsia="宋体" w:cs="Times New Roman"/>
          <w:b w:val="0"/>
          <w:bCs w:val="0"/>
          <w:sz w:val="21"/>
          <w:szCs w:val="21"/>
          <w:highlight w:val="none"/>
          <w:lang w:val="en-US" w:eastAsia="zh-CN"/>
        </w:rPr>
        <w:t>2.</w:t>
      </w:r>
      <w:r>
        <w:rPr>
          <w:rFonts w:hint="eastAsia" w:ascii="Times New Roman" w:hAnsi="Times New Roman" w:eastAsia="宋体" w:cs="Times New Roman"/>
          <w:b w:val="0"/>
          <w:bCs w:val="0"/>
          <w:sz w:val="21"/>
          <w:szCs w:val="21"/>
          <w:highlight w:val="none"/>
        </w:rPr>
        <w:t>3.</w:t>
      </w:r>
      <w:r>
        <w:rPr>
          <w:rFonts w:hint="eastAsia" w:cs="Times New Roman"/>
          <w:b w:val="0"/>
          <w:bCs w:val="0"/>
          <w:sz w:val="21"/>
          <w:szCs w:val="21"/>
          <w:highlight w:val="none"/>
          <w:lang w:val="en-US" w:eastAsia="zh-CN"/>
        </w:rPr>
        <w:t>5</w:t>
      </w:r>
      <w:r>
        <w:rPr>
          <w:rFonts w:hint="eastAsia" w:ascii="Times New Roman" w:hAnsi="Times New Roman" w:eastAsia="宋体" w:cs="Times New Roman"/>
          <w:b w:val="0"/>
          <w:bCs w:val="0"/>
          <w:sz w:val="21"/>
          <w:szCs w:val="21"/>
          <w:highlight w:val="none"/>
        </w:rPr>
        <w:t xml:space="preserve"> 投标文件中，若某项有不合理报价（或零报价、漏报价）的，经评委会评审后，此项得分为零，不参与投标报价分值的计算。</w:t>
      </w:r>
    </w:p>
    <w:p w14:paraId="2A7AAC59">
      <w:pPr>
        <w:keepNext w:val="0"/>
        <w:keepLines w:val="0"/>
        <w:pageBreakBefore w:val="0"/>
        <w:widowControl w:val="0"/>
        <w:kinsoku/>
        <w:wordWrap/>
        <w:overflowPunct/>
        <w:topLinePunct w:val="0"/>
        <w:autoSpaceDE/>
        <w:autoSpaceDN/>
        <w:bidi w:val="0"/>
        <w:adjustRightInd/>
        <w:snapToGrid/>
        <w:spacing w:line="500" w:lineRule="exact"/>
        <w:ind w:right="0" w:rightChars="0" w:firstLine="420"/>
        <w:jc w:val="both"/>
        <w:textAlignment w:val="auto"/>
        <w:outlineLvl w:val="9"/>
        <w:rPr>
          <w:rFonts w:hint="eastAsia" w:ascii="Times New Roman" w:hAnsi="Times New Roman" w:eastAsia="宋体" w:cs="Times New Roman"/>
          <w:b w:val="0"/>
          <w:bCs w:val="0"/>
          <w:sz w:val="21"/>
          <w:szCs w:val="21"/>
          <w:highlight w:val="none"/>
        </w:rPr>
      </w:pPr>
      <w:r>
        <w:rPr>
          <w:rFonts w:hint="eastAsia" w:ascii="Times New Roman" w:hAnsi="Times New Roman" w:eastAsia="宋体" w:cs="Times New Roman"/>
          <w:b w:val="0"/>
          <w:bCs w:val="0"/>
          <w:sz w:val="21"/>
          <w:szCs w:val="21"/>
          <w:highlight w:val="none"/>
          <w:lang w:val="en-US" w:eastAsia="zh-CN"/>
        </w:rPr>
        <w:t>2.</w:t>
      </w:r>
      <w:r>
        <w:rPr>
          <w:rFonts w:hint="eastAsia" w:ascii="Times New Roman" w:hAnsi="Times New Roman" w:eastAsia="宋体" w:cs="Times New Roman"/>
          <w:b w:val="0"/>
          <w:bCs w:val="0"/>
          <w:sz w:val="21"/>
          <w:szCs w:val="21"/>
          <w:highlight w:val="none"/>
        </w:rPr>
        <w:t>3.</w:t>
      </w:r>
      <w:r>
        <w:rPr>
          <w:rFonts w:hint="eastAsia" w:cs="Times New Roman"/>
          <w:b w:val="0"/>
          <w:bCs w:val="0"/>
          <w:sz w:val="21"/>
          <w:szCs w:val="21"/>
          <w:highlight w:val="none"/>
          <w:lang w:val="en-US" w:eastAsia="zh-CN"/>
        </w:rPr>
        <w:t>6</w:t>
      </w:r>
      <w:r>
        <w:rPr>
          <w:rFonts w:hint="eastAsia" w:ascii="Times New Roman" w:hAnsi="Times New Roman" w:eastAsia="宋体" w:cs="Times New Roman"/>
          <w:b w:val="0"/>
          <w:bCs w:val="0"/>
          <w:sz w:val="21"/>
          <w:szCs w:val="21"/>
          <w:highlight w:val="none"/>
        </w:rPr>
        <w:t xml:space="preserve"> 评委评分超过得分界限或未按照本办法规定时，该评委的该项评分作废，不计入汇总；计算采用插入法，各种数字均保留两位小数，第三位</w:t>
      </w:r>
      <w:r>
        <w:rPr>
          <w:rFonts w:hint="eastAsia" w:ascii="Times New Roman" w:hAnsi="Times New Roman" w:eastAsia="宋体" w:cs="Times New Roman"/>
          <w:b w:val="0"/>
          <w:bCs w:val="0"/>
          <w:sz w:val="21"/>
          <w:szCs w:val="21"/>
          <w:highlight w:val="none"/>
          <w:lang w:eastAsia="zh-CN"/>
        </w:rPr>
        <w:t>“</w:t>
      </w:r>
      <w:r>
        <w:rPr>
          <w:rFonts w:hint="eastAsia" w:ascii="Times New Roman" w:hAnsi="Times New Roman" w:eastAsia="宋体" w:cs="Times New Roman"/>
          <w:b w:val="0"/>
          <w:bCs w:val="0"/>
          <w:sz w:val="21"/>
          <w:szCs w:val="21"/>
          <w:highlight w:val="none"/>
        </w:rPr>
        <w:t>四舍五入</w:t>
      </w:r>
      <w:r>
        <w:rPr>
          <w:rFonts w:hint="eastAsia" w:ascii="Times New Roman" w:hAnsi="Times New Roman" w:eastAsia="宋体" w:cs="Times New Roman"/>
          <w:b w:val="0"/>
          <w:bCs w:val="0"/>
          <w:sz w:val="21"/>
          <w:szCs w:val="21"/>
          <w:highlight w:val="none"/>
          <w:lang w:eastAsia="zh-CN"/>
        </w:rPr>
        <w:t>”</w:t>
      </w:r>
      <w:r>
        <w:rPr>
          <w:rFonts w:hint="eastAsia" w:ascii="Times New Roman" w:hAnsi="Times New Roman" w:eastAsia="宋体" w:cs="Times New Roman"/>
          <w:b w:val="0"/>
          <w:bCs w:val="0"/>
          <w:sz w:val="21"/>
          <w:szCs w:val="21"/>
          <w:highlight w:val="none"/>
        </w:rPr>
        <w:t>；评审过程中，若出现本办法以外的特殊情况时，将暂停评标，有关情况待评标委员会确定后，再行评定。</w:t>
      </w:r>
    </w:p>
    <w:p w14:paraId="75EC0124">
      <w:pPr>
        <w:keepNext w:val="0"/>
        <w:keepLines w:val="0"/>
        <w:pageBreakBefore w:val="0"/>
        <w:widowControl w:val="0"/>
        <w:kinsoku/>
        <w:wordWrap/>
        <w:overflowPunct/>
        <w:topLinePunct w:val="0"/>
        <w:autoSpaceDE/>
        <w:autoSpaceDN/>
        <w:bidi w:val="0"/>
        <w:adjustRightInd/>
        <w:snapToGrid/>
        <w:spacing w:line="500" w:lineRule="exact"/>
        <w:ind w:right="0" w:rightChars="0" w:firstLine="420"/>
        <w:jc w:val="both"/>
        <w:textAlignment w:val="auto"/>
        <w:outlineLvl w:val="9"/>
        <w:rPr>
          <w:rFonts w:hint="eastAsia" w:ascii="Times New Roman" w:hAnsi="Times New Roman" w:eastAsia="宋体" w:cs="Times New Roman"/>
          <w:b w:val="0"/>
          <w:bCs w:val="0"/>
          <w:sz w:val="21"/>
          <w:szCs w:val="21"/>
          <w:highlight w:val="none"/>
        </w:rPr>
      </w:pPr>
      <w:r>
        <w:rPr>
          <w:rFonts w:hint="eastAsia" w:ascii="Times New Roman" w:hAnsi="Times New Roman" w:eastAsia="宋体" w:cs="Times New Roman"/>
          <w:b w:val="0"/>
          <w:bCs w:val="0"/>
          <w:sz w:val="21"/>
          <w:szCs w:val="21"/>
          <w:highlight w:val="none"/>
          <w:lang w:val="en-US" w:eastAsia="zh-CN"/>
        </w:rPr>
        <w:t>2.</w:t>
      </w:r>
      <w:r>
        <w:rPr>
          <w:rFonts w:hint="eastAsia" w:ascii="Times New Roman" w:hAnsi="Times New Roman" w:eastAsia="宋体" w:cs="Times New Roman"/>
          <w:b w:val="0"/>
          <w:bCs w:val="0"/>
          <w:sz w:val="21"/>
          <w:szCs w:val="21"/>
          <w:highlight w:val="none"/>
        </w:rPr>
        <w:t>3.</w:t>
      </w:r>
      <w:r>
        <w:rPr>
          <w:rFonts w:hint="eastAsia" w:cs="Times New Roman"/>
          <w:b w:val="0"/>
          <w:bCs w:val="0"/>
          <w:sz w:val="21"/>
          <w:szCs w:val="21"/>
          <w:highlight w:val="none"/>
          <w:lang w:val="en-US" w:eastAsia="zh-CN"/>
        </w:rPr>
        <w:t>7</w:t>
      </w:r>
      <w:r>
        <w:rPr>
          <w:rFonts w:hint="eastAsia" w:ascii="Times New Roman" w:hAnsi="Times New Roman" w:eastAsia="宋体" w:cs="Times New Roman"/>
          <w:b w:val="0"/>
          <w:bCs w:val="0"/>
          <w:sz w:val="21"/>
          <w:szCs w:val="21"/>
          <w:highlight w:val="none"/>
        </w:rPr>
        <w:t xml:space="preserve"> 评标结果汇总完成后，除下列情形外，任何人不得修改评标结果：</w:t>
      </w:r>
    </w:p>
    <w:p w14:paraId="40815398">
      <w:pPr>
        <w:keepNext w:val="0"/>
        <w:keepLines w:val="0"/>
        <w:pageBreakBefore w:val="0"/>
        <w:widowControl w:val="0"/>
        <w:kinsoku/>
        <w:wordWrap/>
        <w:overflowPunct/>
        <w:topLinePunct w:val="0"/>
        <w:autoSpaceDE/>
        <w:autoSpaceDN/>
        <w:bidi w:val="0"/>
        <w:adjustRightInd/>
        <w:snapToGrid/>
        <w:spacing w:line="500" w:lineRule="exact"/>
        <w:ind w:right="0" w:rightChars="0" w:firstLine="420"/>
        <w:jc w:val="both"/>
        <w:textAlignment w:val="auto"/>
        <w:outlineLvl w:val="9"/>
        <w:rPr>
          <w:rFonts w:hint="eastAsia" w:ascii="Times New Roman" w:hAnsi="Times New Roman" w:eastAsia="宋体" w:cs="Times New Roman"/>
          <w:b w:val="0"/>
          <w:bCs w:val="0"/>
          <w:sz w:val="21"/>
          <w:szCs w:val="21"/>
          <w:highlight w:val="none"/>
        </w:rPr>
      </w:pPr>
      <w:r>
        <w:rPr>
          <w:rFonts w:hint="eastAsia" w:ascii="Times New Roman" w:hAnsi="Times New Roman" w:eastAsia="宋体" w:cs="Times New Roman"/>
          <w:b w:val="0"/>
          <w:bCs w:val="0"/>
          <w:sz w:val="21"/>
          <w:szCs w:val="21"/>
          <w:highlight w:val="none"/>
        </w:rPr>
        <w:t>（1）分值汇总计算错误的；</w:t>
      </w:r>
    </w:p>
    <w:p w14:paraId="4FA18DB1">
      <w:pPr>
        <w:keepNext w:val="0"/>
        <w:keepLines w:val="0"/>
        <w:pageBreakBefore w:val="0"/>
        <w:widowControl w:val="0"/>
        <w:kinsoku/>
        <w:wordWrap/>
        <w:overflowPunct/>
        <w:topLinePunct w:val="0"/>
        <w:autoSpaceDE/>
        <w:autoSpaceDN/>
        <w:bidi w:val="0"/>
        <w:adjustRightInd/>
        <w:snapToGrid/>
        <w:spacing w:line="500" w:lineRule="exact"/>
        <w:ind w:right="0" w:rightChars="0" w:firstLine="420"/>
        <w:jc w:val="both"/>
        <w:textAlignment w:val="auto"/>
        <w:outlineLvl w:val="9"/>
        <w:rPr>
          <w:rFonts w:hint="eastAsia" w:ascii="Times New Roman" w:hAnsi="Times New Roman" w:eastAsia="宋体" w:cs="Times New Roman"/>
          <w:b w:val="0"/>
          <w:bCs w:val="0"/>
          <w:sz w:val="21"/>
          <w:szCs w:val="21"/>
          <w:highlight w:val="none"/>
        </w:rPr>
      </w:pPr>
      <w:r>
        <w:rPr>
          <w:rFonts w:hint="eastAsia" w:ascii="Times New Roman" w:hAnsi="Times New Roman" w:eastAsia="宋体" w:cs="Times New Roman"/>
          <w:b w:val="0"/>
          <w:bCs w:val="0"/>
          <w:sz w:val="21"/>
          <w:szCs w:val="21"/>
          <w:highlight w:val="none"/>
        </w:rPr>
        <w:t>（2）分项评分超出评分标准范围的；</w:t>
      </w:r>
    </w:p>
    <w:p w14:paraId="0DFC68BC">
      <w:pPr>
        <w:keepNext w:val="0"/>
        <w:keepLines w:val="0"/>
        <w:pageBreakBefore w:val="0"/>
        <w:widowControl w:val="0"/>
        <w:kinsoku/>
        <w:wordWrap/>
        <w:overflowPunct/>
        <w:topLinePunct w:val="0"/>
        <w:autoSpaceDE/>
        <w:autoSpaceDN/>
        <w:bidi w:val="0"/>
        <w:adjustRightInd/>
        <w:snapToGrid/>
        <w:spacing w:line="500" w:lineRule="exact"/>
        <w:ind w:right="0" w:rightChars="0" w:firstLine="420"/>
        <w:jc w:val="both"/>
        <w:textAlignment w:val="auto"/>
        <w:outlineLvl w:val="9"/>
        <w:rPr>
          <w:rFonts w:hint="eastAsia" w:ascii="Times New Roman" w:hAnsi="Times New Roman" w:eastAsia="宋体" w:cs="Times New Roman"/>
          <w:b w:val="0"/>
          <w:bCs w:val="0"/>
          <w:sz w:val="21"/>
          <w:szCs w:val="21"/>
          <w:highlight w:val="none"/>
        </w:rPr>
      </w:pPr>
      <w:r>
        <w:rPr>
          <w:rFonts w:hint="eastAsia" w:ascii="Times New Roman" w:hAnsi="Times New Roman" w:eastAsia="宋体" w:cs="Times New Roman"/>
          <w:b w:val="0"/>
          <w:bCs w:val="0"/>
          <w:sz w:val="21"/>
          <w:szCs w:val="21"/>
          <w:highlight w:val="none"/>
        </w:rPr>
        <w:t>（3）评标委员会对客观评审因素评分不一致的；</w:t>
      </w:r>
    </w:p>
    <w:p w14:paraId="228BC16C">
      <w:pPr>
        <w:keepNext w:val="0"/>
        <w:keepLines w:val="0"/>
        <w:pageBreakBefore w:val="0"/>
        <w:widowControl w:val="0"/>
        <w:kinsoku/>
        <w:wordWrap/>
        <w:overflowPunct/>
        <w:topLinePunct w:val="0"/>
        <w:autoSpaceDE/>
        <w:autoSpaceDN/>
        <w:bidi w:val="0"/>
        <w:adjustRightInd/>
        <w:snapToGrid/>
        <w:spacing w:line="500" w:lineRule="exact"/>
        <w:ind w:right="0" w:rightChars="0" w:firstLine="420"/>
        <w:jc w:val="both"/>
        <w:textAlignment w:val="auto"/>
        <w:outlineLvl w:val="9"/>
        <w:rPr>
          <w:rFonts w:hint="eastAsia" w:ascii="Times New Roman" w:hAnsi="Times New Roman" w:eastAsia="宋体" w:cs="Times New Roman"/>
          <w:b w:val="0"/>
          <w:bCs w:val="0"/>
          <w:sz w:val="21"/>
          <w:szCs w:val="21"/>
          <w:highlight w:val="none"/>
        </w:rPr>
      </w:pPr>
      <w:r>
        <w:rPr>
          <w:rFonts w:hint="eastAsia" w:ascii="Times New Roman" w:hAnsi="Times New Roman" w:eastAsia="宋体" w:cs="Times New Roman"/>
          <w:b w:val="0"/>
          <w:bCs w:val="0"/>
          <w:sz w:val="21"/>
          <w:szCs w:val="21"/>
          <w:highlight w:val="none"/>
        </w:rPr>
        <w:t>（4）经评标委员会认定评分畸高、畸低的。</w:t>
      </w:r>
    </w:p>
    <w:p w14:paraId="18E4356D">
      <w:pPr>
        <w:keepNext w:val="0"/>
        <w:keepLines w:val="0"/>
        <w:pageBreakBefore w:val="0"/>
        <w:widowControl w:val="0"/>
        <w:kinsoku/>
        <w:wordWrap/>
        <w:overflowPunct/>
        <w:topLinePunct w:val="0"/>
        <w:autoSpaceDE/>
        <w:autoSpaceDN/>
        <w:bidi w:val="0"/>
        <w:adjustRightInd/>
        <w:snapToGrid/>
        <w:spacing w:line="500" w:lineRule="exact"/>
        <w:ind w:right="0" w:rightChars="0" w:firstLine="420"/>
        <w:jc w:val="both"/>
        <w:textAlignment w:val="auto"/>
        <w:outlineLvl w:val="9"/>
        <w:rPr>
          <w:rFonts w:hint="eastAsia" w:ascii="Times New Roman" w:hAnsi="Times New Roman" w:eastAsia="宋体" w:cs="Times New Roman"/>
          <w:b w:val="0"/>
          <w:bCs w:val="0"/>
          <w:sz w:val="21"/>
          <w:szCs w:val="21"/>
          <w:highlight w:val="none"/>
        </w:rPr>
      </w:pPr>
      <w:r>
        <w:rPr>
          <w:rFonts w:hint="eastAsia" w:ascii="Times New Roman" w:hAnsi="Times New Roman" w:eastAsia="宋体" w:cs="Times New Roman"/>
          <w:b w:val="0"/>
          <w:bCs w:val="0"/>
          <w:sz w:val="21"/>
          <w:szCs w:val="21"/>
          <w:highlight w:val="none"/>
        </w:rPr>
        <w:t>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中标结果的，书面报本级财政部门认定。</w:t>
      </w:r>
    </w:p>
    <w:p w14:paraId="5352D300">
      <w:pPr>
        <w:keepNext w:val="0"/>
        <w:keepLines w:val="0"/>
        <w:pageBreakBefore w:val="0"/>
        <w:widowControl w:val="0"/>
        <w:kinsoku/>
        <w:wordWrap/>
        <w:overflowPunct/>
        <w:topLinePunct w:val="0"/>
        <w:autoSpaceDE/>
        <w:autoSpaceDN/>
        <w:bidi w:val="0"/>
        <w:adjustRightInd/>
        <w:snapToGrid/>
        <w:spacing w:line="500" w:lineRule="exact"/>
        <w:ind w:right="0" w:rightChars="0" w:firstLine="420"/>
        <w:jc w:val="both"/>
        <w:textAlignment w:val="auto"/>
        <w:outlineLvl w:val="9"/>
        <w:rPr>
          <w:rFonts w:hint="eastAsia"/>
        </w:rPr>
      </w:pPr>
      <w:r>
        <w:rPr>
          <w:rFonts w:hint="eastAsia" w:ascii="Times New Roman" w:hAnsi="Times New Roman" w:eastAsia="宋体" w:cs="Times New Roman"/>
          <w:b w:val="0"/>
          <w:bCs w:val="0"/>
          <w:sz w:val="21"/>
          <w:szCs w:val="21"/>
          <w:highlight w:val="none"/>
          <w:lang w:val="en-US" w:eastAsia="zh-CN"/>
        </w:rPr>
        <w:t>2.</w:t>
      </w:r>
      <w:r>
        <w:rPr>
          <w:rFonts w:hint="eastAsia" w:ascii="Times New Roman" w:hAnsi="Times New Roman" w:eastAsia="宋体" w:cs="Times New Roman"/>
          <w:b w:val="0"/>
          <w:bCs w:val="0"/>
          <w:sz w:val="21"/>
          <w:szCs w:val="21"/>
          <w:highlight w:val="none"/>
        </w:rPr>
        <w:t>3.</w:t>
      </w:r>
      <w:r>
        <w:rPr>
          <w:rFonts w:hint="eastAsia" w:cs="Times New Roman"/>
          <w:b w:val="0"/>
          <w:bCs w:val="0"/>
          <w:sz w:val="21"/>
          <w:szCs w:val="21"/>
          <w:highlight w:val="none"/>
          <w:lang w:val="en-US" w:eastAsia="zh-CN"/>
        </w:rPr>
        <w:t>8</w:t>
      </w:r>
      <w:r>
        <w:rPr>
          <w:rFonts w:hint="eastAsia" w:ascii="Times New Roman" w:hAnsi="Times New Roman" w:eastAsia="宋体" w:cs="Times New Roman"/>
          <w:b w:val="0"/>
          <w:bCs w:val="0"/>
          <w:sz w:val="21"/>
          <w:szCs w:val="21"/>
          <w:highlight w:val="none"/>
        </w:rPr>
        <w:t xml:space="preserve"> 排名第一的候选人，主动放弃中标，或因不可抗力不能履行合同，或被查实存在影响中标结果的违法行为等情形，已不再符合中标条件的，采购人可以按照评委会提出的中标候选人名单排序依次确定其他中标候选人为中标</w:t>
      </w:r>
      <w:r>
        <w:rPr>
          <w:rFonts w:hint="eastAsia" w:ascii="Times New Roman" w:hAnsi="Times New Roman" w:eastAsia="宋体" w:cs="Times New Roman"/>
          <w:b w:val="0"/>
          <w:bCs w:val="0"/>
          <w:sz w:val="21"/>
          <w:szCs w:val="21"/>
          <w:highlight w:val="none"/>
          <w:lang w:eastAsia="zh-CN"/>
        </w:rPr>
        <w:t>人</w:t>
      </w:r>
      <w:r>
        <w:rPr>
          <w:rFonts w:hint="eastAsia" w:ascii="Times New Roman" w:hAnsi="Times New Roman" w:eastAsia="宋体" w:cs="Times New Roman"/>
          <w:b w:val="0"/>
          <w:bCs w:val="0"/>
          <w:sz w:val="21"/>
          <w:szCs w:val="21"/>
          <w:highlight w:val="none"/>
        </w:rPr>
        <w:t>，也可以根据实际情况需要，依法重新招标。</w:t>
      </w:r>
    </w:p>
    <w:p w14:paraId="42E5FC6D">
      <w:pPr>
        <w:spacing w:before="240" w:after="120"/>
        <w:jc w:val="left"/>
        <w:outlineLvl w:val="2"/>
        <w:rPr>
          <w:rFonts w:hint="eastAsia" w:ascii="宋体" w:hAnsi="宋体" w:cs="宋体"/>
          <w:b/>
          <w:bCs/>
          <w:kern w:val="0"/>
          <w:sz w:val="24"/>
          <w:highlight w:val="none"/>
          <w:lang w:val="en-US" w:eastAsia="zh-CN"/>
        </w:rPr>
      </w:pPr>
      <w:r>
        <w:rPr>
          <w:rFonts w:hint="eastAsia" w:ascii="宋体" w:hAnsi="宋体" w:cs="宋体"/>
          <w:b/>
          <w:bCs/>
          <w:kern w:val="0"/>
          <w:sz w:val="24"/>
          <w:highlight w:val="none"/>
          <w:lang w:val="en-US" w:eastAsia="zh-CN"/>
        </w:rPr>
        <w:t>2.4  与采购人、采购代理机构和评标委员会接触</w:t>
      </w:r>
    </w:p>
    <w:p w14:paraId="247D0ECC">
      <w:pPr>
        <w:keepNext w:val="0"/>
        <w:keepLines w:val="0"/>
        <w:pageBreakBefore w:val="0"/>
        <w:widowControl w:val="0"/>
        <w:kinsoku/>
        <w:wordWrap/>
        <w:overflowPunct/>
        <w:topLinePunct w:val="0"/>
        <w:autoSpaceDE/>
        <w:autoSpaceDN/>
        <w:bidi w:val="0"/>
        <w:adjustRightInd/>
        <w:snapToGrid/>
        <w:spacing w:line="500" w:lineRule="exact"/>
        <w:ind w:right="0" w:rightChars="0" w:firstLine="420"/>
        <w:jc w:val="both"/>
        <w:textAlignment w:val="auto"/>
        <w:outlineLvl w:val="9"/>
        <w:rPr>
          <w:rFonts w:hint="eastAsia" w:ascii="新宋体" w:hAnsi="新宋体"/>
          <w:b/>
          <w:bCs/>
          <w:color w:val="auto"/>
          <w:sz w:val="28"/>
          <w:szCs w:val="28"/>
          <w:highlight w:val="none"/>
          <w:lang w:eastAsia="zh-CN"/>
        </w:rPr>
      </w:pPr>
      <w:r>
        <w:rPr>
          <w:rFonts w:hint="eastAsia" w:ascii="Times New Roman" w:hAnsi="Times New Roman" w:eastAsia="宋体" w:cs="Times New Roman"/>
          <w:b w:val="0"/>
          <w:bCs w:val="0"/>
          <w:sz w:val="21"/>
          <w:szCs w:val="21"/>
          <w:highlight w:val="none"/>
        </w:rPr>
        <w:t>投标人试图对采购人、采购代理机构和评标委员会的评标、比较或授予合同的决定进行影响，都可能导致其投标被拒绝。</w:t>
      </w:r>
    </w:p>
    <w:p w14:paraId="385DBBF4">
      <w:pPr>
        <w:rPr>
          <w:rFonts w:hint="eastAsia" w:ascii="新宋体" w:hAnsi="新宋体"/>
          <w:b/>
          <w:bCs/>
          <w:color w:val="auto"/>
          <w:sz w:val="28"/>
          <w:szCs w:val="28"/>
          <w:highlight w:val="none"/>
          <w:lang w:eastAsia="zh-CN"/>
        </w:rPr>
      </w:pPr>
    </w:p>
    <w:p w14:paraId="659D4C6E">
      <w:pPr>
        <w:rPr>
          <w:rFonts w:hint="eastAsia" w:ascii="新宋体" w:hAnsi="新宋体"/>
          <w:b/>
          <w:bCs/>
          <w:color w:val="auto"/>
          <w:sz w:val="28"/>
          <w:szCs w:val="28"/>
          <w:highlight w:val="none"/>
          <w:lang w:eastAsia="zh-CN"/>
        </w:rPr>
      </w:pPr>
    </w:p>
    <w:p w14:paraId="27EE3F93">
      <w:pPr>
        <w:rPr>
          <w:rFonts w:hint="eastAsia" w:ascii="新宋体" w:hAnsi="新宋体"/>
          <w:b/>
          <w:bCs/>
          <w:color w:val="auto"/>
          <w:sz w:val="28"/>
          <w:szCs w:val="28"/>
          <w:highlight w:val="none"/>
          <w:lang w:eastAsia="zh-CN"/>
        </w:rPr>
      </w:pPr>
    </w:p>
    <w:p w14:paraId="49DD3CE4">
      <w:pPr>
        <w:rPr>
          <w:rFonts w:hint="eastAsia" w:ascii="新宋体" w:hAnsi="新宋体"/>
          <w:b/>
          <w:bCs/>
          <w:color w:val="auto"/>
          <w:sz w:val="28"/>
          <w:szCs w:val="28"/>
          <w:highlight w:val="none"/>
          <w:lang w:eastAsia="zh-CN"/>
        </w:rPr>
      </w:pPr>
    </w:p>
    <w:p w14:paraId="2D6877A9">
      <w:pPr>
        <w:rPr>
          <w:rFonts w:hint="eastAsia" w:ascii="新宋体" w:hAnsi="新宋体"/>
          <w:b/>
          <w:bCs/>
          <w:color w:val="auto"/>
          <w:sz w:val="28"/>
          <w:szCs w:val="28"/>
          <w:highlight w:val="none"/>
          <w:lang w:eastAsia="zh-CN"/>
        </w:rPr>
      </w:pPr>
      <w:r>
        <w:rPr>
          <w:rFonts w:hint="eastAsia" w:ascii="新宋体" w:hAnsi="新宋体"/>
          <w:b/>
          <w:bCs/>
          <w:color w:val="auto"/>
          <w:sz w:val="28"/>
          <w:szCs w:val="28"/>
          <w:highlight w:val="none"/>
          <w:lang w:eastAsia="zh-CN"/>
        </w:rPr>
        <w:t>附件一：</w:t>
      </w:r>
    </w:p>
    <w:p w14:paraId="04C6D5ED">
      <w:pPr>
        <w:keepNext w:val="0"/>
        <w:keepLines w:val="0"/>
        <w:pageBreakBefore w:val="0"/>
        <w:widowControl/>
        <w:kinsoku/>
        <w:wordWrap/>
        <w:overflowPunct/>
        <w:topLinePunct w:val="0"/>
        <w:autoSpaceDE w:val="0"/>
        <w:autoSpaceDN w:val="0"/>
        <w:bidi w:val="0"/>
        <w:adjustRightInd/>
        <w:snapToGrid w:val="0"/>
        <w:spacing w:line="360" w:lineRule="auto"/>
        <w:ind w:left="0" w:leftChars="0" w:right="51" w:rightChars="0" w:firstLine="0" w:firstLineChars="0"/>
        <w:jc w:val="center"/>
        <w:textAlignment w:val="bottom"/>
        <w:outlineLvl w:val="9"/>
        <w:rPr>
          <w:rFonts w:hint="eastAsia" w:ascii="新宋体" w:hAnsi="新宋体"/>
          <w:b/>
          <w:bCs/>
          <w:color w:val="auto"/>
          <w:sz w:val="28"/>
          <w:szCs w:val="28"/>
          <w:highlight w:val="none"/>
          <w:lang w:eastAsia="zh-CN"/>
        </w:rPr>
      </w:pPr>
      <w:r>
        <w:rPr>
          <w:rFonts w:hint="eastAsia" w:ascii="新宋体" w:hAnsi="新宋体"/>
          <w:b/>
          <w:bCs/>
          <w:color w:val="auto"/>
          <w:sz w:val="28"/>
          <w:szCs w:val="28"/>
          <w:highlight w:val="none"/>
          <w:lang w:eastAsia="zh-CN"/>
        </w:rPr>
        <w:t>资格性审查内容</w:t>
      </w:r>
    </w:p>
    <w:tbl>
      <w:tblPr>
        <w:tblStyle w:val="41"/>
        <w:tblW w:w="9739"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814"/>
        <w:gridCol w:w="8925"/>
      </w:tblGrid>
      <w:tr w14:paraId="0135757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rPr>
          <w:trHeight w:val="1276" w:hRule="atLeast"/>
          <w:jc w:val="center"/>
        </w:trPr>
        <w:tc>
          <w:tcPr>
            <w:tcW w:w="814" w:type="dxa"/>
            <w:tcBorders>
              <w:tl2br w:val="nil"/>
              <w:tr2bl w:val="nil"/>
            </w:tcBorders>
            <w:vAlign w:val="center"/>
          </w:tcPr>
          <w:p w14:paraId="43D220E0">
            <w:pPr>
              <w:pStyle w:val="34"/>
              <w:keepNext w:val="0"/>
              <w:keepLines w:val="0"/>
              <w:pageBreakBefore w:val="0"/>
              <w:widowControl/>
              <w:kinsoku/>
              <w:wordWrap/>
              <w:overflowPunct/>
              <w:topLinePunct w:val="0"/>
              <w:autoSpaceDE/>
              <w:autoSpaceDN/>
              <w:bidi w:val="0"/>
              <w:adjustRightInd/>
              <w:snapToGrid/>
              <w:spacing w:before="0" w:beforeAutospacing="0" w:after="0" w:afterAutospacing="0" w:line="216" w:lineRule="auto"/>
              <w:ind w:left="0" w:leftChars="0" w:right="0" w:rightChars="0" w:firstLine="0" w:firstLineChars="0"/>
              <w:jc w:val="center"/>
              <w:textAlignment w:val="auto"/>
              <w:outlineLvl w:val="9"/>
              <w:rPr>
                <w:rFonts w:hint="eastAsia" w:ascii="宋体" w:hAnsi="宋体" w:eastAsia="宋体" w:cs="宋体"/>
                <w:b/>
                <w:bCs/>
                <w:color w:val="auto"/>
                <w:sz w:val="21"/>
                <w:szCs w:val="21"/>
                <w:highlight w:val="none"/>
                <w:vertAlign w:val="baseline"/>
                <w:lang w:eastAsia="zh-CN"/>
              </w:rPr>
            </w:pPr>
            <w:r>
              <w:rPr>
                <w:rFonts w:hint="eastAsia" w:ascii="宋体" w:hAnsi="宋体" w:eastAsia="宋体" w:cs="宋体"/>
                <w:b/>
                <w:bCs/>
                <w:color w:val="auto"/>
                <w:sz w:val="21"/>
                <w:szCs w:val="21"/>
                <w:highlight w:val="none"/>
                <w:vertAlign w:val="baseline"/>
                <w:lang w:eastAsia="zh-CN"/>
              </w:rPr>
              <w:t>序号</w:t>
            </w:r>
          </w:p>
        </w:tc>
        <w:tc>
          <w:tcPr>
            <w:tcW w:w="8925" w:type="dxa"/>
            <w:tcBorders>
              <w:tl2br w:val="nil"/>
              <w:tr2bl w:val="nil"/>
            </w:tcBorders>
            <w:vAlign w:val="center"/>
          </w:tcPr>
          <w:p w14:paraId="4F5CE91D">
            <w:pPr>
              <w:pStyle w:val="34"/>
              <w:keepNext w:val="0"/>
              <w:keepLines w:val="0"/>
              <w:pageBreakBefore w:val="0"/>
              <w:widowControl/>
              <w:kinsoku/>
              <w:wordWrap/>
              <w:overflowPunct/>
              <w:topLinePunct w:val="0"/>
              <w:autoSpaceDE/>
              <w:autoSpaceDN/>
              <w:bidi w:val="0"/>
              <w:adjustRightInd/>
              <w:snapToGrid/>
              <w:spacing w:before="0" w:beforeAutospacing="0" w:after="0" w:afterAutospacing="0" w:line="216" w:lineRule="auto"/>
              <w:ind w:left="0" w:leftChars="0" w:right="0" w:rightChars="0" w:firstLine="0" w:firstLineChars="0"/>
              <w:jc w:val="center"/>
              <w:textAlignment w:val="auto"/>
              <w:outlineLvl w:val="9"/>
              <w:rPr>
                <w:rFonts w:hint="eastAsia" w:ascii="宋体" w:hAnsi="宋体" w:eastAsia="宋体" w:cs="宋体"/>
                <w:b/>
                <w:bCs/>
                <w:color w:val="auto"/>
                <w:sz w:val="21"/>
                <w:szCs w:val="21"/>
                <w:highlight w:val="none"/>
                <w:vertAlign w:val="baseline"/>
                <w:lang w:eastAsia="zh-CN"/>
              </w:rPr>
            </w:pPr>
            <w:r>
              <w:rPr>
                <w:rFonts w:hint="eastAsia" w:ascii="宋体" w:hAnsi="宋体" w:eastAsia="宋体" w:cs="宋体"/>
                <w:b/>
                <w:bCs/>
                <w:color w:val="auto"/>
                <w:sz w:val="21"/>
                <w:szCs w:val="21"/>
                <w:highlight w:val="none"/>
                <w:vertAlign w:val="baseline"/>
                <w:lang w:eastAsia="zh-CN"/>
              </w:rPr>
              <w:t>审查内容</w:t>
            </w:r>
          </w:p>
        </w:tc>
      </w:tr>
      <w:tr w14:paraId="5E38589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76" w:hRule="atLeast"/>
          <w:jc w:val="center"/>
        </w:trPr>
        <w:tc>
          <w:tcPr>
            <w:tcW w:w="814" w:type="dxa"/>
            <w:tcBorders>
              <w:tl2br w:val="nil"/>
              <w:tr2bl w:val="nil"/>
            </w:tcBorders>
            <w:vAlign w:val="center"/>
          </w:tcPr>
          <w:p w14:paraId="341979C5">
            <w:pPr>
              <w:pStyle w:val="34"/>
              <w:keepNext w:val="0"/>
              <w:keepLines w:val="0"/>
              <w:pageBreakBefore w:val="0"/>
              <w:kinsoku/>
              <w:wordWrap/>
              <w:overflowPunct/>
              <w:topLinePunct w:val="0"/>
              <w:autoSpaceDE/>
              <w:autoSpaceDN/>
              <w:bidi w:val="0"/>
              <w:adjustRightInd/>
              <w:spacing w:before="0" w:beforeAutospacing="0" w:after="0" w:afterAutospacing="0" w:line="216" w:lineRule="auto"/>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w:t>
            </w:r>
          </w:p>
        </w:tc>
        <w:tc>
          <w:tcPr>
            <w:tcW w:w="8925" w:type="dxa"/>
            <w:tcBorders>
              <w:tl2br w:val="nil"/>
              <w:tr2bl w:val="nil"/>
            </w:tcBorders>
            <w:vAlign w:val="center"/>
          </w:tcPr>
          <w:p w14:paraId="7F9CBA77">
            <w:pPr>
              <w:pStyle w:val="34"/>
              <w:keepNext w:val="0"/>
              <w:keepLines w:val="0"/>
              <w:pageBreakBefore w:val="0"/>
              <w:kinsoku/>
              <w:wordWrap/>
              <w:overflowPunct/>
              <w:topLinePunct w:val="0"/>
              <w:autoSpaceDE/>
              <w:autoSpaceDN/>
              <w:bidi w:val="0"/>
              <w:adjustRightInd/>
              <w:spacing w:before="0" w:beforeAutospacing="0" w:after="0" w:afterAutospacing="0" w:line="216" w:lineRule="auto"/>
              <w:jc w:val="left"/>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在中华人民共和国境内注册，依法取得并有效存续的营业执照（含电子营业执照）/事业单位法人证书/民办非企业单位登记证书/非企业专业服务机构执业许可/自然人的提供身份证明文件。</w:t>
            </w:r>
          </w:p>
        </w:tc>
      </w:tr>
      <w:tr w14:paraId="64D3F21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276" w:hRule="atLeast"/>
          <w:jc w:val="center"/>
        </w:trPr>
        <w:tc>
          <w:tcPr>
            <w:tcW w:w="814" w:type="dxa"/>
            <w:tcBorders>
              <w:tl2br w:val="nil"/>
              <w:tr2bl w:val="nil"/>
            </w:tcBorders>
            <w:vAlign w:val="center"/>
          </w:tcPr>
          <w:p w14:paraId="1DDCF54D">
            <w:pPr>
              <w:pStyle w:val="34"/>
              <w:keepNext w:val="0"/>
              <w:keepLines w:val="0"/>
              <w:pageBreakBefore w:val="0"/>
              <w:kinsoku/>
              <w:wordWrap/>
              <w:overflowPunct/>
              <w:topLinePunct w:val="0"/>
              <w:autoSpaceDE/>
              <w:autoSpaceDN/>
              <w:bidi w:val="0"/>
              <w:adjustRightInd/>
              <w:spacing w:before="0" w:beforeAutospacing="0" w:after="0" w:afterAutospacing="0" w:line="216" w:lineRule="auto"/>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2</w:t>
            </w:r>
          </w:p>
        </w:tc>
        <w:tc>
          <w:tcPr>
            <w:tcW w:w="8925" w:type="dxa"/>
            <w:tcBorders>
              <w:tl2br w:val="nil"/>
              <w:tr2bl w:val="nil"/>
            </w:tcBorders>
            <w:vAlign w:val="center"/>
          </w:tcPr>
          <w:p w14:paraId="2DCB8003">
            <w:pPr>
              <w:pStyle w:val="34"/>
              <w:keepNext w:val="0"/>
              <w:keepLines w:val="0"/>
              <w:pageBreakBefore w:val="0"/>
              <w:kinsoku/>
              <w:wordWrap/>
              <w:overflowPunct/>
              <w:topLinePunct w:val="0"/>
              <w:autoSpaceDE/>
              <w:autoSpaceDN/>
              <w:bidi w:val="0"/>
              <w:adjustRightInd/>
              <w:spacing w:before="0" w:beforeAutospacing="0" w:after="0" w:afterAutospacing="0" w:line="216" w:lineRule="auto"/>
              <w:jc w:val="left"/>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法定代表人（负责人）参加投标的，须出具法定代表人（负责人）身份证明书及身份证正反两面扫描件或护照资料页扫描件；法定代表人（负责人）授权委托代理人参加投标的，须出具法定代表人（负责人）授权委托书及委托代理人身份证正反两面扫描件或护照资料页扫描件。</w:t>
            </w:r>
          </w:p>
        </w:tc>
      </w:tr>
      <w:tr w14:paraId="57BE93B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276" w:hRule="atLeast"/>
          <w:jc w:val="center"/>
        </w:trPr>
        <w:tc>
          <w:tcPr>
            <w:tcW w:w="814" w:type="dxa"/>
            <w:tcBorders>
              <w:tl2br w:val="nil"/>
              <w:tr2bl w:val="nil"/>
            </w:tcBorders>
            <w:vAlign w:val="center"/>
          </w:tcPr>
          <w:p w14:paraId="0A86610E">
            <w:pPr>
              <w:pStyle w:val="34"/>
              <w:keepNext w:val="0"/>
              <w:keepLines w:val="0"/>
              <w:pageBreakBefore w:val="0"/>
              <w:kinsoku/>
              <w:wordWrap/>
              <w:overflowPunct/>
              <w:topLinePunct w:val="0"/>
              <w:autoSpaceDE/>
              <w:autoSpaceDN/>
              <w:bidi w:val="0"/>
              <w:adjustRightInd/>
              <w:spacing w:before="0" w:beforeAutospacing="0" w:after="0" w:afterAutospacing="0" w:line="216" w:lineRule="auto"/>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3</w:t>
            </w:r>
          </w:p>
        </w:tc>
        <w:tc>
          <w:tcPr>
            <w:tcW w:w="8925" w:type="dxa"/>
            <w:tcBorders>
              <w:tl2br w:val="nil"/>
              <w:tr2bl w:val="nil"/>
            </w:tcBorders>
            <w:vAlign w:val="center"/>
          </w:tcPr>
          <w:p w14:paraId="3F134282">
            <w:pPr>
              <w:pStyle w:val="34"/>
              <w:keepNext w:val="0"/>
              <w:keepLines w:val="0"/>
              <w:pageBreakBefore w:val="0"/>
              <w:kinsoku/>
              <w:wordWrap/>
              <w:overflowPunct/>
              <w:topLinePunct w:val="0"/>
              <w:autoSpaceDE/>
              <w:autoSpaceDN/>
              <w:bidi w:val="0"/>
              <w:adjustRightInd/>
              <w:spacing w:before="0" w:beforeAutospacing="0" w:after="0" w:afterAutospacing="0" w:line="216" w:lineRule="auto"/>
              <w:jc w:val="left"/>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财务状况报告：</w:t>
            </w:r>
            <w:r>
              <w:rPr>
                <w:rFonts w:hint="eastAsia" w:cs="宋体"/>
                <w:sz w:val="21"/>
                <w:szCs w:val="21"/>
                <w:highlight w:val="none"/>
                <w:lang w:val="en-US" w:eastAsia="zh-CN"/>
              </w:rPr>
              <w:t>提供2025年度财务审计报告</w:t>
            </w:r>
            <w:r>
              <w:rPr>
                <w:rFonts w:hint="eastAsia" w:ascii="宋体" w:hAnsi="宋体" w:eastAsia="宋体" w:cs="宋体"/>
                <w:sz w:val="21"/>
                <w:szCs w:val="21"/>
                <w:highlight w:val="none"/>
                <w:lang w:val="en-US" w:eastAsia="zh-CN"/>
              </w:rPr>
              <w:t>（成立时间至开标时间不足一年的可提供成立后任意时段的资产负债表）；或提供基本存款账户信息及开标日期前三个月内其基本存款账户开户银行出具的资信证明；或财政部门认可的政府采购专业担保机构出具的投标担保函（依法不需要提供财务状况的供应商应提供相关证明）。</w:t>
            </w:r>
          </w:p>
        </w:tc>
      </w:tr>
      <w:tr w14:paraId="2958301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091" w:hRule="atLeast"/>
          <w:jc w:val="center"/>
        </w:trPr>
        <w:tc>
          <w:tcPr>
            <w:tcW w:w="814" w:type="dxa"/>
            <w:tcBorders>
              <w:tl2br w:val="nil"/>
              <w:tr2bl w:val="nil"/>
            </w:tcBorders>
            <w:vAlign w:val="center"/>
          </w:tcPr>
          <w:p w14:paraId="526CDCDA">
            <w:pPr>
              <w:keepNext w:val="0"/>
              <w:keepLines w:val="0"/>
              <w:pageBreakBefore w:val="0"/>
              <w:kinsoku/>
              <w:wordWrap/>
              <w:overflowPunct/>
              <w:topLinePunct w:val="0"/>
              <w:autoSpaceDE/>
              <w:autoSpaceDN/>
              <w:bidi w:val="0"/>
              <w:adjustRightInd/>
              <w:snapToGrid w:val="0"/>
              <w:spacing w:line="216" w:lineRule="auto"/>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4</w:t>
            </w:r>
          </w:p>
        </w:tc>
        <w:tc>
          <w:tcPr>
            <w:tcW w:w="8925" w:type="dxa"/>
            <w:tcBorders>
              <w:tl2br w:val="nil"/>
              <w:tr2bl w:val="nil"/>
            </w:tcBorders>
            <w:vAlign w:val="center"/>
          </w:tcPr>
          <w:p w14:paraId="5ECF379C">
            <w:pPr>
              <w:pStyle w:val="34"/>
              <w:keepNext w:val="0"/>
              <w:keepLines w:val="0"/>
              <w:pageBreakBefore w:val="0"/>
              <w:kinsoku/>
              <w:wordWrap/>
              <w:overflowPunct/>
              <w:topLinePunct w:val="0"/>
              <w:autoSpaceDE/>
              <w:autoSpaceDN/>
              <w:bidi w:val="0"/>
              <w:adjustRightInd/>
              <w:spacing w:before="0" w:beforeAutospacing="0" w:after="0" w:afterAutospacing="0" w:line="216" w:lineRule="auto"/>
              <w:jc w:val="left"/>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税收缴纳证明：提供投标响应文件截止时间一年内至少一个月的纳税证明或完税证明（任意税种），纳税证明或完税证明上应有代收机构或税务机关的公章或业务专用章（依法不需要缴纳税收的供应商应提供相关证明）。</w:t>
            </w:r>
          </w:p>
        </w:tc>
      </w:tr>
      <w:tr w14:paraId="5E9A182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276" w:hRule="atLeast"/>
          <w:jc w:val="center"/>
        </w:trPr>
        <w:tc>
          <w:tcPr>
            <w:tcW w:w="814" w:type="dxa"/>
            <w:tcBorders>
              <w:tl2br w:val="nil"/>
              <w:tr2bl w:val="nil"/>
            </w:tcBorders>
            <w:vAlign w:val="center"/>
          </w:tcPr>
          <w:p w14:paraId="7021DAC6">
            <w:pPr>
              <w:pStyle w:val="34"/>
              <w:keepNext w:val="0"/>
              <w:keepLines w:val="0"/>
              <w:pageBreakBefore w:val="0"/>
              <w:kinsoku/>
              <w:wordWrap/>
              <w:overflowPunct/>
              <w:topLinePunct w:val="0"/>
              <w:autoSpaceDE/>
              <w:autoSpaceDN/>
              <w:bidi w:val="0"/>
              <w:adjustRightInd/>
              <w:spacing w:before="0" w:beforeAutospacing="0" w:after="0" w:afterAutospacing="0" w:line="216" w:lineRule="auto"/>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5</w:t>
            </w:r>
          </w:p>
        </w:tc>
        <w:tc>
          <w:tcPr>
            <w:tcW w:w="8925" w:type="dxa"/>
            <w:tcBorders>
              <w:tl2br w:val="nil"/>
              <w:tr2bl w:val="nil"/>
            </w:tcBorders>
            <w:vAlign w:val="center"/>
          </w:tcPr>
          <w:p w14:paraId="1209158D">
            <w:pPr>
              <w:pStyle w:val="34"/>
              <w:keepNext w:val="0"/>
              <w:keepLines w:val="0"/>
              <w:pageBreakBefore w:val="0"/>
              <w:kinsoku/>
              <w:wordWrap/>
              <w:overflowPunct/>
              <w:topLinePunct w:val="0"/>
              <w:autoSpaceDE/>
              <w:autoSpaceDN/>
              <w:bidi w:val="0"/>
              <w:adjustRightInd/>
              <w:spacing w:before="0" w:beforeAutospacing="0" w:after="0" w:afterAutospacing="0" w:line="216" w:lineRule="auto"/>
              <w:jc w:val="left"/>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社会保障资金缴纳证明：提供投标响应文件截止时间一年内至少一个月的社会保障资金缴存单据或社保机构开具的社会保险参保缴费情况证明，单据或证明上应有社保机构或代收机构的公章或业务专用章（依法不需要缴纳社会保障资金的供应商应提供相关证明）。</w:t>
            </w:r>
          </w:p>
        </w:tc>
      </w:tr>
      <w:tr w14:paraId="2D88F52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50" w:hRule="atLeast"/>
          <w:jc w:val="center"/>
        </w:trPr>
        <w:tc>
          <w:tcPr>
            <w:tcW w:w="814" w:type="dxa"/>
            <w:tcBorders>
              <w:tl2br w:val="nil"/>
              <w:tr2bl w:val="nil"/>
            </w:tcBorders>
            <w:vAlign w:val="center"/>
          </w:tcPr>
          <w:p w14:paraId="176D8A7F">
            <w:pPr>
              <w:pStyle w:val="34"/>
              <w:keepNext w:val="0"/>
              <w:keepLines w:val="0"/>
              <w:pageBreakBefore w:val="0"/>
              <w:kinsoku/>
              <w:wordWrap/>
              <w:overflowPunct/>
              <w:topLinePunct w:val="0"/>
              <w:autoSpaceDE/>
              <w:autoSpaceDN/>
              <w:bidi w:val="0"/>
              <w:adjustRightInd/>
              <w:spacing w:before="0" w:beforeAutospacing="0" w:after="0" w:afterAutospacing="0" w:line="216" w:lineRule="auto"/>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6</w:t>
            </w:r>
          </w:p>
        </w:tc>
        <w:tc>
          <w:tcPr>
            <w:tcW w:w="8925" w:type="dxa"/>
            <w:tcBorders>
              <w:tl2br w:val="nil"/>
              <w:tr2bl w:val="nil"/>
            </w:tcBorders>
            <w:vAlign w:val="center"/>
          </w:tcPr>
          <w:p w14:paraId="15C9391A">
            <w:pPr>
              <w:pStyle w:val="34"/>
              <w:keepNext w:val="0"/>
              <w:keepLines w:val="0"/>
              <w:pageBreakBefore w:val="0"/>
              <w:kinsoku/>
              <w:wordWrap/>
              <w:overflowPunct/>
              <w:topLinePunct w:val="0"/>
              <w:autoSpaceDE/>
              <w:autoSpaceDN/>
              <w:bidi w:val="0"/>
              <w:adjustRightInd/>
              <w:spacing w:before="0" w:beforeAutospacing="0" w:after="0" w:afterAutospacing="0" w:line="216" w:lineRule="auto"/>
              <w:jc w:val="left"/>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具有履行合同所必需的设备和专业技术能力书面声明函。</w:t>
            </w:r>
          </w:p>
        </w:tc>
      </w:tr>
      <w:tr w14:paraId="36A4782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63" w:hRule="atLeast"/>
          <w:jc w:val="center"/>
        </w:trPr>
        <w:tc>
          <w:tcPr>
            <w:tcW w:w="814" w:type="dxa"/>
            <w:tcBorders>
              <w:tl2br w:val="nil"/>
              <w:tr2bl w:val="nil"/>
            </w:tcBorders>
            <w:vAlign w:val="center"/>
          </w:tcPr>
          <w:p w14:paraId="3121DC43">
            <w:pPr>
              <w:pStyle w:val="34"/>
              <w:keepNext w:val="0"/>
              <w:keepLines w:val="0"/>
              <w:pageBreakBefore w:val="0"/>
              <w:kinsoku/>
              <w:wordWrap/>
              <w:overflowPunct/>
              <w:topLinePunct w:val="0"/>
              <w:autoSpaceDE/>
              <w:autoSpaceDN/>
              <w:bidi w:val="0"/>
              <w:adjustRightInd/>
              <w:spacing w:before="0" w:beforeAutospacing="0" w:after="0" w:afterAutospacing="0" w:line="216" w:lineRule="auto"/>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7</w:t>
            </w:r>
          </w:p>
        </w:tc>
        <w:tc>
          <w:tcPr>
            <w:tcW w:w="8925" w:type="dxa"/>
            <w:tcBorders>
              <w:tl2br w:val="nil"/>
              <w:tr2bl w:val="nil"/>
            </w:tcBorders>
            <w:vAlign w:val="center"/>
          </w:tcPr>
          <w:p w14:paraId="7697783A">
            <w:pPr>
              <w:pStyle w:val="34"/>
              <w:keepNext w:val="0"/>
              <w:keepLines w:val="0"/>
              <w:pageBreakBefore w:val="0"/>
              <w:kinsoku/>
              <w:wordWrap/>
              <w:overflowPunct/>
              <w:topLinePunct w:val="0"/>
              <w:autoSpaceDE/>
              <w:autoSpaceDN/>
              <w:bidi w:val="0"/>
              <w:adjustRightInd/>
              <w:spacing w:before="0" w:beforeAutospacing="0" w:after="0" w:afterAutospacing="0" w:line="216" w:lineRule="auto"/>
              <w:jc w:val="left"/>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参加政府采购活动前三年内，在经营活动中没有重大违法记录的书面声明。</w:t>
            </w:r>
          </w:p>
        </w:tc>
      </w:tr>
      <w:tr w14:paraId="7873DC5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58" w:hRule="atLeast"/>
          <w:jc w:val="center"/>
        </w:trPr>
        <w:tc>
          <w:tcPr>
            <w:tcW w:w="814" w:type="dxa"/>
            <w:tcBorders>
              <w:tl2br w:val="nil"/>
              <w:tr2bl w:val="nil"/>
            </w:tcBorders>
            <w:vAlign w:val="center"/>
          </w:tcPr>
          <w:p w14:paraId="199EE913">
            <w:pPr>
              <w:pStyle w:val="34"/>
              <w:keepNext w:val="0"/>
              <w:keepLines w:val="0"/>
              <w:pageBreakBefore w:val="0"/>
              <w:kinsoku/>
              <w:wordWrap/>
              <w:overflowPunct/>
              <w:topLinePunct w:val="0"/>
              <w:autoSpaceDE/>
              <w:autoSpaceDN/>
              <w:bidi w:val="0"/>
              <w:adjustRightInd/>
              <w:spacing w:before="0" w:beforeAutospacing="0" w:after="0" w:afterAutospacing="0" w:line="216" w:lineRule="auto"/>
              <w:jc w:val="center"/>
              <w:textAlignment w:val="auto"/>
              <w:rPr>
                <w:rFonts w:hint="default" w:cs="宋体"/>
                <w:sz w:val="21"/>
                <w:szCs w:val="21"/>
                <w:highlight w:val="none"/>
                <w:lang w:val="en-US" w:eastAsia="zh-CN"/>
              </w:rPr>
            </w:pPr>
            <w:r>
              <w:rPr>
                <w:rFonts w:hint="eastAsia" w:cs="宋体"/>
                <w:sz w:val="21"/>
                <w:szCs w:val="21"/>
                <w:highlight w:val="none"/>
                <w:lang w:val="en-US" w:eastAsia="zh-CN"/>
              </w:rPr>
              <w:t>8</w:t>
            </w:r>
          </w:p>
        </w:tc>
        <w:tc>
          <w:tcPr>
            <w:tcW w:w="8925" w:type="dxa"/>
            <w:tcBorders>
              <w:tl2br w:val="nil"/>
              <w:tr2bl w:val="nil"/>
            </w:tcBorders>
            <w:vAlign w:val="center"/>
          </w:tcPr>
          <w:p w14:paraId="2120184D">
            <w:pPr>
              <w:keepNext w:val="0"/>
              <w:keepLines w:val="0"/>
              <w:pageBreakBefore w:val="0"/>
              <w:widowControl w:val="0"/>
              <w:kinsoku/>
              <w:wordWrap/>
              <w:overflowPunct/>
              <w:topLinePunct w:val="0"/>
              <w:autoSpaceDE/>
              <w:autoSpaceDN/>
              <w:bidi w:val="0"/>
              <w:adjustRightInd/>
              <w:snapToGrid/>
              <w:spacing w:line="216" w:lineRule="auto"/>
              <w:textAlignment w:val="auto"/>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工业产品厂家须具备《中华人民共和国工业产品生产许可证管理条例实施办法》目录产品生产资质，直接接触食品的材料和相关产品须满足《食品安全法》相关法律法规</w:t>
            </w:r>
            <w:r>
              <w:rPr>
                <w:rFonts w:hint="eastAsia" w:ascii="宋体" w:hAnsi="宋体" w:eastAsia="宋体" w:cs="宋体"/>
                <w:sz w:val="21"/>
                <w:szCs w:val="21"/>
                <w:highlight w:val="none"/>
                <w:lang w:val="en-US" w:eastAsia="zh-CN"/>
              </w:rPr>
              <w:t>。</w:t>
            </w:r>
          </w:p>
        </w:tc>
      </w:tr>
      <w:tr w14:paraId="0612939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30" w:hRule="atLeast"/>
          <w:jc w:val="center"/>
        </w:trPr>
        <w:tc>
          <w:tcPr>
            <w:tcW w:w="814" w:type="dxa"/>
            <w:tcBorders>
              <w:tl2br w:val="nil"/>
              <w:tr2bl w:val="nil"/>
            </w:tcBorders>
            <w:vAlign w:val="center"/>
          </w:tcPr>
          <w:p w14:paraId="1C94EE58">
            <w:pPr>
              <w:pStyle w:val="34"/>
              <w:keepNext w:val="0"/>
              <w:keepLines w:val="0"/>
              <w:pageBreakBefore w:val="0"/>
              <w:kinsoku/>
              <w:wordWrap/>
              <w:overflowPunct/>
              <w:topLinePunct w:val="0"/>
              <w:autoSpaceDE/>
              <w:autoSpaceDN/>
              <w:bidi w:val="0"/>
              <w:adjustRightInd/>
              <w:spacing w:before="0" w:beforeAutospacing="0" w:after="0" w:afterAutospacing="0" w:line="216" w:lineRule="auto"/>
              <w:jc w:val="center"/>
              <w:textAlignment w:val="auto"/>
              <w:rPr>
                <w:rFonts w:hint="default" w:cs="宋体"/>
                <w:sz w:val="21"/>
                <w:szCs w:val="21"/>
                <w:highlight w:val="none"/>
                <w:lang w:val="en-US" w:eastAsia="zh-CN"/>
              </w:rPr>
            </w:pPr>
            <w:r>
              <w:rPr>
                <w:rFonts w:hint="eastAsia" w:cs="宋体"/>
                <w:sz w:val="21"/>
                <w:szCs w:val="21"/>
                <w:highlight w:val="none"/>
                <w:lang w:val="en-US" w:eastAsia="zh-CN"/>
              </w:rPr>
              <w:t>9</w:t>
            </w:r>
          </w:p>
        </w:tc>
        <w:tc>
          <w:tcPr>
            <w:tcW w:w="8925" w:type="dxa"/>
            <w:tcBorders>
              <w:tl2br w:val="nil"/>
              <w:tr2bl w:val="nil"/>
            </w:tcBorders>
            <w:vAlign w:val="center"/>
          </w:tcPr>
          <w:p w14:paraId="037364BF">
            <w:pPr>
              <w:pStyle w:val="34"/>
              <w:keepNext w:val="0"/>
              <w:keepLines w:val="0"/>
              <w:pageBreakBefore w:val="0"/>
              <w:kinsoku/>
              <w:wordWrap/>
              <w:overflowPunct/>
              <w:topLinePunct w:val="0"/>
              <w:autoSpaceDE/>
              <w:autoSpaceDN/>
              <w:bidi w:val="0"/>
              <w:adjustRightInd/>
              <w:spacing w:before="0" w:beforeAutospacing="0" w:after="0" w:afterAutospacing="0" w:line="216" w:lineRule="auto"/>
              <w:jc w:val="left"/>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本项目不接受联合体投标。</w:t>
            </w:r>
          </w:p>
        </w:tc>
      </w:tr>
      <w:tr w14:paraId="0AE9A53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66" w:hRule="atLeast"/>
          <w:jc w:val="center"/>
        </w:trPr>
        <w:tc>
          <w:tcPr>
            <w:tcW w:w="814" w:type="dxa"/>
            <w:tcBorders>
              <w:tl2br w:val="nil"/>
              <w:tr2bl w:val="nil"/>
            </w:tcBorders>
            <w:vAlign w:val="center"/>
          </w:tcPr>
          <w:p w14:paraId="36C44C6E">
            <w:pPr>
              <w:pStyle w:val="34"/>
              <w:keepNext w:val="0"/>
              <w:keepLines w:val="0"/>
              <w:pageBreakBefore w:val="0"/>
              <w:kinsoku/>
              <w:wordWrap/>
              <w:overflowPunct/>
              <w:topLinePunct w:val="0"/>
              <w:autoSpaceDE/>
              <w:autoSpaceDN/>
              <w:bidi w:val="0"/>
              <w:adjustRightInd/>
              <w:spacing w:before="0" w:beforeAutospacing="0" w:after="0" w:afterAutospacing="0" w:line="216" w:lineRule="auto"/>
              <w:jc w:val="center"/>
              <w:textAlignment w:val="auto"/>
              <w:rPr>
                <w:rFonts w:hint="default" w:cs="宋体"/>
                <w:sz w:val="21"/>
                <w:szCs w:val="21"/>
                <w:highlight w:val="none"/>
                <w:lang w:val="en-US" w:eastAsia="zh-CN"/>
              </w:rPr>
            </w:pPr>
            <w:r>
              <w:rPr>
                <w:rFonts w:hint="eastAsia" w:cs="宋体"/>
                <w:sz w:val="21"/>
                <w:szCs w:val="21"/>
                <w:highlight w:val="none"/>
                <w:lang w:val="en-US" w:eastAsia="zh-CN"/>
              </w:rPr>
              <w:t>10</w:t>
            </w:r>
          </w:p>
        </w:tc>
        <w:tc>
          <w:tcPr>
            <w:tcW w:w="8925" w:type="dxa"/>
            <w:tcBorders>
              <w:tl2br w:val="nil"/>
              <w:tr2bl w:val="nil"/>
            </w:tcBorders>
            <w:vAlign w:val="center"/>
          </w:tcPr>
          <w:p w14:paraId="2A5991C3">
            <w:pPr>
              <w:pStyle w:val="34"/>
              <w:keepNext w:val="0"/>
              <w:keepLines w:val="0"/>
              <w:pageBreakBefore w:val="0"/>
              <w:kinsoku/>
              <w:wordWrap/>
              <w:overflowPunct/>
              <w:topLinePunct w:val="0"/>
              <w:autoSpaceDE/>
              <w:autoSpaceDN/>
              <w:bidi w:val="0"/>
              <w:adjustRightInd/>
              <w:spacing w:before="0" w:beforeAutospacing="0" w:after="0" w:afterAutospacing="0" w:line="216" w:lineRule="auto"/>
              <w:jc w:val="left"/>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单位负责人为同一人或者存在直接控股、管理关系的不同供应商，不得参加同一合同项下的政府采购活动。为采购项目提供整体设计、规范编制或者项目管理、监理、检测等服务的供应商，不得再参加该采购项目的其他采购活动。</w:t>
            </w:r>
          </w:p>
        </w:tc>
      </w:tr>
      <w:tr w14:paraId="22E84A4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66" w:hRule="atLeast"/>
          <w:jc w:val="center"/>
        </w:trPr>
        <w:tc>
          <w:tcPr>
            <w:tcW w:w="814" w:type="dxa"/>
            <w:tcBorders>
              <w:tl2br w:val="nil"/>
              <w:tr2bl w:val="nil"/>
            </w:tcBorders>
            <w:vAlign w:val="center"/>
          </w:tcPr>
          <w:p w14:paraId="1D472642">
            <w:pPr>
              <w:pStyle w:val="34"/>
              <w:keepNext w:val="0"/>
              <w:keepLines w:val="0"/>
              <w:pageBreakBefore w:val="0"/>
              <w:kinsoku/>
              <w:wordWrap/>
              <w:overflowPunct/>
              <w:topLinePunct w:val="0"/>
              <w:autoSpaceDE/>
              <w:autoSpaceDN/>
              <w:bidi w:val="0"/>
              <w:adjustRightInd/>
              <w:spacing w:before="0" w:beforeAutospacing="0" w:after="0" w:afterAutospacing="0" w:line="216" w:lineRule="auto"/>
              <w:jc w:val="center"/>
              <w:textAlignment w:val="auto"/>
              <w:rPr>
                <w:rFonts w:hint="default" w:cs="宋体"/>
                <w:sz w:val="21"/>
                <w:szCs w:val="21"/>
                <w:highlight w:val="none"/>
                <w:lang w:val="en-US" w:eastAsia="zh-CN"/>
              </w:rPr>
            </w:pPr>
            <w:r>
              <w:rPr>
                <w:rFonts w:hint="eastAsia" w:cs="宋体"/>
                <w:sz w:val="21"/>
                <w:szCs w:val="21"/>
                <w:highlight w:val="none"/>
                <w:lang w:val="en-US" w:eastAsia="zh-CN"/>
              </w:rPr>
              <w:t>11</w:t>
            </w:r>
          </w:p>
        </w:tc>
        <w:tc>
          <w:tcPr>
            <w:tcW w:w="8925" w:type="dxa"/>
            <w:tcBorders>
              <w:tl2br w:val="nil"/>
              <w:tr2bl w:val="nil"/>
            </w:tcBorders>
            <w:vAlign w:val="center"/>
          </w:tcPr>
          <w:p w14:paraId="3EB6E0FF">
            <w:pPr>
              <w:pStyle w:val="34"/>
              <w:keepNext w:val="0"/>
              <w:keepLines w:val="0"/>
              <w:pageBreakBefore w:val="0"/>
              <w:kinsoku/>
              <w:wordWrap/>
              <w:overflowPunct/>
              <w:topLinePunct w:val="0"/>
              <w:autoSpaceDE/>
              <w:autoSpaceDN/>
              <w:bidi w:val="0"/>
              <w:adjustRightInd/>
              <w:spacing w:before="0" w:beforeAutospacing="0" w:after="0" w:afterAutospacing="0" w:line="216" w:lineRule="auto"/>
              <w:jc w:val="left"/>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本项目专门面向中小企业采购，供应商须提供《中小企业声明函》。供应商为监狱企业的视同小型和微型企业，须提供由省级以上监狱管理局、戒毒管理局(含新疆生产建设兵团)出具的属于监狱企业的证明文件。供应商为残疾人福利性单位的视同小型和微型企业，须提供《残疾人福利性单位声明函》。</w:t>
            </w:r>
          </w:p>
        </w:tc>
      </w:tr>
    </w:tbl>
    <w:p w14:paraId="29C38426">
      <w:pPr>
        <w:keepNext w:val="0"/>
        <w:keepLines w:val="0"/>
        <w:pageBreakBefore w:val="0"/>
        <w:widowControl/>
        <w:kinsoku/>
        <w:wordWrap/>
        <w:overflowPunct/>
        <w:topLinePunct w:val="0"/>
        <w:autoSpaceDE w:val="0"/>
        <w:autoSpaceDN w:val="0"/>
        <w:bidi w:val="0"/>
        <w:adjustRightInd/>
        <w:snapToGrid/>
        <w:spacing w:after="327" w:afterLines="100" w:line="500" w:lineRule="exact"/>
        <w:ind w:left="0" w:leftChars="0" w:right="53" w:rightChars="0" w:firstLine="0" w:firstLineChars="0"/>
        <w:jc w:val="left"/>
        <w:textAlignment w:val="bottom"/>
        <w:outlineLvl w:val="9"/>
        <w:rPr>
          <w:rFonts w:hint="eastAsia" w:ascii="新宋体" w:hAnsi="新宋体"/>
          <w:b/>
          <w:bCs/>
          <w:color w:val="auto"/>
          <w:sz w:val="28"/>
          <w:szCs w:val="28"/>
          <w:highlight w:val="none"/>
          <w:lang w:eastAsia="zh-CN"/>
        </w:rPr>
      </w:pPr>
    </w:p>
    <w:p w14:paraId="602A72D4">
      <w:pPr>
        <w:keepNext w:val="0"/>
        <w:keepLines w:val="0"/>
        <w:pageBreakBefore w:val="0"/>
        <w:widowControl/>
        <w:kinsoku/>
        <w:wordWrap/>
        <w:overflowPunct/>
        <w:topLinePunct w:val="0"/>
        <w:autoSpaceDE w:val="0"/>
        <w:autoSpaceDN w:val="0"/>
        <w:bidi w:val="0"/>
        <w:adjustRightInd/>
        <w:snapToGrid/>
        <w:spacing w:after="327" w:afterLines="100" w:line="500" w:lineRule="exact"/>
        <w:ind w:left="0" w:leftChars="0" w:right="53" w:rightChars="0" w:firstLine="0" w:firstLineChars="0"/>
        <w:jc w:val="left"/>
        <w:textAlignment w:val="bottom"/>
        <w:outlineLvl w:val="9"/>
        <w:rPr>
          <w:rFonts w:hint="eastAsia" w:ascii="新宋体" w:hAnsi="新宋体"/>
          <w:b/>
          <w:bCs/>
          <w:color w:val="auto"/>
          <w:sz w:val="28"/>
          <w:szCs w:val="28"/>
          <w:highlight w:val="none"/>
          <w:lang w:eastAsia="zh-CN"/>
        </w:rPr>
      </w:pPr>
      <w:r>
        <w:rPr>
          <w:rFonts w:hint="eastAsia" w:ascii="新宋体" w:hAnsi="新宋体"/>
          <w:b/>
          <w:bCs/>
          <w:color w:val="auto"/>
          <w:sz w:val="28"/>
          <w:szCs w:val="28"/>
          <w:highlight w:val="none"/>
          <w:lang w:eastAsia="zh-CN"/>
        </w:rPr>
        <w:t>附件二：</w:t>
      </w:r>
    </w:p>
    <w:p w14:paraId="59FA0E6D">
      <w:pPr>
        <w:keepNext w:val="0"/>
        <w:keepLines w:val="0"/>
        <w:pageBreakBefore w:val="0"/>
        <w:widowControl/>
        <w:kinsoku/>
        <w:wordWrap/>
        <w:overflowPunct/>
        <w:topLinePunct w:val="0"/>
        <w:autoSpaceDE w:val="0"/>
        <w:autoSpaceDN w:val="0"/>
        <w:bidi w:val="0"/>
        <w:adjustRightInd/>
        <w:snapToGrid/>
        <w:spacing w:after="327" w:afterLines="100" w:line="500" w:lineRule="exact"/>
        <w:ind w:left="0" w:leftChars="0" w:right="53" w:rightChars="0" w:firstLine="0" w:firstLineChars="0"/>
        <w:jc w:val="center"/>
        <w:textAlignment w:val="bottom"/>
        <w:outlineLvl w:val="9"/>
        <w:rPr>
          <w:rFonts w:hint="eastAsia" w:ascii="宋体" w:hAnsi="宋体" w:eastAsia="宋体" w:cs="宋体"/>
          <w:b/>
          <w:bCs/>
          <w:sz w:val="28"/>
          <w:szCs w:val="28"/>
          <w:highlight w:val="none"/>
        </w:rPr>
      </w:pPr>
      <w:r>
        <w:rPr>
          <w:rFonts w:hint="eastAsia" w:ascii="新宋体" w:hAnsi="新宋体"/>
          <w:b/>
          <w:bCs/>
          <w:color w:val="auto"/>
          <w:sz w:val="28"/>
          <w:szCs w:val="28"/>
          <w:highlight w:val="none"/>
          <w:lang w:eastAsia="zh-CN"/>
        </w:rPr>
        <w:t>符合性审查内容</w:t>
      </w:r>
    </w:p>
    <w:tbl>
      <w:tblPr>
        <w:tblStyle w:val="41"/>
        <w:tblW w:w="9340"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990"/>
        <w:gridCol w:w="8350"/>
      </w:tblGrid>
      <w:tr w14:paraId="54FEEC6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08" w:hRule="atLeast"/>
          <w:jc w:val="center"/>
        </w:trPr>
        <w:tc>
          <w:tcPr>
            <w:tcW w:w="990" w:type="dxa"/>
            <w:vAlign w:val="center"/>
          </w:tcPr>
          <w:p w14:paraId="36F0D75F">
            <w:pPr>
              <w:pStyle w:val="34"/>
              <w:spacing w:before="0" w:beforeAutospacing="0" w:after="0" w:afterAutospacing="0" w:line="500" w:lineRule="exact"/>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序号</w:t>
            </w:r>
          </w:p>
        </w:tc>
        <w:tc>
          <w:tcPr>
            <w:tcW w:w="8350" w:type="dxa"/>
            <w:vAlign w:val="center"/>
          </w:tcPr>
          <w:p w14:paraId="007A45E7">
            <w:pPr>
              <w:pStyle w:val="34"/>
              <w:spacing w:before="0" w:beforeAutospacing="0" w:after="0" w:afterAutospacing="0" w:line="500" w:lineRule="exact"/>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审查内容</w:t>
            </w:r>
          </w:p>
        </w:tc>
      </w:tr>
      <w:tr w14:paraId="1FA0D49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68" w:hRule="atLeast"/>
          <w:jc w:val="center"/>
        </w:trPr>
        <w:tc>
          <w:tcPr>
            <w:tcW w:w="990" w:type="dxa"/>
            <w:vAlign w:val="center"/>
          </w:tcPr>
          <w:p w14:paraId="474AE188">
            <w:pPr>
              <w:pStyle w:val="34"/>
              <w:spacing w:before="0" w:beforeAutospacing="0" w:after="0" w:afterAutospacing="0" w:line="500" w:lineRule="exact"/>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w:t>
            </w:r>
          </w:p>
        </w:tc>
        <w:tc>
          <w:tcPr>
            <w:tcW w:w="8350" w:type="dxa"/>
            <w:vAlign w:val="center"/>
          </w:tcPr>
          <w:p w14:paraId="49CB26F6">
            <w:pPr>
              <w:pStyle w:val="34"/>
              <w:spacing w:before="0" w:beforeAutospacing="0" w:after="0" w:afterAutospacing="0" w:line="500" w:lineRule="exact"/>
              <w:jc w:val="both"/>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投标文件构成无重大缺项，按照招标文件要求的格式编写投标文件；</w:t>
            </w:r>
          </w:p>
        </w:tc>
      </w:tr>
      <w:tr w14:paraId="6C6FAE9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68" w:hRule="atLeast"/>
          <w:jc w:val="center"/>
        </w:trPr>
        <w:tc>
          <w:tcPr>
            <w:tcW w:w="990" w:type="dxa"/>
            <w:vAlign w:val="center"/>
          </w:tcPr>
          <w:p w14:paraId="6A9A35EC">
            <w:pPr>
              <w:pStyle w:val="34"/>
              <w:spacing w:before="0" w:beforeAutospacing="0" w:after="0" w:afterAutospacing="0" w:line="500" w:lineRule="exact"/>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2</w:t>
            </w:r>
          </w:p>
        </w:tc>
        <w:tc>
          <w:tcPr>
            <w:tcW w:w="8350" w:type="dxa"/>
            <w:vAlign w:val="center"/>
          </w:tcPr>
          <w:p w14:paraId="19FD560F">
            <w:pPr>
              <w:pStyle w:val="34"/>
              <w:spacing w:before="0" w:beforeAutospacing="0" w:after="0" w:afterAutospacing="0" w:line="500" w:lineRule="exact"/>
              <w:jc w:val="both"/>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报价唯一，且没有低于成本价或高于最高限价的；</w:t>
            </w:r>
          </w:p>
        </w:tc>
      </w:tr>
      <w:tr w14:paraId="12150C1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93" w:hRule="atLeast"/>
          <w:jc w:val="center"/>
        </w:trPr>
        <w:tc>
          <w:tcPr>
            <w:tcW w:w="990" w:type="dxa"/>
            <w:vAlign w:val="center"/>
          </w:tcPr>
          <w:p w14:paraId="3BED9BED">
            <w:pPr>
              <w:pStyle w:val="34"/>
              <w:spacing w:before="0" w:beforeAutospacing="0" w:after="0" w:afterAutospacing="0" w:line="500" w:lineRule="exact"/>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3</w:t>
            </w:r>
          </w:p>
        </w:tc>
        <w:tc>
          <w:tcPr>
            <w:tcW w:w="8350" w:type="dxa"/>
            <w:vAlign w:val="center"/>
          </w:tcPr>
          <w:p w14:paraId="71DA68A8">
            <w:pPr>
              <w:pStyle w:val="34"/>
              <w:spacing w:before="0" w:beforeAutospacing="0" w:after="0" w:afterAutospacing="0" w:line="500" w:lineRule="exact"/>
              <w:jc w:val="both"/>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投标文件的签署、盖章符合招标文件要求，投标人递交的投标文件与本项目名称一致；</w:t>
            </w:r>
          </w:p>
        </w:tc>
      </w:tr>
      <w:tr w14:paraId="106963F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990" w:type="dxa"/>
            <w:vAlign w:val="center"/>
          </w:tcPr>
          <w:p w14:paraId="6BA80ED1">
            <w:pPr>
              <w:pStyle w:val="34"/>
              <w:spacing w:before="0" w:beforeAutospacing="0" w:after="0" w:afterAutospacing="0" w:line="500" w:lineRule="exact"/>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4</w:t>
            </w:r>
          </w:p>
        </w:tc>
        <w:tc>
          <w:tcPr>
            <w:tcW w:w="8350" w:type="dxa"/>
            <w:vAlign w:val="center"/>
          </w:tcPr>
          <w:p w14:paraId="4BE702F7">
            <w:pPr>
              <w:pStyle w:val="34"/>
              <w:spacing w:before="0" w:beforeAutospacing="0" w:after="0" w:afterAutospacing="0" w:line="500" w:lineRule="exact"/>
              <w:jc w:val="both"/>
              <w:rPr>
                <w:rFonts w:hint="eastAsia" w:ascii="宋体" w:hAnsi="宋体" w:eastAsia="宋体" w:cs="宋体"/>
                <w:sz w:val="21"/>
                <w:szCs w:val="21"/>
                <w:highlight w:val="none"/>
              </w:rPr>
            </w:pPr>
            <w:r>
              <w:rPr>
                <w:rFonts w:hint="eastAsia" w:cs="宋体"/>
                <w:sz w:val="21"/>
                <w:szCs w:val="21"/>
                <w:highlight w:val="none"/>
                <w:lang w:eastAsia="zh-CN"/>
              </w:rPr>
              <w:t>投标有效期：文件递交截止之日起90日历日</w:t>
            </w:r>
            <w:r>
              <w:rPr>
                <w:rFonts w:hint="eastAsia" w:ascii="宋体" w:hAnsi="宋体" w:eastAsia="宋体" w:cs="宋体"/>
                <w:sz w:val="21"/>
                <w:szCs w:val="21"/>
                <w:highlight w:val="none"/>
                <w:lang w:eastAsia="zh-CN"/>
              </w:rPr>
              <w:t>；</w:t>
            </w:r>
          </w:p>
        </w:tc>
      </w:tr>
      <w:tr w14:paraId="4220660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990" w:type="dxa"/>
            <w:vAlign w:val="center"/>
          </w:tcPr>
          <w:p w14:paraId="647C09D6">
            <w:pPr>
              <w:pStyle w:val="34"/>
              <w:spacing w:before="0" w:beforeAutospacing="0" w:after="0" w:afterAutospacing="0" w:line="500" w:lineRule="exact"/>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5</w:t>
            </w:r>
          </w:p>
        </w:tc>
        <w:tc>
          <w:tcPr>
            <w:tcW w:w="8350" w:type="dxa"/>
            <w:vAlign w:val="center"/>
          </w:tcPr>
          <w:p w14:paraId="5553754A">
            <w:pPr>
              <w:pStyle w:val="34"/>
              <w:spacing w:before="0" w:beforeAutospacing="0" w:after="0" w:afterAutospacing="0" w:line="500" w:lineRule="exact"/>
              <w:jc w:val="both"/>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响应招标文件要求；</w:t>
            </w:r>
          </w:p>
        </w:tc>
      </w:tr>
      <w:tr w14:paraId="17181B4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990" w:type="dxa"/>
            <w:vAlign w:val="center"/>
          </w:tcPr>
          <w:p w14:paraId="01A2E147">
            <w:pPr>
              <w:pStyle w:val="34"/>
              <w:spacing w:before="0" w:beforeAutospacing="0" w:after="0" w:afterAutospacing="0" w:line="500" w:lineRule="exact"/>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6</w:t>
            </w:r>
          </w:p>
        </w:tc>
        <w:tc>
          <w:tcPr>
            <w:tcW w:w="8350" w:type="dxa"/>
            <w:vAlign w:val="center"/>
          </w:tcPr>
          <w:p w14:paraId="3750996E">
            <w:pPr>
              <w:pStyle w:val="34"/>
              <w:spacing w:before="0" w:beforeAutospacing="0" w:after="0" w:afterAutospacing="0" w:line="500" w:lineRule="exact"/>
              <w:jc w:val="both"/>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无招标文件中规定的无效情形。</w:t>
            </w:r>
          </w:p>
        </w:tc>
      </w:tr>
    </w:tbl>
    <w:p w14:paraId="0347EA15">
      <w:pPr>
        <w:bidi w:val="0"/>
        <w:rPr>
          <w:rFonts w:hint="eastAsia"/>
          <w:highlight w:val="none"/>
        </w:rPr>
      </w:pPr>
    </w:p>
    <w:p w14:paraId="393BA8D7">
      <w:pPr>
        <w:bidi w:val="0"/>
        <w:rPr>
          <w:rFonts w:hint="eastAsia"/>
          <w:highlight w:val="none"/>
        </w:rPr>
      </w:pPr>
    </w:p>
    <w:p w14:paraId="3151A1AD">
      <w:pPr>
        <w:pStyle w:val="39"/>
        <w:rPr>
          <w:rFonts w:hint="eastAsia"/>
          <w:highlight w:val="none"/>
        </w:rPr>
      </w:pPr>
    </w:p>
    <w:p w14:paraId="78D3BEDC">
      <w:pPr>
        <w:pStyle w:val="16"/>
        <w:rPr>
          <w:rFonts w:hint="eastAsia"/>
          <w:highlight w:val="none"/>
        </w:rPr>
      </w:pPr>
    </w:p>
    <w:p w14:paraId="7BD84A02">
      <w:pPr>
        <w:pStyle w:val="58"/>
        <w:rPr>
          <w:rFonts w:hint="eastAsia"/>
          <w:highlight w:val="none"/>
        </w:rPr>
      </w:pPr>
    </w:p>
    <w:p w14:paraId="4045BA6D">
      <w:pPr>
        <w:rPr>
          <w:rFonts w:hint="eastAsia"/>
          <w:highlight w:val="none"/>
        </w:rPr>
      </w:pPr>
    </w:p>
    <w:p w14:paraId="17C65E5F">
      <w:pPr>
        <w:pStyle w:val="39"/>
        <w:rPr>
          <w:rFonts w:hint="eastAsia"/>
          <w:highlight w:val="none"/>
        </w:rPr>
      </w:pPr>
    </w:p>
    <w:p w14:paraId="0ECAD02A">
      <w:pPr>
        <w:pStyle w:val="16"/>
        <w:rPr>
          <w:rFonts w:hint="eastAsia"/>
          <w:highlight w:val="none"/>
        </w:rPr>
      </w:pPr>
    </w:p>
    <w:p w14:paraId="5469373C">
      <w:pPr>
        <w:pStyle w:val="58"/>
        <w:rPr>
          <w:rFonts w:hint="eastAsia"/>
          <w:highlight w:val="none"/>
        </w:rPr>
      </w:pPr>
    </w:p>
    <w:p w14:paraId="064D4729">
      <w:pPr>
        <w:pStyle w:val="58"/>
        <w:ind w:left="0" w:leftChars="0" w:firstLine="0" w:firstLineChars="0"/>
        <w:rPr>
          <w:rFonts w:hint="eastAsia"/>
          <w:highlight w:val="none"/>
        </w:rPr>
      </w:pPr>
    </w:p>
    <w:p w14:paraId="6C764A7D">
      <w:pPr>
        <w:rPr>
          <w:rFonts w:hint="eastAsia"/>
          <w:highlight w:val="none"/>
        </w:rPr>
      </w:pPr>
    </w:p>
    <w:p w14:paraId="5BE01A8E">
      <w:pPr>
        <w:pStyle w:val="39"/>
        <w:rPr>
          <w:rFonts w:hint="eastAsia"/>
          <w:highlight w:val="none"/>
        </w:rPr>
      </w:pPr>
    </w:p>
    <w:p w14:paraId="6B6E86C2">
      <w:pPr>
        <w:pStyle w:val="16"/>
        <w:rPr>
          <w:rFonts w:hint="eastAsia"/>
          <w:highlight w:val="none"/>
        </w:rPr>
      </w:pPr>
    </w:p>
    <w:p w14:paraId="72DA7293">
      <w:pPr>
        <w:rPr>
          <w:rFonts w:hint="eastAsia"/>
          <w:highlight w:val="none"/>
        </w:rPr>
      </w:pPr>
    </w:p>
    <w:p w14:paraId="740083C0">
      <w:pPr>
        <w:pStyle w:val="5"/>
        <w:numPr>
          <w:ilvl w:val="0"/>
          <w:numId w:val="0"/>
        </w:numPr>
        <w:ind w:leftChars="0"/>
        <w:jc w:val="both"/>
        <w:rPr>
          <w:rFonts w:hint="eastAsia"/>
        </w:rPr>
      </w:pPr>
    </w:p>
    <w:p w14:paraId="7FE4A967">
      <w:pPr>
        <w:rPr>
          <w:rFonts w:hint="eastAsia"/>
        </w:rPr>
      </w:pPr>
    </w:p>
    <w:p w14:paraId="63E716D1">
      <w:pPr>
        <w:pStyle w:val="17"/>
        <w:ind w:left="0" w:leftChars="0" w:firstLine="0" w:firstLineChars="0"/>
        <w:rPr>
          <w:rFonts w:hint="eastAsia"/>
        </w:rPr>
      </w:pPr>
    </w:p>
    <w:p w14:paraId="7C4F3A03">
      <w:pPr>
        <w:pStyle w:val="18"/>
        <w:rPr>
          <w:rFonts w:hint="eastAsia"/>
        </w:rPr>
      </w:pPr>
    </w:p>
    <w:p w14:paraId="4029C842">
      <w:pPr>
        <w:pStyle w:val="18"/>
        <w:rPr>
          <w:rFonts w:hint="eastAsia"/>
        </w:rPr>
      </w:pPr>
    </w:p>
    <w:p w14:paraId="3928EB22">
      <w:pPr>
        <w:pStyle w:val="18"/>
        <w:rPr>
          <w:rFonts w:hint="eastAsia"/>
        </w:rPr>
      </w:pPr>
    </w:p>
    <w:p w14:paraId="09339109">
      <w:pPr>
        <w:pStyle w:val="18"/>
        <w:rPr>
          <w:rFonts w:hint="eastAsia"/>
        </w:rPr>
      </w:pPr>
    </w:p>
    <w:p w14:paraId="78FA26DC">
      <w:pPr>
        <w:pStyle w:val="18"/>
        <w:rPr>
          <w:rFonts w:hint="eastAsia"/>
        </w:rPr>
      </w:pPr>
    </w:p>
    <w:p w14:paraId="3B1B5E0D">
      <w:pPr>
        <w:pStyle w:val="18"/>
        <w:rPr>
          <w:rFonts w:hint="eastAsia"/>
        </w:rPr>
      </w:pPr>
    </w:p>
    <w:p w14:paraId="671674CD">
      <w:pPr>
        <w:pStyle w:val="18"/>
        <w:rPr>
          <w:rFonts w:hint="eastAsia"/>
        </w:rPr>
      </w:pPr>
    </w:p>
    <w:p w14:paraId="64772025">
      <w:pPr>
        <w:pStyle w:val="18"/>
        <w:rPr>
          <w:rFonts w:hint="eastAsia"/>
        </w:rPr>
      </w:pPr>
    </w:p>
    <w:p w14:paraId="2B8D76FA">
      <w:pPr>
        <w:pStyle w:val="18"/>
        <w:rPr>
          <w:rFonts w:hint="eastAsia"/>
        </w:rPr>
      </w:pPr>
    </w:p>
    <w:p w14:paraId="1F3B4337">
      <w:pPr>
        <w:pStyle w:val="18"/>
        <w:rPr>
          <w:rFonts w:hint="eastAsia"/>
        </w:rPr>
      </w:pPr>
    </w:p>
    <w:p w14:paraId="71A5E397">
      <w:pPr>
        <w:pStyle w:val="18"/>
        <w:rPr>
          <w:rFonts w:hint="eastAsia"/>
        </w:rPr>
      </w:pPr>
    </w:p>
    <w:p w14:paraId="2CAC84FB">
      <w:pPr>
        <w:pStyle w:val="18"/>
        <w:rPr>
          <w:rFonts w:hint="eastAsia"/>
        </w:rPr>
      </w:pPr>
    </w:p>
    <w:p w14:paraId="5247231D">
      <w:pPr>
        <w:pStyle w:val="18"/>
        <w:rPr>
          <w:rFonts w:hint="eastAsia"/>
        </w:rPr>
      </w:pPr>
    </w:p>
    <w:p w14:paraId="4CB85FEA">
      <w:pPr>
        <w:pStyle w:val="18"/>
        <w:rPr>
          <w:rFonts w:hint="eastAsia"/>
        </w:rPr>
      </w:pPr>
    </w:p>
    <w:p w14:paraId="35061858">
      <w:pPr>
        <w:pStyle w:val="18"/>
        <w:rPr>
          <w:rFonts w:hint="eastAsia"/>
        </w:rPr>
      </w:pPr>
    </w:p>
    <w:p w14:paraId="18775152">
      <w:pPr>
        <w:pStyle w:val="18"/>
        <w:rPr>
          <w:rFonts w:hint="eastAsia"/>
        </w:rPr>
      </w:pPr>
    </w:p>
    <w:p w14:paraId="62F1A0CB">
      <w:pPr>
        <w:pStyle w:val="18"/>
        <w:rPr>
          <w:rFonts w:hint="eastAsia"/>
        </w:rPr>
      </w:pPr>
    </w:p>
    <w:p w14:paraId="2263C3FC">
      <w:pPr>
        <w:pStyle w:val="18"/>
        <w:rPr>
          <w:rFonts w:hint="eastAsia"/>
        </w:rPr>
      </w:pPr>
    </w:p>
    <w:p w14:paraId="786AD9BC">
      <w:pPr>
        <w:pStyle w:val="18"/>
        <w:rPr>
          <w:rFonts w:hint="eastAsia"/>
        </w:rPr>
      </w:pPr>
    </w:p>
    <w:p w14:paraId="0ABDE3DB">
      <w:pPr>
        <w:pStyle w:val="18"/>
        <w:rPr>
          <w:rFonts w:hint="eastAsia"/>
        </w:rPr>
      </w:pPr>
    </w:p>
    <w:p w14:paraId="73D4267A">
      <w:pPr>
        <w:pStyle w:val="18"/>
        <w:rPr>
          <w:rFonts w:hint="eastAsia"/>
        </w:rPr>
      </w:pPr>
    </w:p>
    <w:p w14:paraId="4F974EFE">
      <w:pPr>
        <w:pStyle w:val="18"/>
        <w:rPr>
          <w:rFonts w:hint="eastAsia"/>
        </w:rPr>
      </w:pPr>
    </w:p>
    <w:p w14:paraId="514261AE">
      <w:pPr>
        <w:rPr>
          <w:rFonts w:hint="eastAsia"/>
          <w:highlight w:val="none"/>
        </w:rPr>
      </w:pPr>
    </w:p>
    <w:p w14:paraId="7D54E90C">
      <w:pPr>
        <w:pStyle w:val="39"/>
        <w:numPr>
          <w:ilvl w:val="0"/>
          <w:numId w:val="8"/>
        </w:numPr>
        <w:jc w:val="center"/>
        <w:rPr>
          <w:rFonts w:hint="eastAsia" w:ascii="宋体" w:hAnsi="宋体" w:eastAsia="宋体" w:cs="宋体"/>
          <w:b/>
          <w:bCs/>
          <w:sz w:val="36"/>
          <w:szCs w:val="36"/>
          <w:highlight w:val="none"/>
          <w:lang w:val="en-US" w:eastAsia="zh-CN"/>
        </w:rPr>
      </w:pPr>
      <w:r>
        <w:rPr>
          <w:rFonts w:hint="eastAsia" w:ascii="宋体" w:hAnsi="宋体" w:cs="宋体"/>
          <w:b/>
          <w:bCs/>
          <w:sz w:val="36"/>
          <w:szCs w:val="36"/>
          <w:highlight w:val="none"/>
          <w:lang w:val="en-US" w:eastAsia="zh-CN"/>
        </w:rPr>
        <w:t>采购</w:t>
      </w:r>
      <w:r>
        <w:rPr>
          <w:rFonts w:hint="eastAsia" w:ascii="宋体" w:hAnsi="宋体" w:eastAsia="宋体" w:cs="宋体"/>
          <w:b/>
          <w:bCs/>
          <w:sz w:val="36"/>
          <w:szCs w:val="36"/>
          <w:highlight w:val="none"/>
          <w:lang w:val="en-US" w:eastAsia="zh-CN"/>
        </w:rPr>
        <w:t>内容及要求</w:t>
      </w:r>
    </w:p>
    <w:p w14:paraId="56166EF9">
      <w:pPr>
        <w:pStyle w:val="16"/>
        <w:widowControl w:val="0"/>
        <w:numPr>
          <w:ilvl w:val="0"/>
          <w:numId w:val="0"/>
        </w:numPr>
        <w:ind w:right="-84" w:rightChars="-40"/>
        <w:jc w:val="center"/>
        <w:rPr>
          <w:rFonts w:hint="eastAsia"/>
        </w:rPr>
      </w:pPr>
    </w:p>
    <w:p w14:paraId="36E28717">
      <w:pPr>
        <w:pStyle w:val="58"/>
        <w:rPr>
          <w:rFonts w:hint="eastAsia"/>
        </w:rPr>
      </w:pPr>
    </w:p>
    <w:p w14:paraId="51FA7BA0">
      <w:pPr>
        <w:rPr>
          <w:rFonts w:hint="eastAsia"/>
        </w:rPr>
      </w:pPr>
    </w:p>
    <w:p w14:paraId="20326892">
      <w:pPr>
        <w:pStyle w:val="39"/>
        <w:rPr>
          <w:rFonts w:hint="eastAsia"/>
        </w:rPr>
      </w:pPr>
    </w:p>
    <w:p w14:paraId="55AACE2C">
      <w:pPr>
        <w:pStyle w:val="16"/>
        <w:rPr>
          <w:rFonts w:hint="eastAsia"/>
        </w:rPr>
      </w:pPr>
    </w:p>
    <w:p w14:paraId="5E53DE1D">
      <w:pPr>
        <w:pStyle w:val="58"/>
        <w:rPr>
          <w:rFonts w:hint="eastAsia"/>
        </w:rPr>
      </w:pPr>
    </w:p>
    <w:p w14:paraId="2EC4A9C3">
      <w:pPr>
        <w:rPr>
          <w:rFonts w:hint="eastAsia"/>
        </w:rPr>
      </w:pPr>
    </w:p>
    <w:p w14:paraId="5F6F33C1">
      <w:pPr>
        <w:pStyle w:val="39"/>
        <w:rPr>
          <w:rFonts w:hint="eastAsia"/>
        </w:rPr>
      </w:pPr>
    </w:p>
    <w:p w14:paraId="0ED35025">
      <w:pPr>
        <w:pStyle w:val="16"/>
        <w:rPr>
          <w:rFonts w:hint="eastAsia"/>
        </w:rPr>
      </w:pPr>
    </w:p>
    <w:p w14:paraId="5D63B766">
      <w:pPr>
        <w:pStyle w:val="58"/>
        <w:rPr>
          <w:rFonts w:hint="eastAsia"/>
        </w:rPr>
      </w:pPr>
    </w:p>
    <w:p w14:paraId="7104FCBB">
      <w:pPr>
        <w:rPr>
          <w:rFonts w:hint="eastAsia"/>
        </w:rPr>
      </w:pPr>
    </w:p>
    <w:p w14:paraId="0C7B63DB">
      <w:pPr>
        <w:pStyle w:val="39"/>
        <w:rPr>
          <w:rFonts w:hint="eastAsia"/>
        </w:rPr>
      </w:pPr>
    </w:p>
    <w:p w14:paraId="1F60F2AF">
      <w:pPr>
        <w:pStyle w:val="16"/>
        <w:rPr>
          <w:rFonts w:hint="eastAsia"/>
        </w:rPr>
      </w:pPr>
    </w:p>
    <w:p w14:paraId="7D38C72B">
      <w:pPr>
        <w:pStyle w:val="58"/>
        <w:rPr>
          <w:rFonts w:hint="eastAsia"/>
        </w:rPr>
      </w:pPr>
    </w:p>
    <w:p w14:paraId="5DB3E18E">
      <w:pPr>
        <w:rPr>
          <w:rFonts w:hint="eastAsia"/>
        </w:rPr>
      </w:pPr>
    </w:p>
    <w:p w14:paraId="77815CA9">
      <w:pPr>
        <w:pStyle w:val="39"/>
        <w:rPr>
          <w:rFonts w:hint="eastAsia"/>
        </w:rPr>
      </w:pPr>
    </w:p>
    <w:p w14:paraId="5EF8A03C">
      <w:pPr>
        <w:pStyle w:val="16"/>
        <w:rPr>
          <w:rFonts w:hint="eastAsia"/>
        </w:rPr>
      </w:pPr>
    </w:p>
    <w:p w14:paraId="0365DB7E">
      <w:pPr>
        <w:pStyle w:val="58"/>
        <w:rPr>
          <w:rFonts w:hint="eastAsia"/>
        </w:rPr>
      </w:pPr>
    </w:p>
    <w:p w14:paraId="2B075DC1">
      <w:pPr>
        <w:rPr>
          <w:rFonts w:hint="eastAsia"/>
        </w:rPr>
      </w:pPr>
    </w:p>
    <w:p w14:paraId="3053CD0A">
      <w:pPr>
        <w:pStyle w:val="39"/>
        <w:rPr>
          <w:rFonts w:hint="eastAsia"/>
        </w:rPr>
      </w:pPr>
    </w:p>
    <w:p w14:paraId="01FCD6F7">
      <w:pPr>
        <w:pStyle w:val="16"/>
        <w:rPr>
          <w:rFonts w:hint="eastAsia"/>
        </w:rPr>
      </w:pPr>
    </w:p>
    <w:p w14:paraId="523B5F30">
      <w:pPr>
        <w:pStyle w:val="16"/>
        <w:rPr>
          <w:rFonts w:hint="eastAsia"/>
        </w:rPr>
      </w:pPr>
    </w:p>
    <w:p w14:paraId="1ECDFF4D">
      <w:pPr>
        <w:pStyle w:val="16"/>
        <w:rPr>
          <w:rFonts w:hint="eastAsia"/>
        </w:rPr>
      </w:pPr>
    </w:p>
    <w:p w14:paraId="75CC66C4">
      <w:pPr>
        <w:rPr>
          <w:rFonts w:hint="eastAsia"/>
        </w:rPr>
      </w:pPr>
    </w:p>
    <w:p w14:paraId="0E4B245A">
      <w:pPr>
        <w:pStyle w:val="16"/>
        <w:jc w:val="both"/>
        <w:rPr>
          <w:rFonts w:hint="eastAsia"/>
        </w:rPr>
      </w:pPr>
    </w:p>
    <w:tbl>
      <w:tblPr>
        <w:tblStyle w:val="40"/>
        <w:tblW w:w="919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540"/>
        <w:gridCol w:w="1170"/>
        <w:gridCol w:w="1440"/>
        <w:gridCol w:w="4746"/>
        <w:gridCol w:w="698"/>
        <w:gridCol w:w="601"/>
      </w:tblGrid>
      <w:tr w14:paraId="5B2B7F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8DFD59">
            <w:pPr>
              <w:keepNext w:val="0"/>
              <w:keepLines w:val="0"/>
              <w:widowControl/>
              <w:suppressLineNumbers w:val="0"/>
              <w:jc w:val="center"/>
              <w:textAlignment w:val="center"/>
              <w:rPr>
                <w:rFonts w:hint="eastAsia" w:ascii="宋体" w:hAnsi="宋体" w:eastAsia="宋体" w:cs="宋体"/>
                <w:b/>
                <w:bCs/>
                <w:i w:val="0"/>
                <w:iCs w:val="0"/>
                <w:color w:val="000000"/>
                <w:sz w:val="20"/>
                <w:szCs w:val="20"/>
                <w:highlight w:val="none"/>
                <w:u w:val="none"/>
              </w:rPr>
            </w:pPr>
            <w:bookmarkStart w:id="16" w:name="_Toc167712842"/>
            <w:bookmarkStart w:id="17" w:name="_Toc167714040"/>
            <w:bookmarkStart w:id="18" w:name="_Toc167715237"/>
            <w:r>
              <w:rPr>
                <w:rFonts w:hint="eastAsia" w:ascii="宋体" w:hAnsi="宋体" w:eastAsia="宋体" w:cs="宋体"/>
                <w:b/>
                <w:bCs/>
                <w:i w:val="0"/>
                <w:iCs w:val="0"/>
                <w:color w:val="000000"/>
                <w:kern w:val="0"/>
                <w:sz w:val="20"/>
                <w:szCs w:val="20"/>
                <w:highlight w:val="none"/>
                <w:u w:val="none"/>
                <w:lang w:val="en-US" w:eastAsia="zh-CN" w:bidi="ar"/>
              </w:rPr>
              <w:t>序号</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981044">
            <w:pPr>
              <w:keepNext w:val="0"/>
              <w:keepLines w:val="0"/>
              <w:widowControl/>
              <w:suppressLineNumbers w:val="0"/>
              <w:jc w:val="center"/>
              <w:textAlignment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kern w:val="0"/>
                <w:sz w:val="20"/>
                <w:szCs w:val="20"/>
                <w:highlight w:val="none"/>
                <w:u w:val="none"/>
                <w:lang w:val="en-US" w:eastAsia="zh-CN" w:bidi="ar"/>
              </w:rPr>
              <w:t>设备名称</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41E2B2">
            <w:pPr>
              <w:keepNext w:val="0"/>
              <w:keepLines w:val="0"/>
              <w:widowControl/>
              <w:suppressLineNumbers w:val="0"/>
              <w:jc w:val="center"/>
              <w:textAlignment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kern w:val="0"/>
                <w:sz w:val="20"/>
                <w:szCs w:val="20"/>
                <w:highlight w:val="none"/>
                <w:u w:val="none"/>
                <w:lang w:val="en-US" w:eastAsia="zh-CN" w:bidi="ar"/>
              </w:rPr>
              <w:t>规格尺寸</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3A6EB0">
            <w:pPr>
              <w:keepNext w:val="0"/>
              <w:keepLines w:val="0"/>
              <w:widowControl/>
              <w:suppressLineNumbers w:val="0"/>
              <w:jc w:val="center"/>
              <w:textAlignment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kern w:val="0"/>
                <w:sz w:val="20"/>
                <w:szCs w:val="20"/>
                <w:highlight w:val="none"/>
                <w:u w:val="none"/>
                <w:lang w:val="en-US" w:eastAsia="zh-CN" w:bidi="ar"/>
              </w:rPr>
              <w:t>技术参数</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F652E0">
            <w:pPr>
              <w:keepNext w:val="0"/>
              <w:keepLines w:val="0"/>
              <w:widowControl/>
              <w:suppressLineNumbers w:val="0"/>
              <w:jc w:val="center"/>
              <w:textAlignment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kern w:val="0"/>
                <w:sz w:val="20"/>
                <w:szCs w:val="20"/>
                <w:highlight w:val="none"/>
                <w:u w:val="none"/>
                <w:lang w:val="en-US" w:eastAsia="zh-CN" w:bidi="ar"/>
              </w:rPr>
              <w:t>数量</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4523DE">
            <w:pPr>
              <w:keepNext w:val="0"/>
              <w:keepLines w:val="0"/>
              <w:widowControl/>
              <w:suppressLineNumbers w:val="0"/>
              <w:jc w:val="center"/>
              <w:textAlignment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kern w:val="0"/>
                <w:sz w:val="20"/>
                <w:szCs w:val="20"/>
                <w:highlight w:val="none"/>
                <w:u w:val="none"/>
                <w:lang w:val="en-US" w:eastAsia="zh-CN" w:bidi="ar"/>
              </w:rPr>
              <w:t>单位</w:t>
            </w:r>
          </w:p>
        </w:tc>
      </w:tr>
      <w:tr w14:paraId="59E8DC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1" w:hRule="atLeast"/>
        </w:trPr>
        <w:tc>
          <w:tcPr>
            <w:tcW w:w="919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27898C85">
            <w:pPr>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kern w:val="0"/>
                <w:sz w:val="20"/>
                <w:szCs w:val="20"/>
                <w:highlight w:val="none"/>
                <w:u w:val="none"/>
                <w:lang w:val="en-US" w:eastAsia="zh-CN" w:bidi="ar"/>
              </w:rPr>
              <w:t>收货区</w:t>
            </w:r>
          </w:p>
        </w:tc>
      </w:tr>
      <w:tr w14:paraId="5C724B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73"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25C7B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2B184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底架</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FAAB4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lang w:val="en-US"/>
              </w:rPr>
            </w:pPr>
            <w:r>
              <w:rPr>
                <w:rFonts w:hint="eastAsia" w:ascii="宋体" w:hAnsi="宋体" w:eastAsia="宋体" w:cs="宋体"/>
                <w:i w:val="0"/>
                <w:iCs w:val="0"/>
                <w:color w:val="000000"/>
                <w:kern w:val="0"/>
                <w:sz w:val="20"/>
                <w:szCs w:val="20"/>
                <w:highlight w:val="none"/>
                <w:u w:val="none"/>
                <w:lang w:val="en-US" w:eastAsia="zh-CN" w:bidi="ar"/>
              </w:rPr>
              <w:t>参考尺寸1500*700*300mm</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70B2D6">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*整体采用SUS304不锈钢制作，厚度≥1.5mm；</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*横柱用≥38×25×0.8mm厚不锈钢；</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*立柱采用≥38×38×1.0mm厚不锈钢；</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*配置塑胶脚垫</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786B4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1909A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台</w:t>
            </w:r>
          </w:p>
        </w:tc>
      </w:tr>
      <w:tr w14:paraId="39CD7A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73"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C726C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DACD3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风幕机</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2CEA2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参考尺寸L=1500mm</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A87FC6">
            <w:pPr>
              <w:keepNext w:val="0"/>
              <w:keepLines w:val="0"/>
              <w:widowControl/>
              <w:numPr>
                <w:ilvl w:val="0"/>
                <w:numId w:val="9"/>
              </w:numPr>
              <w:suppressLineNumbers w:val="0"/>
              <w:jc w:val="left"/>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风轮经过优化设计，采用优质铝合金制造而成，既有运行平稳，噪音低等特点；</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 xml:space="preserve">2.全金属机身，外壳采用优质钢板，整机防火，耐腐植性能佳，坚固耐用   </w:t>
            </w:r>
          </w:p>
          <w:p w14:paraId="593A72AC">
            <w:pPr>
              <w:keepNext w:val="0"/>
              <w:keepLines w:val="0"/>
              <w:widowControl/>
              <w:numPr>
                <w:ilvl w:val="0"/>
                <w:numId w:val="0"/>
              </w:numPr>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3.电压220V，功率≥160W。</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1A77E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D140E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台</w:t>
            </w:r>
          </w:p>
        </w:tc>
      </w:tr>
      <w:tr w14:paraId="0498A0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32"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255A5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3</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39D02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挡鼠板</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5EAC5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参考尺寸L=1500mm</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B977F1">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1.板材均选用304磨纱贴塑不锈钢板；</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2.厚度≥1.5mm；</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3.h=0.6m（±1mm）（±1mm）</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60DA0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CFBF3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套</w:t>
            </w:r>
          </w:p>
        </w:tc>
      </w:tr>
      <w:tr w14:paraId="4ED9E8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3C286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4</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CC06B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粘捕式灭蝇灯</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19B5E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lang w:val="en-US"/>
              </w:rPr>
            </w:pPr>
            <w:r>
              <w:rPr>
                <w:rFonts w:hint="eastAsia" w:ascii="宋体" w:hAnsi="宋体" w:eastAsia="宋体" w:cs="宋体"/>
                <w:i w:val="0"/>
                <w:iCs w:val="0"/>
                <w:color w:val="000000"/>
                <w:kern w:val="0"/>
                <w:sz w:val="20"/>
                <w:szCs w:val="20"/>
                <w:highlight w:val="none"/>
                <w:u w:val="none"/>
                <w:lang w:val="en-US" w:eastAsia="zh-CN" w:bidi="ar"/>
              </w:rPr>
              <w:t>参考尺寸360*170*200mm</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ABEC70">
            <w:pPr>
              <w:keepNext w:val="0"/>
              <w:keepLines w:val="0"/>
              <w:widowControl/>
              <w:numPr>
                <w:ilvl w:val="0"/>
                <w:numId w:val="0"/>
              </w:numPr>
              <w:suppressLineNumbers w:val="0"/>
              <w:jc w:val="left"/>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 xml:space="preserve">1.无声诱捕                                                      2.采用优质粘虫板，开封后能使用两周左右                                </w:t>
            </w:r>
          </w:p>
          <w:p w14:paraId="2E48DD6D">
            <w:pPr>
              <w:keepNext w:val="0"/>
              <w:keepLines w:val="0"/>
              <w:widowControl/>
              <w:numPr>
                <w:ilvl w:val="0"/>
                <w:numId w:val="0"/>
              </w:numPr>
              <w:suppressLineNumbers w:val="0"/>
              <w:ind w:leftChars="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3.电压：220V,功率≥8W*2                     </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263D5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7DC93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台</w:t>
            </w:r>
          </w:p>
        </w:tc>
      </w:tr>
      <w:tr w14:paraId="4F31CD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2"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3004B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5</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8F8DE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紫外线杀菌灯</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0CC6C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lang w:val="en-US"/>
              </w:rPr>
            </w:pPr>
            <w:r>
              <w:rPr>
                <w:rFonts w:hint="eastAsia" w:ascii="宋体" w:hAnsi="宋体" w:eastAsia="宋体" w:cs="宋体"/>
                <w:i w:val="0"/>
                <w:iCs w:val="0"/>
                <w:color w:val="000000"/>
                <w:kern w:val="0"/>
                <w:sz w:val="20"/>
                <w:szCs w:val="20"/>
                <w:highlight w:val="none"/>
                <w:u w:val="none"/>
                <w:lang w:val="en-US" w:eastAsia="zh-CN" w:bidi="ar"/>
              </w:rPr>
              <w:t>参考尺寸1213*28*28mm</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E6595F">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电压:220V</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功率≥36w灯管带底座；挂式</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E804F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DAA73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台</w:t>
            </w:r>
          </w:p>
        </w:tc>
      </w:tr>
      <w:tr w14:paraId="009E69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919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01460473">
            <w:pPr>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kern w:val="0"/>
                <w:sz w:val="20"/>
                <w:szCs w:val="20"/>
                <w:highlight w:val="none"/>
                <w:u w:val="none"/>
                <w:lang w:val="en-US" w:eastAsia="zh-CN" w:bidi="ar"/>
              </w:rPr>
              <w:t>男更衣室</w:t>
            </w:r>
          </w:p>
        </w:tc>
      </w:tr>
      <w:tr w14:paraId="0C2611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73"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CD771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EEAFA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不锈钢更衣柜</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ADD9A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6格</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7E856A">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参考尺寸：900*400*1800mm</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1.板材均选用304磨纱不锈钢板；</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2.层板厚度≥1.5mm；</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3.层板用不锈钢加强筋</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CE393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4</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49C10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台</w:t>
            </w:r>
          </w:p>
        </w:tc>
      </w:tr>
      <w:tr w14:paraId="5989D9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3" w:hRule="atLeast"/>
        </w:trPr>
        <w:tc>
          <w:tcPr>
            <w:tcW w:w="5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2755E0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2EE0A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洗手星盆</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0921C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lang w:val="en-US"/>
              </w:rPr>
            </w:pPr>
            <w:r>
              <w:rPr>
                <w:rFonts w:hint="eastAsia" w:ascii="宋体" w:hAnsi="宋体" w:eastAsia="宋体" w:cs="宋体"/>
                <w:i w:val="0"/>
                <w:iCs w:val="0"/>
                <w:color w:val="000000"/>
                <w:kern w:val="0"/>
                <w:sz w:val="20"/>
                <w:szCs w:val="20"/>
                <w:highlight w:val="none"/>
                <w:u w:val="none"/>
                <w:lang w:val="en-US" w:eastAsia="zh-CN" w:bidi="ar"/>
              </w:rPr>
              <w:t>参考尺寸500*450*800mm</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E0F95F">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材质选用304不锈钢板材</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1.台面：采用厚≥1.5mm，星盆：采用厚≥1.2mm，星盆参考尺寸400*400*280mm，防溅板（斜口）立背（垂直度＜2mm），水槽底部能承受100kg载荷（变形量＜3mm）；</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2.柜身采用厚≥1.5mm不锈钢板，门为掩门结构，一体折边扣手，上配门吸，内侧封板闭合，下配4个不锈钢可调子弹脚，立柱与台面（垂直度＜5mm）；</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3.选配：不锈钢下水口1个；</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4.工艺要求：产品焊接牢固，表面无明显划痕、锤印及烧痕，边角不允许有尖角和毛刺，焊点平滑均匀，无漏焊及沙眼，焊口处做好抛光防锈处理；</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C33CE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0D558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台</w:t>
            </w:r>
          </w:p>
        </w:tc>
      </w:tr>
      <w:tr w14:paraId="182395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54" w:hRule="atLeast"/>
        </w:trPr>
        <w:tc>
          <w:tcPr>
            <w:tcW w:w="5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75E04B">
            <w:pPr>
              <w:jc w:val="center"/>
              <w:rPr>
                <w:rFonts w:hint="eastAsia" w:ascii="宋体" w:hAnsi="宋体" w:eastAsia="宋体" w:cs="宋体"/>
                <w:i w:val="0"/>
                <w:iCs w:val="0"/>
                <w:color w:val="000000"/>
                <w:sz w:val="20"/>
                <w:szCs w:val="20"/>
                <w:highlight w:val="none"/>
                <w:u w:val="none"/>
              </w:rPr>
            </w:pP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1F0DA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感应水龙头</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DBAB17">
            <w:pPr>
              <w:jc w:val="center"/>
              <w:rPr>
                <w:rFonts w:hint="eastAsia" w:ascii="宋体" w:hAnsi="宋体" w:eastAsia="宋体" w:cs="宋体"/>
                <w:i w:val="0"/>
                <w:iCs w:val="0"/>
                <w:color w:val="000000"/>
                <w:sz w:val="20"/>
                <w:szCs w:val="20"/>
                <w:highlight w:val="none"/>
                <w:u w:val="none"/>
              </w:rPr>
            </w:pP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290602">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1.H62黄铜铸造主体，表面抛光镀铬处理</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2.座台式安装，开孔尺寸25mm</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3.红外感应距离25cm，感应距离可调</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4.AC/DC控制模块，电源可选交流电或1.5V*4直流电源</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5.三通接口设计，可接冷、热水源，接口4分外螺纹。</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6.感应龙头参考尺寸160*185*125，出水口距台面100mm</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715B4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5DE56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套</w:t>
            </w:r>
          </w:p>
        </w:tc>
      </w:tr>
      <w:tr w14:paraId="26F9EE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73"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A9214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3</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7B962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干手器</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3A474D">
            <w:pPr>
              <w:jc w:val="center"/>
              <w:rPr>
                <w:rFonts w:hint="eastAsia" w:ascii="宋体" w:hAnsi="宋体" w:eastAsia="宋体" w:cs="宋体"/>
                <w:i w:val="0"/>
                <w:iCs w:val="0"/>
                <w:color w:val="000000"/>
                <w:sz w:val="20"/>
                <w:szCs w:val="20"/>
                <w:highlight w:val="none"/>
                <w:u w:val="none"/>
              </w:rPr>
            </w:pP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A81478">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1.材质：ABS;</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2.额定功率≥1.2kw；电压：220V；ccc认证；</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3.防水等级：IPX1；干手时间：5-30s；</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4。冷热调节，红外感应，电热丝加热；</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37582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32B98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台</w:t>
            </w:r>
          </w:p>
        </w:tc>
      </w:tr>
      <w:tr w14:paraId="69C3C1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32"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F35E3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4</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7E91C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挡鼠板</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2AFF4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参考尺寸L=930mm</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0DEBA0">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1.板材均选用304磨纱贴塑不锈钢板；</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2.厚度≥1.5mm；</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3.h=0.6m（±1mm）</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74241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E3606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套</w:t>
            </w:r>
          </w:p>
        </w:tc>
      </w:tr>
      <w:tr w14:paraId="11A168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A98F5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5</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2CD29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粘捕式灭蝇灯</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EE32F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参考尺寸360*170*200mm</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4D35D7">
            <w:pPr>
              <w:keepNext w:val="0"/>
              <w:keepLines w:val="0"/>
              <w:widowControl/>
              <w:numPr>
                <w:ilvl w:val="0"/>
                <w:numId w:val="0"/>
              </w:numPr>
              <w:suppressLineNumbers w:val="0"/>
              <w:jc w:val="left"/>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 xml:space="preserve">1.无声诱捕                                                      2.采用优质粘虫板，开封后能使用两周左右                                </w:t>
            </w:r>
          </w:p>
          <w:p w14:paraId="7321EA31">
            <w:pPr>
              <w:keepNext w:val="0"/>
              <w:keepLines w:val="0"/>
              <w:widowControl/>
              <w:numPr>
                <w:ilvl w:val="0"/>
                <w:numId w:val="0"/>
              </w:numPr>
              <w:suppressLineNumbers w:val="0"/>
              <w:ind w:left="0" w:leftChars="0" w:firstLine="0" w:firstLineChars="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3.电压：220V,功率≥8W*2                     </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D3406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A4FC0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台</w:t>
            </w:r>
          </w:p>
        </w:tc>
      </w:tr>
      <w:tr w14:paraId="44F62B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2"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F50D7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6</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09197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紫外线杀菌灯</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98C74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lang w:val="en-US"/>
              </w:rPr>
            </w:pPr>
            <w:r>
              <w:rPr>
                <w:rFonts w:hint="eastAsia" w:ascii="宋体" w:hAnsi="宋体" w:eastAsia="宋体" w:cs="宋体"/>
                <w:i w:val="0"/>
                <w:iCs w:val="0"/>
                <w:color w:val="000000"/>
                <w:kern w:val="0"/>
                <w:sz w:val="20"/>
                <w:szCs w:val="20"/>
                <w:highlight w:val="none"/>
                <w:u w:val="none"/>
                <w:lang w:val="en-US" w:eastAsia="zh-CN" w:bidi="ar"/>
              </w:rPr>
              <w:t>参考尺寸1213*28*28mm</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2A7BA7">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电压:220V</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功率≥36w灯管带底座；挂式</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55778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46819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台</w:t>
            </w:r>
          </w:p>
        </w:tc>
      </w:tr>
      <w:tr w14:paraId="596F8C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919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684A7C6D">
            <w:pPr>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kern w:val="0"/>
                <w:sz w:val="20"/>
                <w:szCs w:val="20"/>
                <w:highlight w:val="none"/>
                <w:u w:val="none"/>
                <w:lang w:val="en-US" w:eastAsia="zh-CN" w:bidi="ar"/>
              </w:rPr>
              <w:t>女更衣室</w:t>
            </w:r>
          </w:p>
        </w:tc>
      </w:tr>
      <w:tr w14:paraId="6FAEE2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73"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BCA1D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AB5D5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不锈钢更衣柜</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8707B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6格</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618B3A">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参考尺寸：900*400*1800</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1.板材均选用304磨纱不锈钢板；</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2.层板厚度≥1.5mm；</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3.层板用不锈钢加强筋</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DB209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5</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03B3E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台</w:t>
            </w:r>
          </w:p>
        </w:tc>
      </w:tr>
      <w:tr w14:paraId="654FA9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9" w:hRule="atLeast"/>
        </w:trPr>
        <w:tc>
          <w:tcPr>
            <w:tcW w:w="5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A54250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F555C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洗手星盆</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9A1F1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lang w:val="en-US"/>
              </w:rPr>
            </w:pPr>
            <w:r>
              <w:rPr>
                <w:rFonts w:hint="eastAsia" w:ascii="宋体" w:hAnsi="宋体" w:eastAsia="宋体" w:cs="宋体"/>
                <w:i w:val="0"/>
                <w:iCs w:val="0"/>
                <w:color w:val="000000"/>
                <w:kern w:val="0"/>
                <w:sz w:val="20"/>
                <w:szCs w:val="20"/>
                <w:highlight w:val="none"/>
                <w:u w:val="none"/>
                <w:lang w:val="en-US" w:eastAsia="zh-CN" w:bidi="ar"/>
              </w:rPr>
              <w:t>参考尺寸500*450*800mm</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BC2ED9">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材质选用304不锈钢板材</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1.台面：采用厚≥1.5mm，星盆：采用厚≥1.2mm，星盆参考尺寸400*400*280mm，防溅板（斜口）立背（垂直度＜2mm），水槽底部能承受100kg载荷（变形量＜3mm）；</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2.柜身采用厚≥1.5mm不锈钢板，门为掩门结构，一体折边扣手，上配门吸，内侧封板闭合，下配4个不锈钢可调子弹脚，立柱与台面（垂直度＜5mm）；</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3.选配：不锈钢下水口1个；</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4.工艺要求：产品焊接牢固，表面无明显划痕、锤印及烧痕，边角不允许有尖角和毛刺，焊点平滑均匀，无漏焊及沙眼，焊口处做好抛光防锈处理；</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D5DE6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2EEC8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台</w:t>
            </w:r>
          </w:p>
        </w:tc>
      </w:tr>
      <w:tr w14:paraId="27DB9E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54" w:hRule="atLeast"/>
        </w:trPr>
        <w:tc>
          <w:tcPr>
            <w:tcW w:w="5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39703C">
            <w:pPr>
              <w:jc w:val="center"/>
              <w:rPr>
                <w:rFonts w:hint="eastAsia" w:ascii="宋体" w:hAnsi="宋体" w:eastAsia="宋体" w:cs="宋体"/>
                <w:i w:val="0"/>
                <w:iCs w:val="0"/>
                <w:color w:val="000000"/>
                <w:sz w:val="20"/>
                <w:szCs w:val="20"/>
                <w:highlight w:val="none"/>
                <w:u w:val="none"/>
              </w:rPr>
            </w:pP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42A55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感应水龙头</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BF86DB">
            <w:pPr>
              <w:jc w:val="center"/>
              <w:rPr>
                <w:rFonts w:hint="eastAsia" w:ascii="宋体" w:hAnsi="宋体" w:eastAsia="宋体" w:cs="宋体"/>
                <w:i w:val="0"/>
                <w:iCs w:val="0"/>
                <w:color w:val="000000"/>
                <w:sz w:val="20"/>
                <w:szCs w:val="20"/>
                <w:highlight w:val="none"/>
                <w:u w:val="none"/>
              </w:rPr>
            </w:pP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3BCADB">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1.H62黄铜铸造主体，表面抛光镀铬处理</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2.座台式安装，开孔尺寸25mm</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3.红外感应距离25cm，感应距离可调</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4.AC/DC控制模块，电源可选交流电或1.5V*4直流电源</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5.三通接口设计，可接冷、热水源，接口4分外螺纹。</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6.感应龙头尺寸160*185*125，出水口距台面100mm</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0050E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1F6C7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套</w:t>
            </w:r>
          </w:p>
        </w:tc>
      </w:tr>
      <w:tr w14:paraId="414178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73"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85865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3</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073B4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干手器</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C72E27">
            <w:pPr>
              <w:jc w:val="center"/>
              <w:rPr>
                <w:rFonts w:hint="eastAsia" w:ascii="宋体" w:hAnsi="宋体" w:eastAsia="宋体" w:cs="宋体"/>
                <w:i w:val="0"/>
                <w:iCs w:val="0"/>
                <w:color w:val="000000"/>
                <w:sz w:val="20"/>
                <w:szCs w:val="20"/>
                <w:highlight w:val="none"/>
                <w:u w:val="none"/>
              </w:rPr>
            </w:pP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E212B4">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1.材质：ABS;</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2.额定功率≥1.2kw；电压：220V；ccc认证；</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3.防水等级：IPX1；干手时间：5-30s；</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4.冷热调节，红外感应，电热丝加热；</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9DB5D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C9D97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台</w:t>
            </w:r>
          </w:p>
        </w:tc>
      </w:tr>
      <w:tr w14:paraId="0D00721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49"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2A323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4</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2675D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粘捕式灭蝇灯</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90F53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参考尺寸360*170*200mm</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2B5E07">
            <w:pPr>
              <w:keepNext w:val="0"/>
              <w:keepLines w:val="0"/>
              <w:widowControl/>
              <w:numPr>
                <w:ilvl w:val="0"/>
                <w:numId w:val="0"/>
              </w:numPr>
              <w:suppressLineNumbers w:val="0"/>
              <w:jc w:val="left"/>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 xml:space="preserve">1.无声诱捕                                                      2.采用优质粘虫板，开封后能使用两周左右                                </w:t>
            </w:r>
          </w:p>
          <w:p w14:paraId="3304FADA">
            <w:pPr>
              <w:keepNext w:val="0"/>
              <w:keepLines w:val="0"/>
              <w:widowControl/>
              <w:numPr>
                <w:ilvl w:val="0"/>
                <w:numId w:val="0"/>
              </w:numPr>
              <w:suppressLineNumbers w:val="0"/>
              <w:ind w:left="0" w:leftChars="0" w:firstLine="0" w:firstLineChars="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3.电压：220V,功率≥8W*2                     </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17CA6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E3B67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台</w:t>
            </w:r>
          </w:p>
        </w:tc>
      </w:tr>
      <w:tr w14:paraId="5A3647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2"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24C89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5</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A612C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紫外线杀菌灯</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CD1F0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lang w:val="en-US"/>
              </w:rPr>
            </w:pPr>
            <w:r>
              <w:rPr>
                <w:rFonts w:hint="eastAsia" w:ascii="宋体" w:hAnsi="宋体" w:eastAsia="宋体" w:cs="宋体"/>
                <w:i w:val="0"/>
                <w:iCs w:val="0"/>
                <w:color w:val="000000"/>
                <w:kern w:val="0"/>
                <w:sz w:val="20"/>
                <w:szCs w:val="20"/>
                <w:highlight w:val="none"/>
                <w:u w:val="none"/>
                <w:lang w:val="en-US" w:eastAsia="zh-CN" w:bidi="ar"/>
              </w:rPr>
              <w:t>参考尺寸1213*28*28mm</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A1108C">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电压≥220V</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功率:36w灯管带底座；挂式</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AE177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D6E31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台</w:t>
            </w:r>
          </w:p>
        </w:tc>
      </w:tr>
      <w:tr w14:paraId="43E844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919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61222573">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b/>
                <w:bCs/>
                <w:i w:val="0"/>
                <w:iCs w:val="0"/>
                <w:color w:val="000000"/>
                <w:kern w:val="0"/>
                <w:sz w:val="20"/>
                <w:szCs w:val="20"/>
                <w:highlight w:val="none"/>
                <w:u w:val="none"/>
                <w:lang w:val="en-US" w:eastAsia="zh-CN" w:bidi="ar"/>
              </w:rPr>
              <w:t>保洁间</w:t>
            </w:r>
          </w:p>
        </w:tc>
      </w:tr>
      <w:tr w14:paraId="2546B4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73"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AEAE5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6F90B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四层货架</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EA16F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lang w:val="en-US"/>
              </w:rPr>
            </w:pPr>
            <w:r>
              <w:rPr>
                <w:rFonts w:hint="eastAsia" w:ascii="宋体" w:hAnsi="宋体" w:eastAsia="宋体" w:cs="宋体"/>
                <w:i w:val="0"/>
                <w:iCs w:val="0"/>
                <w:color w:val="000000"/>
                <w:kern w:val="0"/>
                <w:sz w:val="20"/>
                <w:szCs w:val="20"/>
                <w:highlight w:val="none"/>
                <w:u w:val="none"/>
                <w:lang w:val="en-US" w:eastAsia="zh-CN" w:bidi="ar"/>
              </w:rPr>
              <w:t>参考尺寸1500*500*1550mm</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DF694C">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参考尺寸：1500*500*1550</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*整体采用SUS304不锈钢制作，平板厚度≥1.5mm；</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*立柱采用≥38×1.0mm厚不锈钢圆管；</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*配不锈钢可调子弹脚。</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4131B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F84A4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台</w:t>
            </w:r>
          </w:p>
        </w:tc>
      </w:tr>
      <w:tr w14:paraId="0185E4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95"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00B39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BFDCE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消毒烘干保洁柜</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04465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lang w:val="en-US"/>
              </w:rPr>
            </w:pPr>
            <w:r>
              <w:rPr>
                <w:rFonts w:hint="eastAsia" w:ascii="宋体" w:hAnsi="宋体" w:eastAsia="宋体" w:cs="宋体"/>
                <w:i w:val="0"/>
                <w:iCs w:val="0"/>
                <w:color w:val="000000"/>
                <w:kern w:val="0"/>
                <w:sz w:val="20"/>
                <w:szCs w:val="20"/>
                <w:highlight w:val="none"/>
                <w:u w:val="none"/>
                <w:lang w:val="en-US" w:eastAsia="zh-CN" w:bidi="ar"/>
              </w:rPr>
              <w:t>参考尺寸1200*600*1720mm</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89AC9B">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参考尺寸：1200*600*1720</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1.采用全不锈钢材质，加粗无磁不锈钢钢筋设计，承重力强;；</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2.紫外线+臭氧消毒，远红外线烘干，360无死角，灭菌率高达99%;；</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3.消毒时间可随意调节，操作更方便;消毒卫生对符合国家标准，适用于酒店、宾馆、部队、企事业单位等场所。                                     4，电压：220V,功率≥3KW.</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38525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F8F5C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台</w:t>
            </w:r>
          </w:p>
        </w:tc>
      </w:tr>
      <w:tr w14:paraId="1A6204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7D3EC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3</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0456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拖把池带挂架</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A8104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lang w:val="en-US"/>
              </w:rPr>
            </w:pPr>
            <w:r>
              <w:rPr>
                <w:rFonts w:hint="eastAsia" w:ascii="宋体" w:hAnsi="宋体" w:eastAsia="宋体" w:cs="宋体"/>
                <w:i w:val="0"/>
                <w:iCs w:val="0"/>
                <w:color w:val="000000"/>
                <w:kern w:val="0"/>
                <w:sz w:val="20"/>
                <w:szCs w:val="20"/>
                <w:highlight w:val="none"/>
                <w:u w:val="none"/>
                <w:lang w:val="en-US" w:eastAsia="zh-CN" w:bidi="ar"/>
              </w:rPr>
              <w:t>参考尺寸1500*500*500mm</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B43F80">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材质选用304不锈钢板材</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1.台面：采用厚≥1.5mm，星盆：采用厚≥1.2mm，星盆参考尺寸400*400*280mm，防溅板（斜口）立背（垂直度＜2mm），水槽底部能承受100kg载荷（变形量＜3mm）；</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2.工艺要求：产品焊接牢固，表面无明显划痕、锤印及烧痕，边角不允许有尖角和毛刺，焊点平滑均匀，无漏焊及沙眼，焊口处做好抛光防锈处理；</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2EDF4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28CA2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套</w:t>
            </w:r>
          </w:p>
        </w:tc>
      </w:tr>
      <w:tr w14:paraId="38BE34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2"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866D76">
            <w:pPr>
              <w:jc w:val="center"/>
              <w:rPr>
                <w:rFonts w:hint="eastAsia" w:ascii="宋体" w:hAnsi="宋体" w:eastAsia="宋体" w:cs="宋体"/>
                <w:i w:val="0"/>
                <w:iCs w:val="0"/>
                <w:color w:val="000000"/>
                <w:sz w:val="20"/>
                <w:szCs w:val="20"/>
                <w:highlight w:val="none"/>
                <w:u w:val="none"/>
              </w:rPr>
            </w:pP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A0B1A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拖把池水龙头</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F7943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一进二出套装</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7AE299">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1.万向旋转水嘴，加长拖把池喷枪；</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2.铜主体角阀+ABS喷枪+PVC弹簧管+不锈钢弯管</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1EC34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8653C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套</w:t>
            </w:r>
          </w:p>
        </w:tc>
      </w:tr>
      <w:tr w14:paraId="2A6294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13"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8AD85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4</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494E3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粘捕式灭蝇灯</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BCA6B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参考尺寸360*170*200mm</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6EBFD5">
            <w:pPr>
              <w:keepNext w:val="0"/>
              <w:keepLines w:val="0"/>
              <w:widowControl/>
              <w:numPr>
                <w:ilvl w:val="0"/>
                <w:numId w:val="0"/>
              </w:numPr>
              <w:suppressLineNumbers w:val="0"/>
              <w:jc w:val="left"/>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 xml:space="preserve">1.无声诱捕                                                      2.采用优质粘虫板，开封后能使用两周左右                                </w:t>
            </w:r>
          </w:p>
          <w:p w14:paraId="0F4C832F">
            <w:pPr>
              <w:keepNext w:val="0"/>
              <w:keepLines w:val="0"/>
              <w:widowControl/>
              <w:numPr>
                <w:ilvl w:val="0"/>
                <w:numId w:val="0"/>
              </w:numPr>
              <w:suppressLineNumbers w:val="0"/>
              <w:ind w:left="0" w:leftChars="0" w:firstLine="0" w:firstLineChars="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3.电压：220V,功率≥8W*2                     </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61EEA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AA31A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台</w:t>
            </w:r>
          </w:p>
        </w:tc>
      </w:tr>
      <w:tr w14:paraId="5013AB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2"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D0B94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5</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5FDE9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紫外线杀菌灯</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04247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lang w:val="en-US"/>
              </w:rPr>
            </w:pPr>
            <w:r>
              <w:rPr>
                <w:rFonts w:hint="eastAsia" w:ascii="宋体" w:hAnsi="宋体" w:eastAsia="宋体" w:cs="宋体"/>
                <w:i w:val="0"/>
                <w:iCs w:val="0"/>
                <w:color w:val="000000"/>
                <w:kern w:val="0"/>
                <w:sz w:val="20"/>
                <w:szCs w:val="20"/>
                <w:highlight w:val="none"/>
                <w:u w:val="none"/>
                <w:lang w:val="en-US" w:eastAsia="zh-CN" w:bidi="ar"/>
              </w:rPr>
              <w:t>参考尺寸1213*28*28mm</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D6F582">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电压:220V</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功率≥36w灯管带底座；挂式</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6D971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B1B1A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台</w:t>
            </w:r>
          </w:p>
        </w:tc>
      </w:tr>
      <w:tr w14:paraId="6DFBBB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1" w:hRule="atLeast"/>
        </w:trPr>
        <w:tc>
          <w:tcPr>
            <w:tcW w:w="919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3B86C963">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b/>
                <w:bCs/>
                <w:i w:val="0"/>
                <w:iCs w:val="0"/>
                <w:color w:val="000000"/>
                <w:kern w:val="0"/>
                <w:sz w:val="20"/>
                <w:szCs w:val="20"/>
                <w:highlight w:val="none"/>
                <w:u w:val="none"/>
                <w:lang w:val="en-US" w:eastAsia="zh-CN" w:bidi="ar"/>
              </w:rPr>
              <w:t>米面库</w:t>
            </w:r>
          </w:p>
        </w:tc>
      </w:tr>
      <w:tr w14:paraId="54AD9C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73"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24206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EFB40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四层货架</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49D3D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lang w:val="en-US"/>
              </w:rPr>
            </w:pPr>
            <w:r>
              <w:rPr>
                <w:rFonts w:hint="eastAsia" w:ascii="宋体" w:hAnsi="宋体" w:eastAsia="宋体" w:cs="宋体"/>
                <w:i w:val="0"/>
                <w:iCs w:val="0"/>
                <w:color w:val="000000"/>
                <w:kern w:val="0"/>
                <w:sz w:val="20"/>
                <w:szCs w:val="20"/>
                <w:highlight w:val="none"/>
                <w:u w:val="none"/>
                <w:lang w:val="en-US" w:eastAsia="zh-CN" w:bidi="ar"/>
              </w:rPr>
              <w:t>参考尺寸1500*500*1550mm</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195314">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参考尺寸为：1500*500*1550</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*整体采用SUS304不锈钢制作，平板厚度≥1.5mm；</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*立柱采用≥38×1.0mm厚不锈钢圆管；</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*配不锈钢可调子弹脚。</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6F325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506D9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台</w:t>
            </w:r>
          </w:p>
        </w:tc>
      </w:tr>
      <w:tr w14:paraId="369C18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73"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8C8E9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CB2CD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主食底架</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9735A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lang w:val="en-US"/>
              </w:rPr>
            </w:pPr>
            <w:r>
              <w:rPr>
                <w:rFonts w:hint="eastAsia" w:ascii="宋体" w:hAnsi="宋体" w:eastAsia="宋体" w:cs="宋体"/>
                <w:i w:val="0"/>
                <w:iCs w:val="0"/>
                <w:color w:val="000000"/>
                <w:kern w:val="0"/>
                <w:sz w:val="20"/>
                <w:szCs w:val="20"/>
                <w:highlight w:val="none"/>
                <w:u w:val="none"/>
                <w:lang w:val="en-US" w:eastAsia="zh-CN" w:bidi="ar"/>
              </w:rPr>
              <w:t>参考尺寸1500*700*300mm</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69EE90">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*整体采用SUS304不锈钢制作，厚度≥1.5mm；</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*横柱用≥38×25×0.8mm厚不锈钢；</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*立柱采用≥38×38×1.0mm厚不锈钢；</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*配置塑胶脚垫</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99C54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4</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98517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台</w:t>
            </w:r>
          </w:p>
        </w:tc>
      </w:tr>
      <w:tr w14:paraId="3BF580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32"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C8795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3</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4392E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平板车</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9BE06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lang w:val="en-US"/>
              </w:rPr>
            </w:pPr>
            <w:r>
              <w:rPr>
                <w:rFonts w:hint="eastAsia" w:ascii="宋体" w:hAnsi="宋体" w:eastAsia="宋体" w:cs="宋体"/>
                <w:i w:val="0"/>
                <w:iCs w:val="0"/>
                <w:color w:val="000000"/>
                <w:kern w:val="0"/>
                <w:sz w:val="20"/>
                <w:szCs w:val="20"/>
                <w:highlight w:val="none"/>
                <w:u w:val="none"/>
                <w:lang w:val="en-US" w:eastAsia="zh-CN" w:bidi="ar"/>
              </w:rPr>
              <w:t>参考尺寸900*500*900mm</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673973">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*整体采用SUS304不锈钢制作；</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*台面厚度≥1.5mm，下层板厚度≥1.5mm；</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*配静音万向轮，带刹车</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EB0AA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0D19D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台</w:t>
            </w:r>
          </w:p>
        </w:tc>
      </w:tr>
      <w:tr w14:paraId="7434C4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4"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DA19D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4</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8F0F7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除湿机</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B094F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lang w:val="en-US"/>
              </w:rPr>
            </w:pPr>
            <w:r>
              <w:rPr>
                <w:rFonts w:hint="eastAsia" w:ascii="宋体" w:hAnsi="宋体" w:eastAsia="宋体" w:cs="宋体"/>
                <w:i w:val="0"/>
                <w:iCs w:val="0"/>
                <w:color w:val="000000"/>
                <w:kern w:val="0"/>
                <w:sz w:val="20"/>
                <w:szCs w:val="20"/>
                <w:highlight w:val="none"/>
                <w:u w:val="none"/>
                <w:lang w:val="en-US" w:eastAsia="zh-CN" w:bidi="ar"/>
              </w:rPr>
              <w:t>参考尺寸290*210*512mm</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0CCF41">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1.倾斜停机 水满停机 自动除霜</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2.机械式操控，下排水，支持定时功能；</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3.日除湿量≥8L,水箱容量≥2L。                                                4.电压：220V，功率≥220W。</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F7416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1C035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台</w:t>
            </w:r>
          </w:p>
        </w:tc>
      </w:tr>
      <w:tr w14:paraId="258328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32"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C7007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5</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9F0A6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挡鼠板</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A2AFA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参考尺寸L=0.8m</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0A5863">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1.板材均选用304磨纱贴塑不锈钢板；</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2.厚度≥1.5mm；</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3.h=0.6m（±1mm）</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E78F8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76D8C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套</w:t>
            </w:r>
          </w:p>
        </w:tc>
      </w:tr>
      <w:tr w14:paraId="47061B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46"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26805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6</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D49B4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粘捕式灭蝇灯</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EB5BC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参考尺寸360*170*200mm</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C839A5">
            <w:pPr>
              <w:keepNext w:val="0"/>
              <w:keepLines w:val="0"/>
              <w:widowControl/>
              <w:numPr>
                <w:ilvl w:val="0"/>
                <w:numId w:val="0"/>
              </w:numPr>
              <w:suppressLineNumbers w:val="0"/>
              <w:jc w:val="left"/>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 xml:space="preserve">1.无声诱捕                                                      2.采用优质粘虫板，开封后能使用两周左右                                </w:t>
            </w:r>
          </w:p>
          <w:p w14:paraId="690D00A5">
            <w:pPr>
              <w:keepNext w:val="0"/>
              <w:keepLines w:val="0"/>
              <w:widowControl/>
              <w:numPr>
                <w:ilvl w:val="0"/>
                <w:numId w:val="0"/>
              </w:numPr>
              <w:suppressLineNumbers w:val="0"/>
              <w:ind w:left="0" w:leftChars="0" w:firstLine="0" w:firstLineChars="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3.电压：220V,功率≥8W*2                     </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8AF80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30F38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台</w:t>
            </w:r>
          </w:p>
        </w:tc>
      </w:tr>
      <w:tr w14:paraId="119945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2"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45FB5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7</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DD19D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紫外线杀菌灯</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9946F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lang w:val="en-US"/>
              </w:rPr>
            </w:pPr>
            <w:r>
              <w:rPr>
                <w:rFonts w:hint="eastAsia" w:ascii="宋体" w:hAnsi="宋体" w:eastAsia="宋体" w:cs="宋体"/>
                <w:i w:val="0"/>
                <w:iCs w:val="0"/>
                <w:color w:val="000000"/>
                <w:kern w:val="0"/>
                <w:sz w:val="20"/>
                <w:szCs w:val="20"/>
                <w:highlight w:val="none"/>
                <w:u w:val="none"/>
                <w:lang w:val="en-US" w:eastAsia="zh-CN" w:bidi="ar"/>
              </w:rPr>
              <w:t>参考尺寸1213*28*28mm</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34F54B">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电压:220V</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功率≥36w灯管带底座；挂式</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86C67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3DA25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台</w:t>
            </w:r>
          </w:p>
        </w:tc>
      </w:tr>
      <w:tr w14:paraId="7027B5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919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043D0AE7">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b/>
                <w:bCs/>
                <w:i w:val="0"/>
                <w:iCs w:val="0"/>
                <w:color w:val="000000"/>
                <w:kern w:val="0"/>
                <w:sz w:val="20"/>
                <w:szCs w:val="20"/>
                <w:highlight w:val="none"/>
                <w:u w:val="none"/>
                <w:lang w:val="en-US" w:eastAsia="zh-CN" w:bidi="ar"/>
              </w:rPr>
              <w:t>干调库</w:t>
            </w:r>
          </w:p>
        </w:tc>
      </w:tr>
      <w:tr w14:paraId="0A3CD0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73"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38D73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E2F4F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四层货架</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D3CA3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lang w:val="en-US"/>
              </w:rPr>
            </w:pPr>
            <w:r>
              <w:rPr>
                <w:rFonts w:hint="eastAsia" w:ascii="宋体" w:hAnsi="宋体" w:eastAsia="宋体" w:cs="宋体"/>
                <w:i w:val="0"/>
                <w:iCs w:val="0"/>
                <w:color w:val="auto"/>
                <w:kern w:val="0"/>
                <w:sz w:val="20"/>
                <w:szCs w:val="20"/>
                <w:highlight w:val="none"/>
                <w:u w:val="none"/>
                <w:lang w:val="en-US" w:eastAsia="zh-CN" w:bidi="ar"/>
              </w:rPr>
              <w:t>参考尺寸1200*500*1550mm</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BB7B93">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*整体采用SUS304不锈钢制作，平板厚度≥1.5mm；</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*立柱采用≥38×1.0mm厚不锈钢圆管；</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*配不锈钢可调子弹脚。</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3C88D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4</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B5A34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台</w:t>
            </w:r>
          </w:p>
        </w:tc>
      </w:tr>
      <w:tr w14:paraId="65779C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32"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FA061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E751F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平板车</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408C6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lang w:val="en-US"/>
              </w:rPr>
            </w:pPr>
            <w:r>
              <w:rPr>
                <w:rFonts w:hint="eastAsia" w:ascii="宋体" w:hAnsi="宋体" w:eastAsia="宋体" w:cs="宋体"/>
                <w:i w:val="0"/>
                <w:iCs w:val="0"/>
                <w:color w:val="000000"/>
                <w:kern w:val="0"/>
                <w:sz w:val="20"/>
                <w:szCs w:val="20"/>
                <w:highlight w:val="none"/>
                <w:u w:val="none"/>
                <w:lang w:val="en-US" w:eastAsia="zh-CN" w:bidi="ar"/>
              </w:rPr>
              <w:t>参考尺寸900*500*900mm</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EE5945">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*整体采用SUS304不锈钢制作；</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*台面厚度≥1.5mm，下层板厚度≥1.5mm；</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*配静音万向轮，带刹车</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6482D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DAE67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台</w:t>
            </w:r>
          </w:p>
        </w:tc>
      </w:tr>
      <w:tr w14:paraId="5EC158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52"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6DDEF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3</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4A674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除湿机</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D2163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lang w:val="en-US"/>
              </w:rPr>
            </w:pPr>
            <w:r>
              <w:rPr>
                <w:rFonts w:hint="eastAsia" w:ascii="宋体" w:hAnsi="宋体" w:eastAsia="宋体" w:cs="宋体"/>
                <w:i w:val="0"/>
                <w:iCs w:val="0"/>
                <w:color w:val="000000"/>
                <w:kern w:val="0"/>
                <w:sz w:val="20"/>
                <w:szCs w:val="20"/>
                <w:highlight w:val="none"/>
                <w:u w:val="none"/>
                <w:lang w:val="en-US" w:eastAsia="zh-CN" w:bidi="ar"/>
              </w:rPr>
              <w:t>参考尺寸290*210*512mm</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92C81B">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1.倾斜停机 水满停机 自动除霜</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2.机械式操控，下排水，支持定时功能；</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3.日除湿量≥8L,水箱容量≥2L。                                                4.电压：220V，功率≥220W。</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82542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41FA7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台</w:t>
            </w:r>
          </w:p>
        </w:tc>
      </w:tr>
      <w:tr w14:paraId="0F2E80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32"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BCFD4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4</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A4CC1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挡鼠板</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A2FC1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参考尺寸L=0.8m</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39BE5C">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1.板材均选用304磨纱贴塑不锈钢板；</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2.厚度≥1.5mm；</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3.h=0.6m（±1mm）</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D2BCF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9031A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套</w:t>
            </w:r>
          </w:p>
        </w:tc>
      </w:tr>
      <w:tr w14:paraId="361F02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79"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C0619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5</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C980F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粘捕式灭蝇灯</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8A8EF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参考尺寸360*170*200mm</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9D381C">
            <w:pPr>
              <w:keepNext w:val="0"/>
              <w:keepLines w:val="0"/>
              <w:widowControl/>
              <w:numPr>
                <w:ilvl w:val="0"/>
                <w:numId w:val="0"/>
              </w:numPr>
              <w:suppressLineNumbers w:val="0"/>
              <w:jc w:val="left"/>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 xml:space="preserve">1.无声诱捕                                                      2.采用优质粘虫板，开封后能使用两周左右                                </w:t>
            </w:r>
          </w:p>
          <w:p w14:paraId="3C5EC1F0">
            <w:pPr>
              <w:keepNext w:val="0"/>
              <w:keepLines w:val="0"/>
              <w:widowControl/>
              <w:numPr>
                <w:ilvl w:val="0"/>
                <w:numId w:val="0"/>
              </w:numPr>
              <w:suppressLineNumbers w:val="0"/>
              <w:ind w:left="0" w:leftChars="0" w:firstLine="0" w:firstLineChars="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3.电压：220V,功率≥8W*2                     </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6FD63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440BE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台</w:t>
            </w:r>
          </w:p>
        </w:tc>
      </w:tr>
      <w:tr w14:paraId="5D8E67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2"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BD888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6</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E346A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紫外线杀菌灯</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8DEEC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lang w:val="en-US"/>
              </w:rPr>
            </w:pPr>
            <w:r>
              <w:rPr>
                <w:rFonts w:hint="eastAsia" w:ascii="宋体" w:hAnsi="宋体" w:eastAsia="宋体" w:cs="宋体"/>
                <w:i w:val="0"/>
                <w:iCs w:val="0"/>
                <w:color w:val="000000"/>
                <w:kern w:val="0"/>
                <w:sz w:val="20"/>
                <w:szCs w:val="20"/>
                <w:highlight w:val="none"/>
                <w:u w:val="none"/>
                <w:lang w:val="en-US" w:eastAsia="zh-CN" w:bidi="ar"/>
              </w:rPr>
              <w:t>参考尺寸1213*28*28mm</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A89F2A">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电压:220V</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功率≥36w灯管带底座；挂式</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BA849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D3BBF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台</w:t>
            </w:r>
          </w:p>
        </w:tc>
      </w:tr>
      <w:tr w14:paraId="37DF45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919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31E15A98">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b/>
                <w:bCs/>
                <w:i w:val="0"/>
                <w:iCs w:val="0"/>
                <w:color w:val="000000"/>
                <w:kern w:val="0"/>
                <w:sz w:val="20"/>
                <w:szCs w:val="20"/>
                <w:highlight w:val="none"/>
                <w:u w:val="none"/>
                <w:lang w:val="en-US" w:eastAsia="zh-CN" w:bidi="ar"/>
              </w:rPr>
              <w:t>冷冻保鲜库</w:t>
            </w:r>
          </w:p>
        </w:tc>
      </w:tr>
      <w:tr w14:paraId="752C0A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73"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50A9B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CCC28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四层货架</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5E636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lang w:val="en-US"/>
              </w:rPr>
            </w:pPr>
            <w:r>
              <w:rPr>
                <w:rFonts w:hint="eastAsia" w:ascii="宋体" w:hAnsi="宋体" w:eastAsia="宋体" w:cs="宋体"/>
                <w:i w:val="0"/>
                <w:iCs w:val="0"/>
                <w:color w:val="000000"/>
                <w:kern w:val="0"/>
                <w:sz w:val="20"/>
                <w:szCs w:val="20"/>
                <w:highlight w:val="none"/>
                <w:u w:val="none"/>
                <w:lang w:val="en-US" w:eastAsia="zh-CN" w:bidi="ar"/>
              </w:rPr>
              <w:t>参考尺寸1500*500*1550mm</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62527A">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参考尺寸为：1500*500*1550</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*整体采用SUS304不锈钢制作，平板厚度≥1.5mm；</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*立柱采用≥38×1.0mm厚不锈钢圆管；</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*配不锈钢可调子弹脚。</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B300E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6</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7A32A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台</w:t>
            </w:r>
          </w:p>
        </w:tc>
      </w:tr>
      <w:tr w14:paraId="0EDA79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73"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95C4C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A7C2B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四层货架</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13363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lang w:val="en-US"/>
              </w:rPr>
            </w:pPr>
            <w:r>
              <w:rPr>
                <w:rFonts w:hint="eastAsia" w:ascii="宋体" w:hAnsi="宋体" w:eastAsia="宋体" w:cs="宋体"/>
                <w:i w:val="0"/>
                <w:iCs w:val="0"/>
                <w:color w:val="auto"/>
                <w:kern w:val="0"/>
                <w:sz w:val="20"/>
                <w:szCs w:val="20"/>
                <w:highlight w:val="none"/>
                <w:u w:val="none"/>
                <w:lang w:val="en-US" w:eastAsia="zh-CN" w:bidi="ar"/>
              </w:rPr>
              <w:t>参考尺寸2000*500*1550mm</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044AF8">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*整体采用SUS304不锈钢制作，平板厚度≥1.5mm；</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*立柱采用≥38×1.0mm厚不锈钢圆管；</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*配不锈钢可调子弹脚。</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474B2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D531A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台</w:t>
            </w:r>
          </w:p>
        </w:tc>
      </w:tr>
      <w:tr w14:paraId="5EED17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919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7D7FE757">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b/>
                <w:bCs/>
                <w:i w:val="0"/>
                <w:iCs w:val="0"/>
                <w:color w:val="000000"/>
                <w:kern w:val="0"/>
                <w:sz w:val="20"/>
                <w:szCs w:val="20"/>
                <w:highlight w:val="none"/>
                <w:u w:val="none"/>
                <w:lang w:val="en-US" w:eastAsia="zh-CN" w:bidi="ar"/>
              </w:rPr>
              <w:t>毛菜间</w:t>
            </w:r>
          </w:p>
        </w:tc>
      </w:tr>
      <w:tr w14:paraId="66D08E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73"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5001F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272C7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四层货架</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E2F13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lang w:val="en-US"/>
              </w:rPr>
            </w:pPr>
            <w:r>
              <w:rPr>
                <w:rFonts w:hint="eastAsia" w:ascii="宋体" w:hAnsi="宋体" w:eastAsia="宋体" w:cs="宋体"/>
                <w:i w:val="0"/>
                <w:iCs w:val="0"/>
                <w:color w:val="auto"/>
                <w:kern w:val="0"/>
                <w:sz w:val="20"/>
                <w:szCs w:val="20"/>
                <w:highlight w:val="none"/>
                <w:u w:val="none"/>
                <w:lang w:val="en-US" w:eastAsia="zh-CN" w:bidi="ar"/>
              </w:rPr>
              <w:t>参考尺寸1200*500*1550mm</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08BAC9">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*整体采用SUS304不锈钢制作，平板厚度≥1.5mm；</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*立柱采用≥38×1.0mm厚不锈钢圆管；</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*配不锈钢可调子弹脚。</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CD948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F8FDC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台</w:t>
            </w:r>
          </w:p>
        </w:tc>
      </w:tr>
      <w:tr w14:paraId="378126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73"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A5A1F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BFF90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四层货架</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989CB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lang w:val="en-US"/>
              </w:rPr>
            </w:pPr>
            <w:r>
              <w:rPr>
                <w:rFonts w:hint="eastAsia" w:ascii="宋体" w:hAnsi="宋体" w:eastAsia="宋体" w:cs="宋体"/>
                <w:i w:val="0"/>
                <w:iCs w:val="0"/>
                <w:color w:val="000000"/>
                <w:kern w:val="0"/>
                <w:sz w:val="20"/>
                <w:szCs w:val="20"/>
                <w:highlight w:val="none"/>
                <w:u w:val="none"/>
                <w:lang w:val="en-US" w:eastAsia="zh-CN" w:bidi="ar"/>
              </w:rPr>
              <w:t>参考尺寸1500*500*1550mm</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3D1670">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参考尺寸为：1500*500*1550</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*整体采用SUS304不锈钢制作，平板厚度≥1.5mm；</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*立柱采用≥38×1.0mm厚不锈钢圆管；</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*配不锈钢可调子弹脚。</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5A383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C1333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台</w:t>
            </w:r>
          </w:p>
        </w:tc>
      </w:tr>
      <w:tr w14:paraId="661293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BFE7D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3</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5C24B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单星水池</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91C29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lang w:val="en-US"/>
              </w:rPr>
            </w:pPr>
            <w:r>
              <w:rPr>
                <w:rFonts w:hint="eastAsia" w:ascii="宋体" w:hAnsi="宋体" w:eastAsia="宋体" w:cs="宋体"/>
                <w:i w:val="0"/>
                <w:iCs w:val="0"/>
                <w:color w:val="000000"/>
                <w:kern w:val="0"/>
                <w:sz w:val="20"/>
                <w:szCs w:val="20"/>
                <w:highlight w:val="none"/>
                <w:u w:val="none"/>
                <w:lang w:val="en-US" w:eastAsia="zh-CN" w:bidi="ar"/>
              </w:rPr>
              <w:t>参考尺寸1000*760*800mm</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C59AC6">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材质选用304不锈钢板材</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1.台面：采用厚≥1.5mm，星盆：采用厚≥1.2mm，星盆参考尺寸400*400*280mm，防溅板（斜口）立背（垂直度＜2mm），水槽底部能承受100kg载荷（变形量＜3mm）；</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2.水池深≥500mm</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3.工艺要求：产品焊接牢固，表面无明显划痕、锤印及烧痕，边角不允许有尖角和毛刺，焊点平滑均匀，无漏焊及沙眼，焊口处做好抛光防锈处理；</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465FE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3B97E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台</w:t>
            </w:r>
          </w:p>
        </w:tc>
      </w:tr>
      <w:tr w14:paraId="63C958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32"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B7CA8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4</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928D4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冷热水龙头</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B151A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铜芯</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2C75DB">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1.座台式双孔双温、主体黄铜铸造表面抛光镀铬处理。</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2.配1/4转优质陶瓷阀芯一字型手柄。</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3.八寸（203mm）水嘴，铜管厚度≥1.1mm, 360度可旋转。</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★4.提供节水认证</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40142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BF89A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套</w:t>
            </w:r>
          </w:p>
        </w:tc>
      </w:tr>
      <w:tr w14:paraId="678AD7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17"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BE24B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5</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762B1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不锈钢低架</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CF17E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lang w:val="en-US"/>
              </w:rPr>
            </w:pPr>
            <w:r>
              <w:rPr>
                <w:rFonts w:hint="eastAsia" w:ascii="宋体" w:hAnsi="宋体" w:eastAsia="宋体" w:cs="宋体"/>
                <w:i w:val="0"/>
                <w:iCs w:val="0"/>
                <w:color w:val="000000"/>
                <w:kern w:val="0"/>
                <w:sz w:val="20"/>
                <w:szCs w:val="20"/>
                <w:highlight w:val="none"/>
                <w:u w:val="none"/>
                <w:lang w:val="en-US" w:eastAsia="zh-CN" w:bidi="ar"/>
              </w:rPr>
              <w:t>参考尺寸600*600*150mm</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4ED588">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*整体采用SUS304不锈钢制作，厚度≥1.5mm；</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*横柱用≥38×25×0.8mm厚不锈钢；</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*立柱采用≥38×38×1.0mm厚不锈钢；</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*配置塑胶脚垫</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91F0F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AC240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台</w:t>
            </w:r>
          </w:p>
        </w:tc>
      </w:tr>
      <w:tr w14:paraId="51D5AA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34"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79AAB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6</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273F1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毛刷清洗去皮机</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77657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参考尺寸1270*740*1150mm</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C16236">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1.技术参数：产量≥500kg/h</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2.功率：1.1kw电压：380V 50Hz</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3.毛辊规格：毛辊长1000mm 7根</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4.功能概述：功能概述：将土豆、胡萝卜、生姜等大多数根茎状蔬菜清洗去皮处理。</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5.采用优质毛刷材料，轴承选择UCF204系列三重密封轴承。</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2A3FE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58F0C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台</w:t>
            </w:r>
          </w:p>
        </w:tc>
      </w:tr>
      <w:tr w14:paraId="6A96DF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22"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44765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7</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721B6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挡鼠板</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8A05F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参考尺寸L=0.8m</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01119B">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1.板材均选用304磨纱贴塑不锈钢板；</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2.厚度≥1.5mm；</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3.h=0.6m（±1mm）</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25CD0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0330E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套</w:t>
            </w:r>
          </w:p>
        </w:tc>
      </w:tr>
      <w:tr w14:paraId="435F83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93"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0D329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8</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B34CE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粘捕式灭蝇灯</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E6D7A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参考尺寸360*170*200mm</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011C31">
            <w:pPr>
              <w:keepNext w:val="0"/>
              <w:keepLines w:val="0"/>
              <w:widowControl/>
              <w:numPr>
                <w:ilvl w:val="0"/>
                <w:numId w:val="0"/>
              </w:numPr>
              <w:suppressLineNumbers w:val="0"/>
              <w:jc w:val="left"/>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 xml:space="preserve">1.无声诱捕                                                      2.采用优质粘虫板，开封后能使用两周左右                                </w:t>
            </w:r>
          </w:p>
          <w:p w14:paraId="286BB24C">
            <w:pPr>
              <w:keepNext w:val="0"/>
              <w:keepLines w:val="0"/>
              <w:widowControl/>
              <w:numPr>
                <w:ilvl w:val="0"/>
                <w:numId w:val="0"/>
              </w:numPr>
              <w:suppressLineNumbers w:val="0"/>
              <w:ind w:left="0" w:leftChars="0" w:firstLine="0" w:firstLineChars="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3.电压：220V,功率≥8W*2                     </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529D3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DF404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台</w:t>
            </w:r>
          </w:p>
        </w:tc>
      </w:tr>
      <w:tr w14:paraId="03C6F0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97"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ED3B3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9</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C877F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紫外线杀菌灯</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66F0D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lang w:val="en-US"/>
              </w:rPr>
            </w:pPr>
            <w:r>
              <w:rPr>
                <w:rFonts w:hint="eastAsia" w:ascii="宋体" w:hAnsi="宋体" w:eastAsia="宋体" w:cs="宋体"/>
                <w:i w:val="0"/>
                <w:iCs w:val="0"/>
                <w:color w:val="000000"/>
                <w:kern w:val="0"/>
                <w:sz w:val="20"/>
                <w:szCs w:val="20"/>
                <w:highlight w:val="none"/>
                <w:u w:val="none"/>
                <w:lang w:val="en-US" w:eastAsia="zh-CN" w:bidi="ar"/>
              </w:rPr>
              <w:t>参考尺寸1213*28*28mm</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80D5FA">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电压:220V</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功率≥36w灯管带底座；挂式</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E40FF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DFC97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台</w:t>
            </w:r>
          </w:p>
        </w:tc>
      </w:tr>
      <w:tr w14:paraId="457250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6" w:hRule="atLeast"/>
        </w:trPr>
        <w:tc>
          <w:tcPr>
            <w:tcW w:w="919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4B3B5217">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b/>
                <w:bCs/>
                <w:i w:val="0"/>
                <w:iCs w:val="0"/>
                <w:color w:val="000000"/>
                <w:kern w:val="0"/>
                <w:sz w:val="20"/>
                <w:szCs w:val="20"/>
                <w:highlight w:val="none"/>
                <w:u w:val="none"/>
                <w:lang w:val="en-US" w:eastAsia="zh-CN" w:bidi="ar"/>
              </w:rPr>
              <w:t>蔬菜粗加工间</w:t>
            </w:r>
          </w:p>
        </w:tc>
      </w:tr>
      <w:tr w14:paraId="2CE75A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95"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94894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AC508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单星水池</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C7308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lang w:val="en-US"/>
              </w:rPr>
            </w:pPr>
            <w:r>
              <w:rPr>
                <w:rFonts w:hint="eastAsia" w:ascii="宋体" w:hAnsi="宋体" w:eastAsia="宋体" w:cs="宋体"/>
                <w:i w:val="0"/>
                <w:iCs w:val="0"/>
                <w:color w:val="000000"/>
                <w:kern w:val="0"/>
                <w:sz w:val="20"/>
                <w:szCs w:val="20"/>
                <w:highlight w:val="none"/>
                <w:u w:val="none"/>
                <w:lang w:val="en-US" w:eastAsia="zh-CN" w:bidi="ar"/>
              </w:rPr>
              <w:t>参考尺寸1000*760*800mm</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F467C">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材质选用304不锈钢板材</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1.台面：采用厚≥1.5mm，星盆：采用厚≥1.2mm，星盆参考尺寸400*400*280mm，防溅板（斜口）立背（垂直度＜2mm），水槽底部能承受100kg载荷（变形量＜3mm）；</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2.水池深≥500mm</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3.工艺要求：产品焊接牢固，表面无明显划痕、锤印及烧痕，边角不允许有尖角和毛刺，焊点平滑均匀，无漏焊及沙眼，焊口处做好抛光防锈处理；</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F46F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3</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3AB3A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台</w:t>
            </w:r>
          </w:p>
        </w:tc>
      </w:tr>
      <w:tr w14:paraId="515E1B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36"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5B9E0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67319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单星水池</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A0EAE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lang w:val="en-US"/>
              </w:rPr>
            </w:pPr>
            <w:r>
              <w:rPr>
                <w:rFonts w:hint="eastAsia" w:ascii="宋体" w:hAnsi="宋体" w:eastAsia="宋体" w:cs="宋体"/>
                <w:i w:val="0"/>
                <w:iCs w:val="0"/>
                <w:color w:val="000000"/>
                <w:kern w:val="0"/>
                <w:sz w:val="20"/>
                <w:szCs w:val="20"/>
                <w:highlight w:val="none"/>
                <w:u w:val="none"/>
                <w:lang w:val="en-US" w:eastAsia="zh-CN" w:bidi="ar"/>
              </w:rPr>
              <w:t>参考尺寸1000*760*800mm</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C4A59E">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材质选用304不锈钢板材</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1.台面：采用厚≥1.5mm，星盆：采用厚≥1.2mm，星盆参考尺寸400*400*280mm，防溅板（斜口）立背（垂直度＜2mm），水槽底部能承受100kg载荷（变形量＜3mm）；</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2.水池深≥500mm</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3.工艺要求：产品焊接牢固，表面无明显划痕、锤印及烧痕，边角不允许有尖角和毛刺，焊点平滑均匀，无漏焊及沙眼，焊口处做好抛光防锈处理；</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81973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547F7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台</w:t>
            </w:r>
          </w:p>
        </w:tc>
      </w:tr>
      <w:tr w14:paraId="7F9E2E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73"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E304E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EA440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冷热水龙头</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2DED8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铜芯</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5CEAC8">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1.座台式双孔双温、主体黄铜铸造表面抛光镀铬处理。</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2.配1/4转优质陶瓷阀芯一字型手柄。</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3.八寸（203mm）水嘴，铜管厚度≥1.1mm, 360度可旋转。</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★4.提供节水认证</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44E8F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5</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31CF8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套</w:t>
            </w:r>
          </w:p>
        </w:tc>
      </w:tr>
      <w:tr w14:paraId="7FD7F0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3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725D2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3</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E4D7E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电热水器</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60170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容量≥80L</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9F3441">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1.电压：220V，功率≥3KW；</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2.一级能效；</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3.微电脑显示面板，防电墙。</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3FF5B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0BB8D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台</w:t>
            </w:r>
          </w:p>
        </w:tc>
      </w:tr>
      <w:tr w14:paraId="016E48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73"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BE8C9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4</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F0893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洗地龙头</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C1740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长度≥15米</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5A297F">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1.加厚不锈钢卷盘和基座，容易调整，挂墙式独立安装；</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2.弹簧合金，超过25kg拉力测试，铜制旋转接头，单手扳机，橡胶限位器，EPDM软管，长度≥15m。</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9EC00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0DBF3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台</w:t>
            </w:r>
          </w:p>
        </w:tc>
      </w:tr>
      <w:tr w14:paraId="017AC6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98"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546F9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5</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60236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双层工作台</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549B2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lang w:val="en-US"/>
              </w:rPr>
            </w:pPr>
            <w:r>
              <w:rPr>
                <w:rFonts w:hint="eastAsia" w:ascii="宋体" w:hAnsi="宋体" w:eastAsia="宋体" w:cs="宋体"/>
                <w:i w:val="0"/>
                <w:iCs w:val="0"/>
                <w:color w:val="000000"/>
                <w:kern w:val="0"/>
                <w:sz w:val="20"/>
                <w:szCs w:val="20"/>
                <w:highlight w:val="none"/>
                <w:u w:val="none"/>
                <w:lang w:val="en-US" w:eastAsia="zh-CN" w:bidi="ar"/>
              </w:rPr>
              <w:t>参考尺寸1100*760*800+150*40mm</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43A26B">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材质选用304不锈钢板材</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1.台面：厚≥1.5mm，下配加强筋，侧板对台面垂直度（＜5mm），台面能应能承受100kg载荷，变形量（＜3mm）；</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2.层板：厚≥1.2mm，下配加强筋，层板能应能承受100kg载荷，变形量（＜3mm）；</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3.侧板：厚≥1.0mm不锈钢板；配掩门，门的材质厚≥0.8mm不锈钢板（门内夹层填充聚氨酯发泡材料）；</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4.支撑：配装4个不锈钢可调重力称重脚；</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5.工艺要求：产品焊接牢固，表面无明显划痕、锤印及烧痕，边角不允许有尖角和毛刺，焊点平滑均匀，无漏焊及沙眼，焊口处做好抛光防锈处理,产品在490N水平集中力的作用下，变形量（＜15mm），去除作用力后，其变形量（＜3mm）</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D8DB4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5A7FF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台</w:t>
            </w:r>
          </w:p>
        </w:tc>
      </w:tr>
      <w:tr w14:paraId="5759B8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45"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49DDE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6</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EB85B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双层工作台</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961A1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lang w:val="en-US"/>
              </w:rPr>
            </w:pPr>
            <w:r>
              <w:rPr>
                <w:rFonts w:hint="eastAsia" w:ascii="宋体" w:hAnsi="宋体" w:eastAsia="宋体" w:cs="宋体"/>
                <w:i w:val="0"/>
                <w:iCs w:val="0"/>
                <w:color w:val="000000"/>
                <w:kern w:val="0"/>
                <w:sz w:val="20"/>
                <w:szCs w:val="20"/>
                <w:highlight w:val="none"/>
                <w:u w:val="none"/>
                <w:lang w:val="en-US" w:eastAsia="zh-CN" w:bidi="ar"/>
              </w:rPr>
              <w:t>参考尺寸1800*800*800+150*40mm</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73F0B1">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材质选用304不锈钢板材</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1.台面：厚≥1.5mm，下配加强筋，侧板对台面垂直度（＜5mm），台面能应能承受100kg载荷，变形量（＜3mm）；</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2.层板：厚≥1.2mm，下配加强筋，层板能应能承受100kg载荷，变形量（＜3mm）；</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3.侧板：厚≥1.0mm不锈钢板；配掩门，门的材质厚≥0.8mm不锈钢板（门内夹层填充聚氨酯发泡材料）；</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4.支撑：配装4个不锈钢可调重力称重脚；</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5.工艺要求：产品焊接牢固，表面无明显划痕、锤印及烧痕，边角不允许有尖角和毛刺，焊点平滑均匀，无漏焊及沙眼，焊口处做好抛光防锈处理,产品在490N水平集中力的作用下，变形量（＜15mm），去除作用力后，其变形量（＜3mm）</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1EEF1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A381A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台</w:t>
            </w:r>
          </w:p>
        </w:tc>
      </w:tr>
      <w:tr w14:paraId="3F45B7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42"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BC742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7</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DCE60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四层货架</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2CDD6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lang w:val="en-US"/>
              </w:rPr>
            </w:pPr>
            <w:r>
              <w:rPr>
                <w:rFonts w:hint="eastAsia" w:ascii="宋体" w:hAnsi="宋体" w:eastAsia="宋体" w:cs="宋体"/>
                <w:i w:val="0"/>
                <w:iCs w:val="0"/>
                <w:color w:val="auto"/>
                <w:kern w:val="0"/>
                <w:sz w:val="20"/>
                <w:szCs w:val="20"/>
                <w:highlight w:val="none"/>
                <w:u w:val="none"/>
                <w:lang w:val="en-US" w:eastAsia="zh-CN" w:bidi="ar"/>
              </w:rPr>
              <w:t>参考尺寸1200*500*1550mm</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024C6B">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*整体采用SUS304不锈钢制作，平板厚度≥1.5mm；</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*立柱采用≥38×1.0mm厚不锈钢圆管；</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*配不锈钢可调子弹脚。</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374C4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63823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台</w:t>
            </w:r>
          </w:p>
        </w:tc>
      </w:tr>
      <w:tr w14:paraId="3906F3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9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DA3D3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8</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7D874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粘捕式灭蝇灯</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8BFA8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参考尺寸360*170*200mm</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8EF08B">
            <w:pPr>
              <w:keepNext w:val="0"/>
              <w:keepLines w:val="0"/>
              <w:widowControl/>
              <w:numPr>
                <w:ilvl w:val="0"/>
                <w:numId w:val="0"/>
              </w:numPr>
              <w:suppressLineNumbers w:val="0"/>
              <w:jc w:val="left"/>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 xml:space="preserve">1.无声诱捕                                                      2.采用优质粘虫板，开封后能使用两周左右                                </w:t>
            </w:r>
          </w:p>
          <w:p w14:paraId="425849A6">
            <w:pPr>
              <w:keepNext w:val="0"/>
              <w:keepLines w:val="0"/>
              <w:widowControl/>
              <w:numPr>
                <w:ilvl w:val="0"/>
                <w:numId w:val="0"/>
              </w:numPr>
              <w:suppressLineNumbers w:val="0"/>
              <w:ind w:left="0" w:leftChars="0" w:firstLine="0" w:firstLineChars="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3.电压：220V,功率≥8W*2                     </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EB979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A9DCA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台</w:t>
            </w:r>
          </w:p>
        </w:tc>
      </w:tr>
      <w:tr w14:paraId="1E4339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2"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3EE37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9</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BD75D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紫外线杀菌灯</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5F9E6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lang w:val="en-US"/>
              </w:rPr>
            </w:pPr>
            <w:r>
              <w:rPr>
                <w:rFonts w:hint="eastAsia" w:ascii="宋体" w:hAnsi="宋体" w:eastAsia="宋体" w:cs="宋体"/>
                <w:i w:val="0"/>
                <w:iCs w:val="0"/>
                <w:color w:val="000000"/>
                <w:kern w:val="0"/>
                <w:sz w:val="20"/>
                <w:szCs w:val="20"/>
                <w:highlight w:val="none"/>
                <w:u w:val="none"/>
                <w:lang w:val="en-US" w:eastAsia="zh-CN" w:bidi="ar"/>
              </w:rPr>
              <w:t>参考尺寸1213*28*28mm</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A39330">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电压:220V</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功率≥36w灯管带底座；挂式</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8FD26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6A852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台</w:t>
            </w:r>
          </w:p>
        </w:tc>
      </w:tr>
      <w:tr w14:paraId="634BCC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919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78347123">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b/>
                <w:bCs/>
                <w:i w:val="0"/>
                <w:iCs w:val="0"/>
                <w:color w:val="000000"/>
                <w:kern w:val="0"/>
                <w:sz w:val="20"/>
                <w:szCs w:val="20"/>
                <w:highlight w:val="none"/>
                <w:u w:val="none"/>
                <w:lang w:val="en-US" w:eastAsia="zh-CN" w:bidi="ar"/>
              </w:rPr>
              <w:t>肉类粗加工间</w:t>
            </w:r>
          </w:p>
        </w:tc>
      </w:tr>
      <w:tr w14:paraId="5FF7F1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36"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B6BD2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894B4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单星水池</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06F5C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lang w:val="en-US"/>
              </w:rPr>
            </w:pPr>
            <w:r>
              <w:rPr>
                <w:rFonts w:hint="eastAsia" w:ascii="宋体" w:hAnsi="宋体" w:eastAsia="宋体" w:cs="宋体"/>
                <w:i w:val="0"/>
                <w:iCs w:val="0"/>
                <w:color w:val="000000"/>
                <w:kern w:val="0"/>
                <w:sz w:val="20"/>
                <w:szCs w:val="20"/>
                <w:highlight w:val="none"/>
                <w:u w:val="none"/>
                <w:lang w:val="en-US" w:eastAsia="zh-CN" w:bidi="ar"/>
              </w:rPr>
              <w:t>参考尺寸1000*700*800mm</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DD7DBE">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材质选用304不锈钢板材</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1.台面：采用厚≥1.5mm，星盆：采用厚≥1.2mm，星盆参考尺寸400*400*280mm，防溅板（斜口）立背（垂直度＜2mm），水槽底部能承受100kg载荷（变形量＜3mm）；</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2.水池深≥500mm</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3.工艺要求：产品焊接牢固，表面无明显划痕、锤印及烧痕，边角不允许有尖角和毛刺，焊点平滑均匀，无漏焊及沙眼，焊口处做好抛光防锈处理；</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9DFEA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B8647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台</w:t>
            </w:r>
          </w:p>
        </w:tc>
      </w:tr>
      <w:tr w14:paraId="6C9D78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73"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E4C2D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51077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冷热水龙头</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467E7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铜芯</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A09167">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1.座台式双孔双温、主体黄铜铸造表面抛光镀铬处理。</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2.配1/4转优质陶瓷阀芯一字型手柄。</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3.八寸（203mm）水嘴，铜管厚度≥1.1mm, 360度可旋转。</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4.提供节水认证★</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3FC60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5</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36B6D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套</w:t>
            </w:r>
          </w:p>
        </w:tc>
      </w:tr>
      <w:tr w14:paraId="29BD14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47"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948A0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4</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DC157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电热水器</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E21DB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容量≥80L</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15540B">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1.电压：220V，功率≥3KW；</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2.一级能效；</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3.微电脑显示面板，防电墙。</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AFADE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43A1C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台</w:t>
            </w:r>
          </w:p>
        </w:tc>
      </w:tr>
      <w:tr w14:paraId="0BFF26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73"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472E4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5</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31244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洗地龙头</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A54FE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长度≥15米</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657A09">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1.加厚不锈钢卷盘和基座，容易调整，挂墙式独立安装；</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2.弹簧合金，超过25kg拉力测试，铜制旋转接头，单手扳机，橡胶限位器，EPDM软管，长度≥15m。</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DC110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2AFDB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台</w:t>
            </w:r>
          </w:p>
        </w:tc>
      </w:tr>
      <w:tr w14:paraId="4777B5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4"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D3889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6</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A636E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双层工作台</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3FF69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lang w:val="en-US"/>
              </w:rPr>
            </w:pPr>
            <w:r>
              <w:rPr>
                <w:rFonts w:hint="eastAsia" w:ascii="宋体" w:hAnsi="宋体" w:eastAsia="宋体" w:cs="宋体"/>
                <w:i w:val="0"/>
                <w:iCs w:val="0"/>
                <w:color w:val="000000"/>
                <w:kern w:val="0"/>
                <w:sz w:val="20"/>
                <w:szCs w:val="20"/>
                <w:highlight w:val="none"/>
                <w:u w:val="none"/>
                <w:lang w:val="en-US" w:eastAsia="zh-CN" w:bidi="ar"/>
              </w:rPr>
              <w:t>参考尺寸2000*700*800+150*40mm</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0885F8">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材质选用304不锈钢板材</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1.台面：厚≥1.5mm，下配加强筋，侧板对台面垂直度（＜5mm），台面能应能承受100kg载荷，变形量（＜3mm）；</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2.层板：厚≥1.2mm，下配加强筋，层板能应能承受100kg载荷，变形量（＜3mm）；</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3.侧板：厚≥1.0mm不锈钢板；配掩门，门的材质厚≥0.8mm不锈钢板（门内夹层填充聚氨酯发泡材料）；</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4.支撑：配装4个不锈钢可调重力称重脚；</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5.工艺要求：产品焊接牢固，表面无明显划痕、锤印及烧痕，边角不允许有尖角和毛刺，焊点平滑均匀，无漏焊及沙眼，焊口处做好抛光防锈处理,产品在490N水平集中力的作用下，变形量（＜15mm），去除作用力后，其变形量（＜3mm）</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10E17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14BC5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台</w:t>
            </w:r>
          </w:p>
        </w:tc>
      </w:tr>
      <w:tr w14:paraId="723411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01"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399D0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7</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D0341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四层货架</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E7617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lang w:val="en-US"/>
              </w:rPr>
            </w:pPr>
            <w:r>
              <w:rPr>
                <w:rFonts w:hint="eastAsia" w:ascii="宋体" w:hAnsi="宋体" w:eastAsia="宋体" w:cs="宋体"/>
                <w:i w:val="0"/>
                <w:iCs w:val="0"/>
                <w:color w:val="auto"/>
                <w:kern w:val="0"/>
                <w:sz w:val="20"/>
                <w:szCs w:val="20"/>
                <w:highlight w:val="none"/>
                <w:u w:val="none"/>
                <w:lang w:val="en-US" w:eastAsia="zh-CN" w:bidi="ar"/>
              </w:rPr>
              <w:t>参考尺寸1200*500*1550mm</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66E4BE">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*整体采用SUS304不锈钢制作，平板厚度≥1.5mm；</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*立柱采用≥38×1.0mm厚不锈钢圆管；</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*配不锈钢可调子弹脚。</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94797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4003B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台</w:t>
            </w:r>
          </w:p>
        </w:tc>
      </w:tr>
      <w:tr w14:paraId="22D7EA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32"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D8EE4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8</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8AB17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挡鼠板</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8645B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参考尺寸L=1.2m</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4D3418">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1.板材均选用304磨纱贴塑不锈钢板；</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2.厚度≥1.5mm；</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3.h=0.6m（±1mm）</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7D716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1F4FA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套</w:t>
            </w:r>
          </w:p>
        </w:tc>
      </w:tr>
      <w:tr w14:paraId="6B5E95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26"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723D7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9</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C65D8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粘捕式灭蝇灯</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A8707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参考尺寸360*170*200mm</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1CC795">
            <w:pPr>
              <w:keepNext w:val="0"/>
              <w:keepLines w:val="0"/>
              <w:widowControl/>
              <w:numPr>
                <w:ilvl w:val="0"/>
                <w:numId w:val="0"/>
              </w:numPr>
              <w:suppressLineNumbers w:val="0"/>
              <w:jc w:val="left"/>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 xml:space="preserve">1.无声诱捕                                                      2.采用优质粘虫板，开封后能使用两周左右                                </w:t>
            </w:r>
          </w:p>
          <w:p w14:paraId="30D92038">
            <w:pPr>
              <w:keepNext w:val="0"/>
              <w:keepLines w:val="0"/>
              <w:widowControl/>
              <w:numPr>
                <w:ilvl w:val="0"/>
                <w:numId w:val="0"/>
              </w:numPr>
              <w:suppressLineNumbers w:val="0"/>
              <w:ind w:left="0" w:leftChars="0" w:firstLine="0" w:firstLineChars="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3.电压：220V,功率≥8W*2                     </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C4296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F3A47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台</w:t>
            </w:r>
          </w:p>
        </w:tc>
      </w:tr>
      <w:tr w14:paraId="32FC05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2"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2197D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10</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A7976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紫外线杀菌灯</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B3DC5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lang w:val="en-US"/>
              </w:rPr>
            </w:pPr>
            <w:r>
              <w:rPr>
                <w:rFonts w:hint="eastAsia" w:ascii="宋体" w:hAnsi="宋体" w:eastAsia="宋体" w:cs="宋体"/>
                <w:i w:val="0"/>
                <w:iCs w:val="0"/>
                <w:color w:val="000000"/>
                <w:kern w:val="0"/>
                <w:sz w:val="20"/>
                <w:szCs w:val="20"/>
                <w:highlight w:val="none"/>
                <w:u w:val="none"/>
                <w:lang w:val="en-US" w:eastAsia="zh-CN" w:bidi="ar"/>
              </w:rPr>
              <w:t>参考尺寸1213*28*28mm</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DC0884">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电压:220V</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功率≥36w灯管带底座；挂式</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43EC8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C3718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台</w:t>
            </w:r>
          </w:p>
        </w:tc>
      </w:tr>
      <w:tr w14:paraId="154570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1" w:hRule="atLeast"/>
        </w:trPr>
        <w:tc>
          <w:tcPr>
            <w:tcW w:w="919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31DFFDE9">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b/>
                <w:bCs/>
                <w:i w:val="0"/>
                <w:iCs w:val="0"/>
                <w:color w:val="000000"/>
                <w:kern w:val="0"/>
                <w:sz w:val="20"/>
                <w:szCs w:val="20"/>
                <w:highlight w:val="none"/>
                <w:u w:val="none"/>
                <w:lang w:val="en-US" w:eastAsia="zh-CN" w:bidi="ar"/>
              </w:rPr>
              <w:t>切配区</w:t>
            </w:r>
          </w:p>
        </w:tc>
      </w:tr>
      <w:tr w14:paraId="36187B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3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086B6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B8D90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四层货架</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44FCE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lang w:val="en-US"/>
              </w:rPr>
            </w:pPr>
            <w:r>
              <w:rPr>
                <w:rFonts w:hint="eastAsia" w:ascii="宋体" w:hAnsi="宋体" w:eastAsia="宋体" w:cs="宋体"/>
                <w:i w:val="0"/>
                <w:iCs w:val="0"/>
                <w:color w:val="000000"/>
                <w:kern w:val="0"/>
                <w:sz w:val="20"/>
                <w:szCs w:val="20"/>
                <w:highlight w:val="none"/>
                <w:u w:val="none"/>
                <w:lang w:val="en-US" w:eastAsia="zh-CN" w:bidi="ar"/>
              </w:rPr>
              <w:t>参考尺寸1500*500*1550mm</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2082FB">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*整体采用SUS304不锈钢制作，平板厚度≥1.5mm；</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*立柱采用≥38×1.0mm厚不锈钢圆管；</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*配不锈钢可调子弹脚。</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049AC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C5E04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台</w:t>
            </w:r>
          </w:p>
        </w:tc>
      </w:tr>
      <w:tr w14:paraId="5D1ECF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73"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39294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A5522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不锈钢底架</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DAE7B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lang w:val="en-US"/>
              </w:rPr>
            </w:pPr>
            <w:r>
              <w:rPr>
                <w:rFonts w:hint="eastAsia" w:ascii="宋体" w:hAnsi="宋体" w:eastAsia="宋体" w:cs="宋体"/>
                <w:i w:val="0"/>
                <w:iCs w:val="0"/>
                <w:color w:val="000000"/>
                <w:kern w:val="0"/>
                <w:sz w:val="20"/>
                <w:szCs w:val="20"/>
                <w:highlight w:val="none"/>
                <w:u w:val="none"/>
                <w:lang w:val="en-US" w:eastAsia="zh-CN" w:bidi="ar"/>
              </w:rPr>
              <w:t>参考尺寸600*600*150mm</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F663E1">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*整体采用SUS304不锈钢制作，厚度≥1.5mm；</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*横柱用≥38×25×0.8mm厚不锈钢；</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*立柱采用≥38×38×1.0mm厚不锈钢；</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*配置塑胶脚垫</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D4856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57669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台</w:t>
            </w:r>
          </w:p>
        </w:tc>
      </w:tr>
      <w:tr w14:paraId="00ABA4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01"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9E55B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3</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71FDB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绞切肉机</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5EDB0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lang w:val="en-US" w:eastAsia="zh-CN"/>
              </w:rPr>
            </w:pPr>
            <w:r>
              <w:rPr>
                <w:rFonts w:hint="eastAsia" w:ascii="宋体" w:hAnsi="宋体" w:eastAsia="宋体" w:cs="宋体"/>
                <w:i w:val="0"/>
                <w:iCs w:val="0"/>
                <w:color w:val="000000"/>
                <w:kern w:val="0"/>
                <w:sz w:val="20"/>
                <w:szCs w:val="20"/>
                <w:highlight w:val="none"/>
                <w:u w:val="none"/>
                <w:lang w:val="en-US" w:eastAsia="zh-CN" w:bidi="ar"/>
              </w:rPr>
              <w:t>≥1.1KW</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D2F0B5">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1.电压：220V，功率≥1.1KW</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2.滚刀转速：467R/MIN</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3.绞刀转：367R/MIN</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4.肉片（丝）≥400（200)KG/H，肉馅≥150KG/H</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0745D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F0C95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台</w:t>
            </w:r>
          </w:p>
        </w:tc>
      </w:tr>
      <w:tr w14:paraId="6DCB25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74"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2DE81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4</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D7360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刀具砧板消毒柜</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3486E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lang w:val="en-US"/>
              </w:rPr>
            </w:pPr>
            <w:r>
              <w:rPr>
                <w:rFonts w:hint="eastAsia" w:ascii="宋体" w:hAnsi="宋体" w:eastAsia="宋体" w:cs="宋体"/>
                <w:i w:val="0"/>
                <w:iCs w:val="0"/>
                <w:color w:val="auto"/>
                <w:kern w:val="0"/>
                <w:sz w:val="20"/>
                <w:szCs w:val="20"/>
                <w:highlight w:val="none"/>
                <w:u w:val="none"/>
                <w:lang w:val="en-US" w:eastAsia="zh-CN" w:bidi="ar"/>
              </w:rPr>
              <w:t>参考尺寸1800*760*800mm</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2016EB">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1.可容纳厚度≤10厘米砧板10块，刀具9把，消毒时间＞30分钟。</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2.刀具和砧板采用紫外线+臭氧消毒，带循环风机，360度无死角。</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 xml:space="preserve">3.砧板架可拆卸设计，更方便清理。                                   4 ，电压：220V，功率≥3KW。     </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5AA7F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9A1D7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台</w:t>
            </w:r>
          </w:p>
        </w:tc>
      </w:tr>
      <w:tr w14:paraId="7AFFE8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73"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064C0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5</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0A7C4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挂墙毛巾消毒柜</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0441A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lang w:val="en-US"/>
              </w:rPr>
            </w:pPr>
            <w:r>
              <w:rPr>
                <w:rFonts w:hint="eastAsia" w:ascii="宋体" w:hAnsi="宋体" w:eastAsia="宋体" w:cs="宋体"/>
                <w:i w:val="0"/>
                <w:iCs w:val="0"/>
                <w:color w:val="000000"/>
                <w:kern w:val="0"/>
                <w:sz w:val="20"/>
                <w:szCs w:val="20"/>
                <w:highlight w:val="none"/>
                <w:u w:val="none"/>
                <w:lang w:val="en-US" w:eastAsia="zh-CN" w:bidi="ar"/>
              </w:rPr>
              <w:t>参考尺寸800*250*900mm</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209E29">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1..紫外线+臭氧双重消毒，红外线烘干</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2.时间调节60分钟，一键启动</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3.双层中空玻璃铝合金门                                            4，电压：220V,功率≥2KW.</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34534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CAC3D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台</w:t>
            </w:r>
          </w:p>
        </w:tc>
      </w:tr>
      <w:tr w14:paraId="2A5314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32"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CA47A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6</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338DC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挡鼠板</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AF431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参考尺寸L=1.2m</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87D73C">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1.板材均选用304磨纱贴塑不锈钢板；</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2.厚度≥1.5mm；</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3.h=0.6m（±1mm）</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600A3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7984B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套</w:t>
            </w:r>
          </w:p>
        </w:tc>
      </w:tr>
      <w:tr w14:paraId="3D4332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27"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2CB5E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7</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64311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粘捕式灭蝇灯</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E1948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参考尺寸360*170*200mm</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B16855">
            <w:pPr>
              <w:keepNext w:val="0"/>
              <w:keepLines w:val="0"/>
              <w:widowControl/>
              <w:numPr>
                <w:ilvl w:val="0"/>
                <w:numId w:val="0"/>
              </w:numPr>
              <w:suppressLineNumbers w:val="0"/>
              <w:jc w:val="left"/>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 xml:space="preserve">1.无声诱捕                                                      2.采用优质粘虫板，开封后能使用两周左右                                </w:t>
            </w:r>
          </w:p>
          <w:p w14:paraId="4C7FF47F">
            <w:pPr>
              <w:keepNext w:val="0"/>
              <w:keepLines w:val="0"/>
              <w:widowControl/>
              <w:numPr>
                <w:ilvl w:val="0"/>
                <w:numId w:val="0"/>
              </w:numPr>
              <w:suppressLineNumbers w:val="0"/>
              <w:ind w:left="0" w:leftChars="0" w:firstLine="0" w:firstLineChars="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3.电压：220V,功率≥8W*2                     </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78ECB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8ACEB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台</w:t>
            </w:r>
          </w:p>
        </w:tc>
      </w:tr>
      <w:tr w14:paraId="5E5D36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2"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0AEA0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8</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B3329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紫外线杀菌灯</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738D5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lang w:val="en-US"/>
              </w:rPr>
            </w:pPr>
            <w:r>
              <w:rPr>
                <w:rFonts w:hint="eastAsia" w:ascii="宋体" w:hAnsi="宋体" w:eastAsia="宋体" w:cs="宋体"/>
                <w:i w:val="0"/>
                <w:iCs w:val="0"/>
                <w:color w:val="000000"/>
                <w:kern w:val="0"/>
                <w:sz w:val="20"/>
                <w:szCs w:val="20"/>
                <w:highlight w:val="none"/>
                <w:u w:val="none"/>
                <w:lang w:val="en-US" w:eastAsia="zh-CN" w:bidi="ar"/>
              </w:rPr>
              <w:t>参考尺寸1213*28*28mm</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E3FB4D">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电压:220V</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功率≥36w灯管带底座；挂式</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5109C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D9A51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台</w:t>
            </w:r>
          </w:p>
        </w:tc>
      </w:tr>
      <w:tr w14:paraId="266EC8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919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7D72614A">
            <w:pPr>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kern w:val="0"/>
                <w:sz w:val="20"/>
                <w:szCs w:val="20"/>
                <w:highlight w:val="none"/>
                <w:u w:val="none"/>
                <w:lang w:val="en-US" w:eastAsia="zh-CN" w:bidi="ar"/>
              </w:rPr>
              <w:t>主操作间</w:t>
            </w:r>
          </w:p>
        </w:tc>
      </w:tr>
      <w:tr w14:paraId="5CDBF2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171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1ADB54">
            <w:pPr>
              <w:keepNext w:val="0"/>
              <w:keepLines w:val="0"/>
              <w:widowControl/>
              <w:suppressLineNumbers w:val="0"/>
              <w:jc w:val="center"/>
              <w:textAlignment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kern w:val="0"/>
                <w:sz w:val="20"/>
                <w:szCs w:val="20"/>
                <w:highlight w:val="none"/>
                <w:u w:val="none"/>
                <w:lang w:val="en-US" w:eastAsia="zh-CN" w:bidi="ar"/>
              </w:rPr>
              <w:t>主操作间</w:t>
            </w:r>
          </w:p>
        </w:tc>
        <w:tc>
          <w:tcPr>
            <w:tcW w:w="14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A36DF7">
            <w:pPr>
              <w:jc w:val="center"/>
              <w:rPr>
                <w:rFonts w:hint="eastAsia" w:ascii="宋体" w:hAnsi="宋体" w:eastAsia="宋体" w:cs="宋体"/>
                <w:b/>
                <w:bCs/>
                <w:i w:val="0"/>
                <w:iCs w:val="0"/>
                <w:color w:val="000000"/>
                <w:sz w:val="20"/>
                <w:szCs w:val="20"/>
                <w:highlight w:val="none"/>
                <w:u w:val="none"/>
              </w:rPr>
            </w:pPr>
          </w:p>
        </w:tc>
        <w:tc>
          <w:tcPr>
            <w:tcW w:w="47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A534D6">
            <w:pPr>
              <w:jc w:val="left"/>
              <w:rPr>
                <w:rFonts w:hint="eastAsia" w:ascii="宋体" w:hAnsi="宋体" w:eastAsia="宋体" w:cs="宋体"/>
                <w:b/>
                <w:bCs/>
                <w:i w:val="0"/>
                <w:iCs w:val="0"/>
                <w:color w:val="000000"/>
                <w:sz w:val="20"/>
                <w:szCs w:val="20"/>
                <w:highlight w:val="none"/>
                <w:u w:val="none"/>
              </w:rPr>
            </w:pPr>
          </w:p>
        </w:tc>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03CAE6">
            <w:pPr>
              <w:jc w:val="center"/>
              <w:rPr>
                <w:rFonts w:hint="eastAsia" w:ascii="宋体" w:hAnsi="宋体" w:eastAsia="宋体" w:cs="宋体"/>
                <w:b/>
                <w:bCs/>
                <w:i w:val="0"/>
                <w:iCs w:val="0"/>
                <w:color w:val="000000"/>
                <w:sz w:val="20"/>
                <w:szCs w:val="20"/>
                <w:highlight w:val="none"/>
                <w:u w:val="none"/>
              </w:rPr>
            </w:pPr>
          </w:p>
        </w:tc>
        <w:tc>
          <w:tcPr>
            <w:tcW w:w="6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2F1ED3">
            <w:pPr>
              <w:jc w:val="center"/>
              <w:rPr>
                <w:rFonts w:hint="eastAsia" w:ascii="宋体" w:hAnsi="宋体" w:eastAsia="宋体" w:cs="宋体"/>
                <w:b/>
                <w:bCs/>
                <w:i w:val="0"/>
                <w:iCs w:val="0"/>
                <w:color w:val="000000"/>
                <w:sz w:val="20"/>
                <w:szCs w:val="20"/>
                <w:highlight w:val="none"/>
                <w:u w:val="none"/>
              </w:rPr>
            </w:pPr>
          </w:p>
        </w:tc>
      </w:tr>
      <w:tr w14:paraId="6DF10C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4" w:hRule="atLeast"/>
        </w:trPr>
        <w:tc>
          <w:tcPr>
            <w:tcW w:w="540" w:type="dxa"/>
            <w:tcBorders>
              <w:top w:val="single" w:color="000000" w:sz="4" w:space="0"/>
              <w:left w:val="single" w:color="000000" w:sz="4" w:space="0"/>
              <w:bottom w:val="single" w:color="000000" w:sz="4" w:space="0"/>
              <w:right w:val="nil"/>
            </w:tcBorders>
            <w:shd w:val="clear" w:color="auto" w:fill="auto"/>
            <w:noWrap/>
            <w:vAlign w:val="center"/>
          </w:tcPr>
          <w:p w14:paraId="60C8C35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49F72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灶间拼台</w:t>
            </w:r>
          </w:p>
        </w:tc>
        <w:tc>
          <w:tcPr>
            <w:tcW w:w="14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2067A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lang w:val="en-US"/>
              </w:rPr>
            </w:pPr>
            <w:r>
              <w:rPr>
                <w:rFonts w:hint="eastAsia" w:ascii="宋体" w:hAnsi="宋体" w:eastAsia="宋体" w:cs="宋体"/>
                <w:i w:val="0"/>
                <w:iCs w:val="0"/>
                <w:color w:val="000000"/>
                <w:kern w:val="0"/>
                <w:sz w:val="20"/>
                <w:szCs w:val="20"/>
                <w:highlight w:val="none"/>
                <w:u w:val="none"/>
                <w:lang w:val="en-US" w:eastAsia="zh-CN" w:bidi="ar"/>
              </w:rPr>
              <w:t>参考尺寸400*1300*800mm</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0CB444">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材质选用304不锈钢板材</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1.台面：厚≥1.2mm，下配加强筋，侧板对台面垂直度（＜5mm），台面能应能承受100kg载荷，变形量（＜3mm）；</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2.层板：厚≥1.2mm，下配加强筋，层板能应能承受100kg载荷，变形量（＜3mm）；</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3.侧板：厚≥1.0mm不锈钢板；配掩门，门的材质厚≥0.8mm不锈钢板；</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4.支撑：配装4个不锈钢可调重力称重脚；</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5.工艺要求：产品焊接牢固，表面无明显划痕、锤印及烧痕，边角不允许有尖角和毛刺，焊点平滑均匀，无漏焊及沙眼，焊口处做好抛光防锈处理,产品在490N水平集中力的作用下，变形量（＜15mm），去除作用力后，其变形量（＜3mm）</w:t>
            </w:r>
          </w:p>
        </w:tc>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CE017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w:t>
            </w:r>
          </w:p>
        </w:tc>
        <w:tc>
          <w:tcPr>
            <w:tcW w:w="6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B0C40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台</w:t>
            </w:r>
          </w:p>
        </w:tc>
      </w:tr>
      <w:tr w14:paraId="653615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54" w:hRule="atLeast"/>
        </w:trPr>
        <w:tc>
          <w:tcPr>
            <w:tcW w:w="540" w:type="dxa"/>
            <w:tcBorders>
              <w:top w:val="single" w:color="000000" w:sz="4" w:space="0"/>
              <w:left w:val="single" w:color="000000" w:sz="4" w:space="0"/>
              <w:bottom w:val="single" w:color="auto" w:sz="4" w:space="0"/>
              <w:right w:val="nil"/>
            </w:tcBorders>
            <w:shd w:val="clear" w:color="auto" w:fill="auto"/>
            <w:noWrap/>
            <w:vAlign w:val="center"/>
          </w:tcPr>
          <w:p w14:paraId="751F291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w:t>
            </w:r>
          </w:p>
        </w:tc>
        <w:tc>
          <w:tcPr>
            <w:tcW w:w="1170"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1FA035E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b/>
                <w:bCs/>
                <w:i w:val="0"/>
                <w:iCs w:val="0"/>
                <w:color w:val="000000"/>
                <w:kern w:val="0"/>
                <w:sz w:val="20"/>
                <w:szCs w:val="20"/>
                <w:highlight w:val="none"/>
                <w:u w:val="none"/>
                <w:lang w:val="en-US" w:eastAsia="zh-CN" w:bidi="ar"/>
              </w:rPr>
              <w:t>智能炒菜机（核心产品）</w:t>
            </w:r>
          </w:p>
        </w:tc>
        <w:tc>
          <w:tcPr>
            <w:tcW w:w="1440"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202184B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功率≥25kW</w:t>
            </w:r>
          </w:p>
        </w:tc>
        <w:tc>
          <w:tcPr>
            <w:tcW w:w="4746" w:type="dxa"/>
            <w:tcBorders>
              <w:top w:val="single" w:color="000000" w:sz="4" w:space="0"/>
              <w:left w:val="single" w:color="000000" w:sz="4" w:space="0"/>
              <w:bottom w:val="single" w:color="auto" w:sz="4" w:space="0"/>
              <w:right w:val="single" w:color="000000" w:sz="4" w:space="0"/>
            </w:tcBorders>
            <w:shd w:val="clear" w:color="auto" w:fill="auto"/>
            <w:vAlign w:val="center"/>
          </w:tcPr>
          <w:p w14:paraId="079B6C88">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1.产品额定输入电压380V，功率≥25kW，额定频率50Hz，用料标准：主框架采用304不锈钢材质，厚度≥1.5mm，其它外围采用≥1.2mm，美观耐用。</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2.锅体采用≥4mm厚的复合材料一体成型，锅体内壁做不粘涂层处理和耐300度高温。</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3.采用流线型组件设计,容易抹擦清洁,不留卫生死角。</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4.翻锅方式：电控翻锅。</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5.采用电磁加热，能效达90%以上。</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6.带急停功能，无明火。</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7.高压清洗喷枪,方便快捷清洗。</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8.采用人体工程学设计,良好的操作体验。</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▲、要求所投产品通过依据GB/T 26572-2011，GB/T 39560.4-2021、GB/T 39560.5-2021、GB/T 39560.701-2020，GB/T 39560.702-2021，GB/T 39560.6-2020标准的有毒有害物质限量认证证书+检测报告，需同时提供标注CMA或CNAS标识的检测报告复印件，以及证书在全国认证认可信息公共服务平台网站查询截图；</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▲、要求所投产品的控制板符合GB/T2423.2-2008《电工电子产品环境试验 第2部分：试验方法 试验B：高温》6.8条款，产品的核心电路控制板通过“对控制板通电，连续模拟正常工作试验240小时，试验后元器件不破坏、无裂纹、能正常通电、功能正常”；同时所投产品依据GB 8624-2012《建筑材料及制品燃烧性能分级》，GB/T 5464-2010《建筑材料不燃性试验方法》，GB/T 14402-2007《建筑材料及制品的燃烧性能 燃烧热值的测定》进行燃烧性能检测，检测结果符合要求，需同时提供标注CMA或CNAS标识的检测报告复印件。</w:t>
            </w:r>
          </w:p>
        </w:tc>
        <w:tc>
          <w:tcPr>
            <w:tcW w:w="698"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7393F83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w:t>
            </w:r>
          </w:p>
        </w:tc>
        <w:tc>
          <w:tcPr>
            <w:tcW w:w="601"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6323DD6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台</w:t>
            </w:r>
          </w:p>
        </w:tc>
      </w:tr>
      <w:tr w14:paraId="72E88E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7" w:hRule="atLeast"/>
        </w:trPr>
        <w:tc>
          <w:tcPr>
            <w:tcW w:w="540" w:type="dxa"/>
            <w:tcBorders>
              <w:top w:val="single" w:color="auto" w:sz="4" w:space="0"/>
              <w:left w:val="single" w:color="auto" w:sz="4" w:space="0"/>
              <w:bottom w:val="single" w:color="auto" w:sz="4" w:space="0"/>
              <w:right w:val="nil"/>
            </w:tcBorders>
            <w:shd w:val="clear" w:color="auto" w:fill="auto"/>
            <w:noWrap/>
            <w:vAlign w:val="center"/>
          </w:tcPr>
          <w:p w14:paraId="2A98718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3</w:t>
            </w:r>
          </w:p>
        </w:tc>
        <w:tc>
          <w:tcPr>
            <w:tcW w:w="1170" w:type="dxa"/>
            <w:tcBorders>
              <w:top w:val="single" w:color="auto" w:sz="4" w:space="0"/>
              <w:left w:val="single" w:color="000000" w:sz="4" w:space="0"/>
              <w:bottom w:val="single" w:color="auto" w:sz="4" w:space="0"/>
              <w:right w:val="single" w:color="000000" w:sz="4" w:space="0"/>
            </w:tcBorders>
            <w:shd w:val="clear" w:color="auto" w:fill="auto"/>
            <w:noWrap/>
            <w:vAlign w:val="center"/>
          </w:tcPr>
          <w:p w14:paraId="4BD4BE0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可倾式汤锅</w:t>
            </w:r>
          </w:p>
        </w:tc>
        <w:tc>
          <w:tcPr>
            <w:tcW w:w="1440" w:type="dxa"/>
            <w:tcBorders>
              <w:top w:val="single" w:color="auto" w:sz="4" w:space="0"/>
              <w:left w:val="single" w:color="000000" w:sz="4" w:space="0"/>
              <w:bottom w:val="single" w:color="auto" w:sz="4" w:space="0"/>
              <w:right w:val="single" w:color="000000" w:sz="4" w:space="0"/>
            </w:tcBorders>
            <w:shd w:val="clear" w:color="auto" w:fill="auto"/>
            <w:noWrap/>
            <w:vAlign w:val="center"/>
          </w:tcPr>
          <w:p w14:paraId="242E63D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容量≥246L</w:t>
            </w:r>
          </w:p>
        </w:tc>
        <w:tc>
          <w:tcPr>
            <w:tcW w:w="4746" w:type="dxa"/>
            <w:tcBorders>
              <w:top w:val="single" w:color="auto" w:sz="4" w:space="0"/>
              <w:left w:val="single" w:color="000000" w:sz="4" w:space="0"/>
              <w:bottom w:val="single" w:color="auto" w:sz="4" w:space="0"/>
              <w:right w:val="single" w:color="000000" w:sz="4" w:space="0"/>
            </w:tcBorders>
            <w:shd w:val="clear" w:color="auto" w:fill="auto"/>
            <w:vAlign w:val="center"/>
          </w:tcPr>
          <w:p w14:paraId="40255A79">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1.额定输入电压380V，输出功率≥25kW，工作频率范围50kHz-60kHz，适应电网的范围290～450V；</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2.产品采用304#不锈钢面板、框架：釆用≥1.2mm 板材；侧板、底板、门板：釆用≥1.0mm 板材；锅体采用6mm加厚复合底，里外满焊工艺，长时间加热不漏水，不鼓包不变形；外形：三防产品设计，防水防油防虫；主体框架：采用38*38厚度1.5mm的不锈钢拉丝方管焊接工艺；脚管∶采用承重炉脚，直穿过底板通顶炉面板直接承重，确保灶具随意拖动也不会造成脚管变形；</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3.蜗轮蜗杆转动设计原理，手动倾倒，自带刹车，防止锅体意外翻倒造成人员烫伤；</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4.显示屏：一体化防水技术LED数码中文显示器，可目视化管理及直观操作，同时，显示器具备电量累计每日，每周，每月，加热状态呈现由图标与加热中文显示，火力显示由数字与火力分布相互结合；</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5.机芯：设备控制系统CPU中央处理器采用先进IGBT，启动进入自检模式，具备自动故障诊断功能；</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6.线盘：采用紫铜耐高温阻燃漆包线，发热均匀，耐高温，散热效果好，线序布局美观同时使用寿命长，加热面积≥600mm；</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7.风机：采用IPX7防水级、静音、产品专用冷风通道设计，散热性强，高压直流风机；</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8.电容：集成模块化电容，故障低，能耗低，寿命长，散热性强，防水，同步性强，抗干扰性强；</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9.水龙头：304食品级进出水模块水龙头、弯头，90°出水阀门铜芯，灵活支配；</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▲、要求产品具有GB/T 39640-2020标准的电磁辐射产品认证证书+检测报告，需同时提供标注CMA或CNAS标识的检测报告复印件，以及证书在全国认证认可信息公共服务平台网站查询截图。</w:t>
            </w:r>
          </w:p>
        </w:tc>
        <w:tc>
          <w:tcPr>
            <w:tcW w:w="698" w:type="dxa"/>
            <w:tcBorders>
              <w:top w:val="single" w:color="auto" w:sz="4" w:space="0"/>
              <w:left w:val="single" w:color="000000" w:sz="4" w:space="0"/>
              <w:bottom w:val="single" w:color="auto" w:sz="4" w:space="0"/>
              <w:right w:val="single" w:color="000000" w:sz="4" w:space="0"/>
            </w:tcBorders>
            <w:shd w:val="clear" w:color="auto" w:fill="auto"/>
            <w:noWrap/>
            <w:vAlign w:val="center"/>
          </w:tcPr>
          <w:p w14:paraId="5B3AC6B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w:t>
            </w:r>
          </w:p>
        </w:tc>
        <w:tc>
          <w:tcPr>
            <w:tcW w:w="601" w:type="dxa"/>
            <w:tcBorders>
              <w:top w:val="single" w:color="auto" w:sz="4" w:space="0"/>
              <w:left w:val="single" w:color="000000" w:sz="4" w:space="0"/>
              <w:bottom w:val="single" w:color="auto" w:sz="4" w:space="0"/>
              <w:right w:val="single" w:color="auto" w:sz="4" w:space="0"/>
            </w:tcBorders>
            <w:shd w:val="clear" w:color="auto" w:fill="auto"/>
            <w:noWrap/>
            <w:vAlign w:val="center"/>
          </w:tcPr>
          <w:p w14:paraId="1B9BAE6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台</w:t>
            </w:r>
          </w:p>
        </w:tc>
      </w:tr>
      <w:tr w14:paraId="4F2093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549" w:hRule="atLeast"/>
        </w:trPr>
        <w:tc>
          <w:tcPr>
            <w:tcW w:w="540" w:type="dxa"/>
            <w:tcBorders>
              <w:top w:val="single" w:color="auto" w:sz="4" w:space="0"/>
              <w:left w:val="single" w:color="000000" w:sz="4" w:space="0"/>
              <w:bottom w:val="single" w:color="000000" w:sz="4" w:space="0"/>
              <w:right w:val="nil"/>
            </w:tcBorders>
            <w:shd w:val="clear" w:color="auto" w:fill="auto"/>
            <w:noWrap/>
            <w:vAlign w:val="center"/>
          </w:tcPr>
          <w:p w14:paraId="2906FE5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4</w:t>
            </w:r>
          </w:p>
        </w:tc>
        <w:tc>
          <w:tcPr>
            <w:tcW w:w="1170" w:type="dxa"/>
            <w:tcBorders>
              <w:top w:val="single" w:color="auto" w:sz="4" w:space="0"/>
              <w:left w:val="single" w:color="000000" w:sz="4" w:space="0"/>
              <w:bottom w:val="single" w:color="000000" w:sz="4" w:space="0"/>
              <w:right w:val="single" w:color="000000" w:sz="4" w:space="0"/>
            </w:tcBorders>
            <w:shd w:val="clear" w:color="auto" w:fill="auto"/>
            <w:noWrap/>
            <w:vAlign w:val="center"/>
          </w:tcPr>
          <w:p w14:paraId="4355EB3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b w:val="0"/>
                <w:bCs w:val="0"/>
                <w:i w:val="0"/>
                <w:iCs w:val="0"/>
                <w:color w:val="000000"/>
                <w:kern w:val="0"/>
                <w:sz w:val="20"/>
                <w:szCs w:val="20"/>
                <w:highlight w:val="none"/>
                <w:u w:val="none"/>
                <w:lang w:val="en-US" w:eastAsia="zh-CN" w:bidi="ar"/>
              </w:rPr>
              <w:t>油烟净化一体机</w:t>
            </w:r>
          </w:p>
        </w:tc>
        <w:tc>
          <w:tcPr>
            <w:tcW w:w="1440" w:type="dxa"/>
            <w:tcBorders>
              <w:top w:val="single" w:color="auto" w:sz="4" w:space="0"/>
              <w:left w:val="single" w:color="000000" w:sz="4" w:space="0"/>
              <w:bottom w:val="single" w:color="000000" w:sz="4" w:space="0"/>
              <w:right w:val="single" w:color="000000" w:sz="4" w:space="0"/>
            </w:tcBorders>
            <w:shd w:val="clear" w:color="auto" w:fill="auto"/>
            <w:noWrap/>
            <w:vAlign w:val="center"/>
          </w:tcPr>
          <w:p w14:paraId="67C528C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lang w:val="en-US"/>
              </w:rPr>
            </w:pPr>
            <w:r>
              <w:rPr>
                <w:rFonts w:hint="eastAsia" w:ascii="宋体" w:hAnsi="宋体" w:eastAsia="宋体" w:cs="宋体"/>
                <w:i w:val="0"/>
                <w:iCs w:val="0"/>
                <w:color w:val="000000"/>
                <w:kern w:val="0"/>
                <w:sz w:val="20"/>
                <w:szCs w:val="20"/>
                <w:highlight w:val="none"/>
                <w:u w:val="none"/>
                <w:lang w:val="en-US" w:eastAsia="zh-CN" w:bidi="ar"/>
              </w:rPr>
              <w:t>参考尺寸11750*1500*850mm</w:t>
            </w:r>
          </w:p>
        </w:tc>
        <w:tc>
          <w:tcPr>
            <w:tcW w:w="4746" w:type="dxa"/>
            <w:tcBorders>
              <w:top w:val="single" w:color="auto" w:sz="4" w:space="0"/>
              <w:left w:val="single" w:color="000000" w:sz="4" w:space="0"/>
              <w:bottom w:val="single" w:color="000000" w:sz="4" w:space="0"/>
              <w:right w:val="single" w:color="000000" w:sz="4" w:space="0"/>
            </w:tcBorders>
            <w:shd w:val="clear" w:color="auto" w:fill="auto"/>
            <w:vAlign w:val="center"/>
          </w:tcPr>
          <w:p w14:paraId="656A067F">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1.智能升降式一体净化烟罩控制系统由主控制面板、电源模块、风幕控制模块、照明控制模块、净化模块、排风模块、一键升降等模块组成，采用触摸式一键开启、逐个开启和无接触手势感应启动等多种方式，能自由独立控制设备单个或多个功能；       </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2.智能升降式一体净化烟罩采用食品级不锈钢材料制造，完全符合食品卫生级标准，烟罩安装高度可≤2000mm不影响排烟效果，排烟罩设有污油凝结槽并设活动集油器或清洗排污口，耐酸、耐碱、耐温、阻燃、耐磨、耐拉厨房排油烟设备等功能；</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3.智能升降式一体净化烟罩分段制作，分体式结构，罩体可自由拆卸，多个单元自由拼装，可拆式双层通风侧板，不锈钢螺丝连接拼装，现场安装简单方便，无需现场焊接，美观牢固；</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4.智能升降功能关键解决静电电场的日常维护，大大提升了产品的使用寿命，一键式升降功能将电场直接降落于炉灶上方，直接可取出清洗和简便安装，避免登高作业所带来的安全隐患，一键式升降功能将所有的日常维护和售后维护都集成于罩体下方完成；</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5.配备独立控制的捕捉风幕设计，专用捕捉气流静音风扇、旋风式均流网、内侧捕射气流，具备集烟射流喷气技术，捕捉气流可有效捕获和克制油烟、蒸汽和热能的外溢，每平方米排风量可控制到1500m³/h以内，有效提升排风效果达到节能的功效；</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6.配有高速动态屏蔽器，高速旋转时产生的离心力对油烟、水汽等中的油脂颗粒进行动态拦截，纯物理净化，高效分离油烟中油、气，安全高效净化油烟；</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 7.智能排烟罩高效除油除烟，确保排放达到国家标准，符合环能环保技术检测中心技术要求，并提供检测报告                                             8.电压：380V，功率≥2.5KW*5</w:t>
            </w:r>
          </w:p>
        </w:tc>
        <w:tc>
          <w:tcPr>
            <w:tcW w:w="698" w:type="dxa"/>
            <w:tcBorders>
              <w:top w:val="single" w:color="auto" w:sz="4" w:space="0"/>
              <w:left w:val="single" w:color="000000" w:sz="4" w:space="0"/>
              <w:bottom w:val="single" w:color="000000" w:sz="4" w:space="0"/>
              <w:right w:val="single" w:color="000000" w:sz="4" w:space="0"/>
            </w:tcBorders>
            <w:shd w:val="clear" w:color="auto" w:fill="auto"/>
            <w:noWrap/>
            <w:vAlign w:val="center"/>
          </w:tcPr>
          <w:p w14:paraId="532F413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11.75</w:t>
            </w:r>
          </w:p>
        </w:tc>
        <w:tc>
          <w:tcPr>
            <w:tcW w:w="601" w:type="dxa"/>
            <w:tcBorders>
              <w:top w:val="single" w:color="auto" w:sz="4" w:space="0"/>
              <w:left w:val="single" w:color="000000" w:sz="4" w:space="0"/>
              <w:bottom w:val="single" w:color="000000" w:sz="4" w:space="0"/>
              <w:right w:val="single" w:color="000000" w:sz="4" w:space="0"/>
            </w:tcBorders>
            <w:shd w:val="clear" w:color="auto" w:fill="auto"/>
            <w:noWrap/>
            <w:vAlign w:val="center"/>
          </w:tcPr>
          <w:p w14:paraId="29D9C85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米</w:t>
            </w:r>
          </w:p>
        </w:tc>
      </w:tr>
      <w:tr w14:paraId="37E62C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868" w:hRule="atLeast"/>
        </w:trPr>
        <w:tc>
          <w:tcPr>
            <w:tcW w:w="540" w:type="dxa"/>
            <w:tcBorders>
              <w:top w:val="single" w:color="000000" w:sz="4" w:space="0"/>
              <w:left w:val="single" w:color="000000" w:sz="4" w:space="0"/>
              <w:bottom w:val="single" w:color="000000" w:sz="4" w:space="0"/>
              <w:right w:val="nil"/>
            </w:tcBorders>
            <w:shd w:val="clear" w:color="auto" w:fill="auto"/>
            <w:noWrap/>
            <w:vAlign w:val="center"/>
          </w:tcPr>
          <w:p w14:paraId="169FA51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5</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64D7A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灭火系统</w:t>
            </w:r>
          </w:p>
        </w:tc>
        <w:tc>
          <w:tcPr>
            <w:tcW w:w="14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AD17D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双瓶</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861BB8">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1.本设备为全机械启动方式：厨房设备灭火装置工作原理为当厨房灶台发生火情，当油锅上方产生的温度达到183℃时，火灾探测器（感温元件）自动熔断（平时灶台热量达不到感温元件熔断的温度不会造成误喷），使机械控制阀启动；贮气瓶膜片被冲破，高压气体（氮气）通过减压装置瞬间驱动灭火药剂，通过雾化喷头喷出，覆盖在油锅表面，并与高温食用油发生化学反应，同时灭火药剂通过烟道喷头喷洒在烟道内扑灭烟道火焰；快速高效的灭火效果，机械水流阀打开冷却水，保证不出现复燃情况，厨房自动灭火装置可以自动、手动、机械应急启动把火焰扑灭于初期，本灭火装置可以全天侯24小时监控；    </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 xml:space="preserve">2.双瓶组:灭火剂充装容量≥20L: 灭火剂喷射时间≥30s,喷头数量≥18个。感温器动作温度:183C，驱动气体:氮气:氮气瓶容积≥1.2L:氮气驱动瓶存压力≥12MPa，减压器出口压                                             3.电压：220V，功率≥150W     </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1.提供产品责任保险单:每次事故赔偿限额≥贰佰万元。</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★4.雾化喷头金属保护帽高低温实验:按照GB/T2423.2-2008的检测方法，分别进行高温200℃/48h,低温-20℃/48h。测试后，所有样品表面均无明显变化，无开裂、无起泡、无剥落。</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★5.厨房灭火装置机械式水流联动阀，按照GB4806.9-2016食品安全国家标准:食品接触用金属材料及制品。按照GB31604.38-2016标准检测:砷、镉、铅迁移量符合要求。</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 xml:space="preserve">6.提供有消防产品认证证书，以及CMA或CNAS第三方机构出具的检验报告复印件。                                                                 </w:t>
            </w:r>
          </w:p>
        </w:tc>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0DC3C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w:t>
            </w:r>
          </w:p>
        </w:tc>
        <w:tc>
          <w:tcPr>
            <w:tcW w:w="6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37DE9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套</w:t>
            </w:r>
          </w:p>
        </w:tc>
      </w:tr>
      <w:tr w14:paraId="73909E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74" w:hRule="atLeast"/>
        </w:trPr>
        <w:tc>
          <w:tcPr>
            <w:tcW w:w="540" w:type="dxa"/>
            <w:tcBorders>
              <w:top w:val="single" w:color="000000" w:sz="4" w:space="0"/>
              <w:left w:val="single" w:color="000000" w:sz="4" w:space="0"/>
              <w:bottom w:val="single" w:color="000000" w:sz="4" w:space="0"/>
              <w:right w:val="nil"/>
            </w:tcBorders>
            <w:shd w:val="clear" w:color="auto" w:fill="auto"/>
            <w:noWrap/>
            <w:vAlign w:val="center"/>
          </w:tcPr>
          <w:p w14:paraId="4E60D5D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6</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82FF4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刀具砧板消毒柜</w:t>
            </w:r>
          </w:p>
        </w:tc>
        <w:tc>
          <w:tcPr>
            <w:tcW w:w="14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9C3FB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lang w:val="en-US"/>
              </w:rPr>
            </w:pPr>
            <w:r>
              <w:rPr>
                <w:rFonts w:hint="eastAsia" w:ascii="宋体" w:hAnsi="宋体" w:eastAsia="宋体" w:cs="宋体"/>
                <w:i w:val="0"/>
                <w:iCs w:val="0"/>
                <w:color w:val="auto"/>
                <w:kern w:val="0"/>
                <w:sz w:val="20"/>
                <w:szCs w:val="20"/>
                <w:highlight w:val="none"/>
                <w:u w:val="none"/>
                <w:lang w:val="en-US" w:eastAsia="zh-CN" w:bidi="ar"/>
              </w:rPr>
              <w:t>参考尺寸1200*760*1750mm</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7113DA">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1.可容纳厚度≤10厘米砧板10块，刀具9把，消毒时间＞30分钟。</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2.刀具和砧板采用紫外线+臭氧消毒，带循环风机，360度无死角。</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 xml:space="preserve">3.砧板架可拆卸设计，更方便清理。                                   4.电压：220V，功率≥3KW。     </w:t>
            </w:r>
          </w:p>
        </w:tc>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85949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w:t>
            </w:r>
          </w:p>
        </w:tc>
        <w:tc>
          <w:tcPr>
            <w:tcW w:w="6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9573A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台</w:t>
            </w:r>
          </w:p>
        </w:tc>
      </w:tr>
      <w:tr w14:paraId="27C066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8" w:hRule="atLeast"/>
        </w:trPr>
        <w:tc>
          <w:tcPr>
            <w:tcW w:w="540" w:type="dxa"/>
            <w:tcBorders>
              <w:top w:val="single" w:color="000000" w:sz="4" w:space="0"/>
              <w:left w:val="single" w:color="000000" w:sz="4" w:space="0"/>
              <w:bottom w:val="single" w:color="000000" w:sz="4" w:space="0"/>
              <w:right w:val="nil"/>
            </w:tcBorders>
            <w:shd w:val="clear" w:color="auto" w:fill="auto"/>
            <w:noWrap/>
            <w:vAlign w:val="center"/>
          </w:tcPr>
          <w:p w14:paraId="3D40B73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7</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3311F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双星水池柜</w:t>
            </w:r>
          </w:p>
        </w:tc>
        <w:tc>
          <w:tcPr>
            <w:tcW w:w="14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B835C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lang w:val="en-US"/>
              </w:rPr>
            </w:pPr>
            <w:r>
              <w:rPr>
                <w:rFonts w:hint="eastAsia" w:ascii="宋体" w:hAnsi="宋体" w:eastAsia="宋体" w:cs="宋体"/>
                <w:i w:val="0"/>
                <w:iCs w:val="0"/>
                <w:color w:val="000000"/>
                <w:kern w:val="0"/>
                <w:sz w:val="20"/>
                <w:szCs w:val="20"/>
                <w:highlight w:val="none"/>
                <w:u w:val="none"/>
                <w:lang w:val="en-US" w:eastAsia="zh-CN" w:bidi="ar"/>
              </w:rPr>
              <w:t>参考尺寸1200*760*800mm</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FD125E">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材质选用304不锈钢板材</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1.台面：采用≥1.2mm厚，星盆：采用≥1.2mm厚，星盆尺寸400*400*280mm，防溅板（斜口）立背（垂直度＜2mm），水槽底部能承受100kg载荷（变形量＜3mm）；</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2.柜身采用≥1.2mm厚不锈钢板，门为掩门结构，一体折边扣手，上配门吸，内侧封板闭合，下配4个不锈钢可调子弹脚，立柱与台面（垂直度＜5mm）；</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3.选配：不锈钢下水口1个；</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4.工艺要求：产品焊接牢固，表面无明显划痕、锤印及烧痕，边角不允许有尖角和毛刺，焊点平滑均匀，无漏焊及沙眼，焊口处做好抛光防锈处理；</w:t>
            </w:r>
          </w:p>
        </w:tc>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40CF5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w:t>
            </w:r>
          </w:p>
        </w:tc>
        <w:tc>
          <w:tcPr>
            <w:tcW w:w="6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BCE4A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台</w:t>
            </w:r>
          </w:p>
        </w:tc>
      </w:tr>
      <w:tr w14:paraId="5471E68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73" w:hRule="atLeast"/>
        </w:trPr>
        <w:tc>
          <w:tcPr>
            <w:tcW w:w="540" w:type="dxa"/>
            <w:tcBorders>
              <w:top w:val="single" w:color="000000" w:sz="4" w:space="0"/>
              <w:left w:val="single" w:color="000000" w:sz="4" w:space="0"/>
              <w:bottom w:val="single" w:color="000000" w:sz="4" w:space="0"/>
              <w:right w:val="nil"/>
            </w:tcBorders>
            <w:shd w:val="clear" w:color="auto" w:fill="auto"/>
            <w:noWrap/>
            <w:vAlign w:val="center"/>
          </w:tcPr>
          <w:p w14:paraId="020EE9E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8</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C9EB7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冷热水龙头</w:t>
            </w:r>
          </w:p>
        </w:tc>
        <w:tc>
          <w:tcPr>
            <w:tcW w:w="14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83F1D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铜芯</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E9F72B">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1.座台式双孔双温、主体黄铜铸造表面抛光镀铬处理。</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2.配1/4转优质陶瓷阀芯一字型手柄。</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3.八寸（203mm）水嘴，铜管厚度≥1.1mm, 360度可旋转。</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★4.提供节水认证</w:t>
            </w:r>
          </w:p>
        </w:tc>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B4517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w:t>
            </w:r>
          </w:p>
        </w:tc>
        <w:tc>
          <w:tcPr>
            <w:tcW w:w="6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EEE2F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套</w:t>
            </w:r>
          </w:p>
        </w:tc>
      </w:tr>
      <w:tr w14:paraId="52D004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15" w:hRule="atLeast"/>
        </w:trPr>
        <w:tc>
          <w:tcPr>
            <w:tcW w:w="540" w:type="dxa"/>
            <w:tcBorders>
              <w:top w:val="single" w:color="000000" w:sz="4" w:space="0"/>
              <w:left w:val="single" w:color="000000" w:sz="4" w:space="0"/>
              <w:bottom w:val="single" w:color="000000" w:sz="4" w:space="0"/>
              <w:right w:val="nil"/>
            </w:tcBorders>
            <w:shd w:val="clear" w:color="auto" w:fill="auto"/>
            <w:noWrap/>
            <w:vAlign w:val="center"/>
          </w:tcPr>
          <w:p w14:paraId="5D4635B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10</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411F9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电热水器</w:t>
            </w:r>
          </w:p>
        </w:tc>
        <w:tc>
          <w:tcPr>
            <w:tcW w:w="14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75B7D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容量≥80L</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09C9B1">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1.电压220V，功率≥3KW；</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2.一级能效；</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3.微电脑显示面板，防电墙。</w:t>
            </w:r>
          </w:p>
        </w:tc>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AC21E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w:t>
            </w:r>
          </w:p>
        </w:tc>
        <w:tc>
          <w:tcPr>
            <w:tcW w:w="6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AE8D6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台</w:t>
            </w:r>
          </w:p>
        </w:tc>
      </w:tr>
      <w:tr w14:paraId="1168D8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73" w:hRule="atLeast"/>
        </w:trPr>
        <w:tc>
          <w:tcPr>
            <w:tcW w:w="540" w:type="dxa"/>
            <w:tcBorders>
              <w:top w:val="single" w:color="000000" w:sz="4" w:space="0"/>
              <w:left w:val="single" w:color="000000" w:sz="4" w:space="0"/>
              <w:bottom w:val="single" w:color="000000" w:sz="4" w:space="0"/>
              <w:right w:val="nil"/>
            </w:tcBorders>
            <w:shd w:val="clear" w:color="auto" w:fill="auto"/>
            <w:noWrap/>
            <w:vAlign w:val="center"/>
          </w:tcPr>
          <w:p w14:paraId="719D0C8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11</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768B6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单通工作台</w:t>
            </w:r>
          </w:p>
        </w:tc>
        <w:tc>
          <w:tcPr>
            <w:tcW w:w="14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4B929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lang w:val="en-US"/>
              </w:rPr>
            </w:pPr>
            <w:r>
              <w:rPr>
                <w:rFonts w:hint="eastAsia" w:ascii="宋体" w:hAnsi="宋体" w:eastAsia="宋体" w:cs="宋体"/>
                <w:i w:val="0"/>
                <w:iCs w:val="0"/>
                <w:color w:val="000000"/>
                <w:kern w:val="0"/>
                <w:sz w:val="20"/>
                <w:szCs w:val="20"/>
                <w:highlight w:val="none"/>
                <w:u w:val="none"/>
                <w:lang w:val="en-US" w:eastAsia="zh-CN" w:bidi="ar"/>
              </w:rPr>
              <w:t>参考尺寸1800*760*800mm</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F991A7">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1.整体采用SUS304不锈钢制作；</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2.台面厚度≥1.2mm，用厚≥1.0mm不锈钢板折成加强筋加固；</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3.层板、底板、侧板及门面采用厚≥1.0mm不锈钢板制作；</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4.加强筋厚度≥1.2mm，配置不锈钢可调子弹脚。</w:t>
            </w:r>
          </w:p>
        </w:tc>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F1BFF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w:t>
            </w:r>
          </w:p>
        </w:tc>
        <w:tc>
          <w:tcPr>
            <w:tcW w:w="6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9C3F5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台</w:t>
            </w:r>
          </w:p>
        </w:tc>
      </w:tr>
      <w:tr w14:paraId="714F78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73" w:hRule="atLeast"/>
        </w:trPr>
        <w:tc>
          <w:tcPr>
            <w:tcW w:w="540" w:type="dxa"/>
            <w:tcBorders>
              <w:top w:val="single" w:color="000000" w:sz="4" w:space="0"/>
              <w:left w:val="single" w:color="000000" w:sz="4" w:space="0"/>
              <w:bottom w:val="single" w:color="000000" w:sz="4" w:space="0"/>
              <w:right w:val="nil"/>
            </w:tcBorders>
            <w:shd w:val="clear" w:color="auto" w:fill="auto"/>
            <w:noWrap/>
            <w:vAlign w:val="center"/>
          </w:tcPr>
          <w:p w14:paraId="21F052E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12</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3B6FF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单通工作台</w:t>
            </w:r>
          </w:p>
        </w:tc>
        <w:tc>
          <w:tcPr>
            <w:tcW w:w="14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586D6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lang w:val="en-US"/>
              </w:rPr>
            </w:pPr>
            <w:r>
              <w:rPr>
                <w:rFonts w:hint="eastAsia" w:ascii="宋体" w:hAnsi="宋体" w:eastAsia="宋体" w:cs="宋体"/>
                <w:i w:val="0"/>
                <w:iCs w:val="0"/>
                <w:color w:val="000000"/>
                <w:kern w:val="0"/>
                <w:sz w:val="20"/>
                <w:szCs w:val="20"/>
                <w:highlight w:val="none"/>
                <w:u w:val="none"/>
                <w:lang w:val="en-US" w:eastAsia="zh-CN" w:bidi="ar"/>
              </w:rPr>
              <w:t>参考尺寸2000*760*800mm</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99E5B8">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1.整体采用SUS304不锈钢制作；</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2.台面厚度≥1.2mm，用厚≥1.0mm不锈钢板折成加强筋加固；</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3.层板、底板、侧板及门面采用厚≥1.0mm不锈钢板制作；</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4.加强筋厚度≥1.6mm，配置不锈钢可调子弹脚。</w:t>
            </w:r>
          </w:p>
        </w:tc>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886CB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w:t>
            </w:r>
          </w:p>
        </w:tc>
        <w:tc>
          <w:tcPr>
            <w:tcW w:w="6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2269D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台</w:t>
            </w:r>
          </w:p>
        </w:tc>
      </w:tr>
      <w:tr w14:paraId="093341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5" w:hRule="atLeast"/>
        </w:trPr>
        <w:tc>
          <w:tcPr>
            <w:tcW w:w="540" w:type="dxa"/>
            <w:tcBorders>
              <w:top w:val="single" w:color="000000" w:sz="4" w:space="0"/>
              <w:left w:val="single" w:color="000000" w:sz="4" w:space="0"/>
              <w:bottom w:val="single" w:color="000000" w:sz="4" w:space="0"/>
              <w:right w:val="nil"/>
            </w:tcBorders>
            <w:shd w:val="clear" w:color="auto" w:fill="auto"/>
            <w:noWrap/>
            <w:vAlign w:val="center"/>
          </w:tcPr>
          <w:p w14:paraId="6D17A49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13</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B9D8A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双温六门高身冷柜</w:t>
            </w:r>
          </w:p>
        </w:tc>
        <w:tc>
          <w:tcPr>
            <w:tcW w:w="14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09A08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lang w:val="en-US"/>
              </w:rPr>
            </w:pPr>
            <w:r>
              <w:rPr>
                <w:rFonts w:hint="eastAsia" w:ascii="宋体" w:hAnsi="宋体" w:eastAsia="宋体" w:cs="宋体"/>
                <w:i w:val="0"/>
                <w:iCs w:val="0"/>
                <w:color w:val="000000"/>
                <w:kern w:val="0"/>
                <w:sz w:val="20"/>
                <w:szCs w:val="20"/>
                <w:highlight w:val="none"/>
                <w:u w:val="none"/>
                <w:lang w:val="en-US" w:eastAsia="zh-CN" w:bidi="ar"/>
              </w:rPr>
              <w:t>参考尺寸1800*760*1950mm</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F3DCCF">
            <w:pPr>
              <w:keepNext w:val="0"/>
              <w:keepLines w:val="0"/>
              <w:widowControl/>
              <w:numPr>
                <w:ilvl w:val="0"/>
                <w:numId w:val="0"/>
              </w:numPr>
              <w:suppressLineNumbers w:val="0"/>
              <w:jc w:val="left"/>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1.门体及功能配置： 六门发泡门冷藏冷冻柜</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2.制冷方式：风冷；温度范围：2~8℃/-15~-18℃</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3.容积：≥1200L；电压：AC220v/50Hz；功率：≥550W；</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4.全自动电子温控器，LED温度显示屏</w:t>
            </w:r>
          </w:p>
          <w:p w14:paraId="25E26807">
            <w:pPr>
              <w:keepNext w:val="0"/>
              <w:keepLines w:val="0"/>
              <w:widowControl/>
              <w:numPr>
                <w:ilvl w:val="0"/>
                <w:numId w:val="0"/>
              </w:numPr>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5.柜内外优质不锈钢材质；</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6.环戊烷聚胺脂隔热保温材料；保温层厚度≥60mm；发泡密度≥40kg/m³；</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7.制冷剂：R290；（冷凝器蒸发器）制冷系统全铜管制造；</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 xml:space="preserve">8.＜90度，门体自动回归；                              </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9.带物联网功能</w:t>
            </w:r>
          </w:p>
        </w:tc>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BC644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w:t>
            </w:r>
          </w:p>
        </w:tc>
        <w:tc>
          <w:tcPr>
            <w:tcW w:w="6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6F49D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台</w:t>
            </w:r>
          </w:p>
        </w:tc>
      </w:tr>
      <w:tr w14:paraId="4562D4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98" w:hRule="atLeast"/>
        </w:trPr>
        <w:tc>
          <w:tcPr>
            <w:tcW w:w="540" w:type="dxa"/>
            <w:tcBorders>
              <w:top w:val="single" w:color="000000" w:sz="4" w:space="0"/>
              <w:left w:val="single" w:color="000000" w:sz="4" w:space="0"/>
              <w:bottom w:val="single" w:color="000000" w:sz="4" w:space="0"/>
              <w:right w:val="nil"/>
            </w:tcBorders>
            <w:shd w:val="clear" w:color="auto" w:fill="auto"/>
            <w:noWrap/>
            <w:vAlign w:val="center"/>
          </w:tcPr>
          <w:p w14:paraId="4FDD0B7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14</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F5142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双层工作台</w:t>
            </w:r>
          </w:p>
        </w:tc>
        <w:tc>
          <w:tcPr>
            <w:tcW w:w="14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B2A58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lang w:val="en-US"/>
              </w:rPr>
            </w:pPr>
            <w:r>
              <w:rPr>
                <w:rFonts w:hint="eastAsia" w:ascii="宋体" w:hAnsi="宋体" w:eastAsia="宋体" w:cs="宋体"/>
                <w:i w:val="0"/>
                <w:iCs w:val="0"/>
                <w:color w:val="000000"/>
                <w:kern w:val="0"/>
                <w:sz w:val="20"/>
                <w:szCs w:val="20"/>
                <w:highlight w:val="none"/>
                <w:u w:val="none"/>
                <w:lang w:val="en-US" w:eastAsia="zh-CN" w:bidi="ar"/>
              </w:rPr>
              <w:t>参考尺寸1800*700*800+150*40mm</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C0A73C">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材质选用304不锈钢板材</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1.台面：厚≥1.2mm，下配加强筋，侧板对台面垂直度（＜5mm），台面能应能承受100kg载荷，变形量（＜3mm）；</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2.层板：厚≥1.2mm，下配加强筋，层板能应能承受100kg载荷，变形量（＜3mm）；</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3.侧板：厚≥1.0mm不锈钢板；配掩门，门的材质厚≥0.8mm不锈钢板（门内夹层填充聚氨酯发泡材料）；</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4.支撑：配装4个不锈钢可调重力称重脚；</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5.工艺要求：产品焊接牢固，表面无明显划痕、锤印及烧痕，边角不允许有尖角和毛刺，焊点平滑均匀，无漏焊及沙眼，焊口处做好抛光防锈处理,产品在490N水平集中力的作用下，变形量（＜15mm），去除作用力后，其变形量（＜3mm）</w:t>
            </w:r>
          </w:p>
        </w:tc>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C6FDE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w:t>
            </w:r>
          </w:p>
        </w:tc>
        <w:tc>
          <w:tcPr>
            <w:tcW w:w="6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E1F19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台</w:t>
            </w:r>
          </w:p>
        </w:tc>
      </w:tr>
      <w:tr w14:paraId="76FB55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2" w:hRule="atLeast"/>
        </w:trPr>
        <w:tc>
          <w:tcPr>
            <w:tcW w:w="540" w:type="dxa"/>
            <w:tcBorders>
              <w:top w:val="single" w:color="000000" w:sz="4" w:space="0"/>
              <w:left w:val="single" w:color="000000" w:sz="4" w:space="0"/>
              <w:bottom w:val="single" w:color="000000" w:sz="4" w:space="0"/>
              <w:right w:val="nil"/>
            </w:tcBorders>
            <w:shd w:val="clear" w:color="auto" w:fill="auto"/>
            <w:noWrap/>
            <w:vAlign w:val="center"/>
          </w:tcPr>
          <w:p w14:paraId="279A1C7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15</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C2E5D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台上二层架</w:t>
            </w:r>
          </w:p>
        </w:tc>
        <w:tc>
          <w:tcPr>
            <w:tcW w:w="14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10CCC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lang w:val="en-US"/>
              </w:rPr>
            </w:pPr>
            <w:r>
              <w:rPr>
                <w:rFonts w:hint="eastAsia" w:ascii="宋体" w:hAnsi="宋体" w:eastAsia="宋体" w:cs="宋体"/>
                <w:i w:val="0"/>
                <w:iCs w:val="0"/>
                <w:color w:val="000000"/>
                <w:kern w:val="0"/>
                <w:sz w:val="20"/>
                <w:szCs w:val="20"/>
                <w:highlight w:val="none"/>
                <w:u w:val="none"/>
                <w:lang w:val="en-US" w:eastAsia="zh-CN" w:bidi="ar"/>
              </w:rPr>
              <w:t>参考尺寸1800*300*600mm</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2B25DD">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1.板材均选用304磨纱贴塑不锈钢板；</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2.台面厚度≥1.2mm；</w:t>
            </w:r>
          </w:p>
        </w:tc>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D618F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3</w:t>
            </w:r>
          </w:p>
        </w:tc>
        <w:tc>
          <w:tcPr>
            <w:tcW w:w="6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6592C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台</w:t>
            </w:r>
          </w:p>
        </w:tc>
      </w:tr>
      <w:tr w14:paraId="7AB912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8" w:hRule="atLeast"/>
        </w:trPr>
        <w:tc>
          <w:tcPr>
            <w:tcW w:w="540" w:type="dxa"/>
            <w:tcBorders>
              <w:top w:val="single" w:color="000000" w:sz="4" w:space="0"/>
              <w:left w:val="single" w:color="000000" w:sz="4" w:space="0"/>
              <w:bottom w:val="single" w:color="000000" w:sz="4" w:space="0"/>
              <w:right w:val="nil"/>
            </w:tcBorders>
            <w:shd w:val="clear" w:color="auto" w:fill="auto"/>
            <w:noWrap/>
            <w:vAlign w:val="center"/>
          </w:tcPr>
          <w:p w14:paraId="3FCEE54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16</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27BDB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双层工作台</w:t>
            </w:r>
          </w:p>
        </w:tc>
        <w:tc>
          <w:tcPr>
            <w:tcW w:w="14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063D8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lang w:val="en-US"/>
              </w:rPr>
            </w:pPr>
            <w:r>
              <w:rPr>
                <w:rFonts w:hint="eastAsia" w:ascii="宋体" w:hAnsi="宋体" w:eastAsia="宋体" w:cs="宋体"/>
                <w:i w:val="0"/>
                <w:iCs w:val="0"/>
                <w:color w:val="000000"/>
                <w:kern w:val="0"/>
                <w:sz w:val="20"/>
                <w:szCs w:val="20"/>
                <w:highlight w:val="none"/>
                <w:u w:val="none"/>
                <w:lang w:val="en-US" w:eastAsia="zh-CN" w:bidi="ar"/>
              </w:rPr>
              <w:t>参考尺寸1200*760*800+150*40mm</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057F4B">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材质选用304不锈钢板材</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1)台面：厚≥1.2mm，下配加强筋，侧板对台面垂直度（＜5mm），台面能应能承受100kg载荷，变形量（＜3mm）；</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2)层板：厚≥1.2mm，下配加强筋，层板能应能承受100kg载荷，变形量（＜3mm）；</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3)侧板：厚≥1.0mm不锈钢板；配掩门，门的材质厚≥0.8mm不锈钢板（门内夹层填充聚氨酯发泡材料）；</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4）支撑：配装4个不锈钢可调重力称重脚；</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5）工艺要求：产品焊接牢固，表面无明显划痕、锤印及烧痕，边角不允许有尖角和毛刺，焊点平滑均匀，无漏焊及沙眼，焊口处做好抛光防锈处理,产品在490N水平集中力的作用下，变形量（＜15mm），去除作用力后，其变形量（＜3mm）</w:t>
            </w:r>
          </w:p>
        </w:tc>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A36EB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w:t>
            </w:r>
          </w:p>
        </w:tc>
        <w:tc>
          <w:tcPr>
            <w:tcW w:w="6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5D8DB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台</w:t>
            </w:r>
          </w:p>
        </w:tc>
      </w:tr>
      <w:tr w14:paraId="1CB2D1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55" w:hRule="atLeast"/>
        </w:trPr>
        <w:tc>
          <w:tcPr>
            <w:tcW w:w="540" w:type="dxa"/>
            <w:tcBorders>
              <w:top w:val="single" w:color="000000" w:sz="4" w:space="0"/>
              <w:left w:val="single" w:color="000000" w:sz="4" w:space="0"/>
              <w:bottom w:val="single" w:color="000000" w:sz="4" w:space="0"/>
              <w:right w:val="nil"/>
            </w:tcBorders>
            <w:shd w:val="clear" w:color="auto" w:fill="auto"/>
            <w:noWrap/>
            <w:vAlign w:val="center"/>
          </w:tcPr>
          <w:p w14:paraId="01DF838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17</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2D819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四层货架</w:t>
            </w:r>
          </w:p>
        </w:tc>
        <w:tc>
          <w:tcPr>
            <w:tcW w:w="14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5DB60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lang w:val="en-US"/>
              </w:rPr>
            </w:pPr>
            <w:r>
              <w:rPr>
                <w:rFonts w:hint="eastAsia" w:ascii="宋体" w:hAnsi="宋体" w:eastAsia="宋体" w:cs="宋体"/>
                <w:i w:val="0"/>
                <w:iCs w:val="0"/>
                <w:color w:val="auto"/>
                <w:kern w:val="0"/>
                <w:sz w:val="20"/>
                <w:szCs w:val="20"/>
                <w:highlight w:val="none"/>
                <w:u w:val="none"/>
                <w:lang w:val="en-US" w:eastAsia="zh-CN" w:bidi="ar"/>
              </w:rPr>
              <w:t>参考尺寸1200*500*1550mm</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A016A6">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*整体采用SUS304不锈钢制作，平板厚度≥1.5mm；</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*立柱采用≥38×1.0mm厚不锈钢圆管；</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*配不锈钢可调子弹脚。</w:t>
            </w:r>
          </w:p>
        </w:tc>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C981A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w:t>
            </w:r>
          </w:p>
        </w:tc>
        <w:tc>
          <w:tcPr>
            <w:tcW w:w="6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F2A9B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台</w:t>
            </w:r>
          </w:p>
        </w:tc>
      </w:tr>
      <w:tr w14:paraId="08765C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73" w:hRule="atLeast"/>
        </w:trPr>
        <w:tc>
          <w:tcPr>
            <w:tcW w:w="540" w:type="dxa"/>
            <w:tcBorders>
              <w:top w:val="single" w:color="000000" w:sz="4" w:space="0"/>
              <w:left w:val="single" w:color="000000" w:sz="4" w:space="0"/>
              <w:bottom w:val="single" w:color="000000" w:sz="4" w:space="0"/>
              <w:right w:val="nil"/>
            </w:tcBorders>
            <w:shd w:val="clear" w:color="auto" w:fill="auto"/>
            <w:noWrap/>
            <w:vAlign w:val="center"/>
          </w:tcPr>
          <w:p w14:paraId="3DEA0E5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18</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47B65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洗地龙头</w:t>
            </w:r>
          </w:p>
        </w:tc>
        <w:tc>
          <w:tcPr>
            <w:tcW w:w="14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B4457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长度≥15米</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5843E8">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1.加厚不锈钢卷盘和基座，容易调整，挂墙式独立安装；</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2.弹簧合金，超过25kg拉力测试，铜制旋转接头，单手扳机，橡胶限位器，EPDM软管，长度≥15m。</w:t>
            </w:r>
          </w:p>
        </w:tc>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AD782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w:t>
            </w:r>
          </w:p>
        </w:tc>
        <w:tc>
          <w:tcPr>
            <w:tcW w:w="6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B5FB0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台</w:t>
            </w:r>
          </w:p>
        </w:tc>
      </w:tr>
      <w:tr w14:paraId="43ADAA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32" w:hRule="atLeast"/>
        </w:trPr>
        <w:tc>
          <w:tcPr>
            <w:tcW w:w="540" w:type="dxa"/>
            <w:tcBorders>
              <w:top w:val="single" w:color="000000" w:sz="4" w:space="0"/>
              <w:left w:val="single" w:color="000000" w:sz="4" w:space="0"/>
              <w:bottom w:val="single" w:color="000000" w:sz="4" w:space="0"/>
              <w:right w:val="nil"/>
            </w:tcBorders>
            <w:shd w:val="clear" w:color="auto" w:fill="auto"/>
            <w:noWrap/>
            <w:vAlign w:val="center"/>
          </w:tcPr>
          <w:p w14:paraId="5008DA4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19</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1258D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挡鼠板</w:t>
            </w:r>
          </w:p>
        </w:tc>
        <w:tc>
          <w:tcPr>
            <w:tcW w:w="14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04574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参考尺寸L=1.2m</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4B3D22">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1.板材均选用304磨纱贴塑不锈钢板；</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2.厚度≥1.2mm；</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3.h=0.6m（±1mm）</w:t>
            </w:r>
          </w:p>
        </w:tc>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3E7AF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w:t>
            </w:r>
          </w:p>
        </w:tc>
        <w:tc>
          <w:tcPr>
            <w:tcW w:w="6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E0B99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套</w:t>
            </w:r>
          </w:p>
        </w:tc>
      </w:tr>
      <w:tr w14:paraId="0840C6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94" w:hRule="atLeast"/>
        </w:trPr>
        <w:tc>
          <w:tcPr>
            <w:tcW w:w="540" w:type="dxa"/>
            <w:tcBorders>
              <w:top w:val="single" w:color="000000" w:sz="4" w:space="0"/>
              <w:left w:val="single" w:color="000000" w:sz="4" w:space="0"/>
              <w:bottom w:val="single" w:color="000000" w:sz="4" w:space="0"/>
              <w:right w:val="nil"/>
            </w:tcBorders>
            <w:shd w:val="clear" w:color="auto" w:fill="auto"/>
            <w:noWrap/>
            <w:vAlign w:val="center"/>
          </w:tcPr>
          <w:p w14:paraId="2B0DF8A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20</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49AC3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粘捕式灭蝇灯</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17F78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参考尺寸360*170*200mm</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6FA7A8">
            <w:pPr>
              <w:keepNext w:val="0"/>
              <w:keepLines w:val="0"/>
              <w:widowControl/>
              <w:numPr>
                <w:ilvl w:val="0"/>
                <w:numId w:val="0"/>
              </w:numPr>
              <w:suppressLineNumbers w:val="0"/>
              <w:jc w:val="left"/>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 xml:space="preserve">1.无声诱捕                                                      2.采用优质粘虫板，开封后能使用两周左右                                </w:t>
            </w:r>
          </w:p>
          <w:p w14:paraId="64C9E4C5">
            <w:pPr>
              <w:keepNext w:val="0"/>
              <w:keepLines w:val="0"/>
              <w:widowControl/>
              <w:numPr>
                <w:ilvl w:val="0"/>
                <w:numId w:val="0"/>
              </w:numPr>
              <w:suppressLineNumbers w:val="0"/>
              <w:ind w:left="0" w:leftChars="0" w:firstLine="0" w:firstLineChars="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3.电压：220V,功率≥8W*2                     </w:t>
            </w:r>
          </w:p>
        </w:tc>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1C812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3</w:t>
            </w:r>
          </w:p>
        </w:tc>
        <w:tc>
          <w:tcPr>
            <w:tcW w:w="6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89719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台</w:t>
            </w:r>
          </w:p>
        </w:tc>
      </w:tr>
      <w:tr w14:paraId="35BEC4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2" w:hRule="atLeast"/>
        </w:trPr>
        <w:tc>
          <w:tcPr>
            <w:tcW w:w="540" w:type="dxa"/>
            <w:tcBorders>
              <w:top w:val="single" w:color="000000" w:sz="4" w:space="0"/>
              <w:left w:val="single" w:color="000000" w:sz="4" w:space="0"/>
              <w:bottom w:val="single" w:color="000000" w:sz="4" w:space="0"/>
              <w:right w:val="nil"/>
            </w:tcBorders>
            <w:shd w:val="clear" w:color="auto" w:fill="auto"/>
            <w:noWrap/>
            <w:vAlign w:val="center"/>
          </w:tcPr>
          <w:p w14:paraId="097104E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21</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54815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紫外线杀菌灯</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EBB83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lang w:val="en-US"/>
              </w:rPr>
            </w:pPr>
            <w:r>
              <w:rPr>
                <w:rFonts w:hint="eastAsia" w:ascii="宋体" w:hAnsi="宋体" w:eastAsia="宋体" w:cs="宋体"/>
                <w:i w:val="0"/>
                <w:iCs w:val="0"/>
                <w:color w:val="000000"/>
                <w:kern w:val="0"/>
                <w:sz w:val="20"/>
                <w:szCs w:val="20"/>
                <w:highlight w:val="none"/>
                <w:u w:val="none"/>
                <w:lang w:val="en-US" w:eastAsia="zh-CN" w:bidi="ar"/>
              </w:rPr>
              <w:t>参考尺寸1213*28*28mm</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817EE6">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电压:220V</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功率≥36w灯管带底座；挂式</w:t>
            </w:r>
          </w:p>
        </w:tc>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5C711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w:t>
            </w:r>
          </w:p>
        </w:tc>
        <w:tc>
          <w:tcPr>
            <w:tcW w:w="6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51317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台</w:t>
            </w:r>
          </w:p>
        </w:tc>
      </w:tr>
      <w:tr w14:paraId="7B2911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540" w:type="dxa"/>
            <w:tcBorders>
              <w:top w:val="single" w:color="000000" w:sz="4" w:space="0"/>
              <w:left w:val="single" w:color="000000" w:sz="4" w:space="0"/>
              <w:bottom w:val="single" w:color="000000" w:sz="4" w:space="0"/>
              <w:right w:val="nil"/>
            </w:tcBorders>
            <w:shd w:val="clear" w:color="auto" w:fill="auto"/>
            <w:noWrap/>
            <w:vAlign w:val="center"/>
          </w:tcPr>
          <w:p w14:paraId="2B055EA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22</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0B9A3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电磁单眼大锅灶</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DDE0F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lang w:val="en-US"/>
              </w:rPr>
            </w:pPr>
            <w:r>
              <w:rPr>
                <w:rFonts w:hint="eastAsia" w:ascii="宋体" w:hAnsi="宋体" w:eastAsia="宋体" w:cs="宋体"/>
                <w:i w:val="0"/>
                <w:iCs w:val="0"/>
                <w:color w:val="000000"/>
                <w:kern w:val="0"/>
                <w:sz w:val="20"/>
                <w:szCs w:val="20"/>
                <w:highlight w:val="none"/>
                <w:u w:val="none"/>
                <w:lang w:val="en-US" w:eastAsia="zh-CN" w:bidi="ar"/>
              </w:rPr>
              <w:t>参考尺寸1200*1300*800mm</w:t>
            </w:r>
          </w:p>
        </w:tc>
        <w:tc>
          <w:tcPr>
            <w:tcW w:w="4746" w:type="dxa"/>
            <w:tcBorders>
              <w:top w:val="single" w:color="000000" w:sz="4" w:space="0"/>
              <w:left w:val="single" w:color="000000" w:sz="4" w:space="0"/>
              <w:bottom w:val="single" w:color="000000" w:sz="4" w:space="0"/>
              <w:right w:val="nil"/>
            </w:tcBorders>
            <w:shd w:val="clear" w:color="auto" w:fill="auto"/>
            <w:vAlign w:val="center"/>
          </w:tcPr>
          <w:p w14:paraId="62F66478">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1.额定输入电压380V，输出功率≥30kW，工作频率范围16kHz-40kHz，适应电网的范围290～450V，面板采用304不锈钢材质，厚度≥1.2mm,柜体采用厚度≥1.0mm不锈钢；</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2.锅具符合食品级材质，铁锅厚度≥3mm。</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3.一体化防水技术LED数码中文显示器，可目视化管理及直观操作，视觉冲击力强。同时，显示器具备电量累计每日，每周，每月，加热状态呈现由图标与加热中文显示，火力显示由数字与火力分布相互结合；</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4.设备启动进入自检模式，具备自动故障诊断功能；</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5.≥8档火力调节开关，火力可自由分配，实现微火、中火、猛火随意调节，火力大小显示器可同步显示；</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6.线盘组件采用紫铜耐高温阻燃漆包线，发热均匀，耐高温，散热效果好；</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7.模块化全封闭分层负压散热设计，防油烟、防湿气、防蟑螂到达三防效果；</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8.风机采用IPX7防水级、静音、产品专用冷风通道设计，采用高压直流风机；</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9.304食品级进出水模块水龙头、弯头，水龙头0～180°摇摆式，90°出水阀门铜芯，灵活支配；</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10.接线端关键部件使用防水型大电压大电流耐高温的PIN端子；</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11.原材料或配件等直接接触或非直接接触都是符合国家食品标准；</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▲、要求所投产品具有节能产品认证证书，并具有符合GB 40876-2021标准的一级能效检测报告及中国能效标识。</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▲、要求所投产品及关键部件（弯头、水龙头、水龙头密封圈）通过依据GB 4806.1-2016、GB 4806.9-2023、GB 4806.11-2016相关的检测报告和产品整机通过依据GB 4806.1-2016、GB 4806.9-2023、GB 4806.11-2016的食品接触产品安全认证证书和食品接触产品卫生认证证书+试验报告，需同时提供标注CMA或CNAS标识的检测报告复印件，以及证书在全国认证认可信息公共服务平台网站查询截图作为得分依据，否则不得分；</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▲、要求所投产品依据GB 21551.2-2010或GB/T21551.2-2024 家用和类似用途电器的抗菌、除菌、净化功能第 2 部分：抗菌材料的特殊要求，对大肠埃希氏菌、金黄色葡萄球菌金黄亚种进行抗菌性能检测，检测结果抗菌率&gt;99.99%；依据GB 21551.2-2010或GB/T21551.1-2024 家用和类似用途电器的抗菌、除菌、净化功能第 1 部分：通则，对大肠埃希氏菌、金黄色葡萄球菌金黄亚种进行抑菌环实验，检测结果抑菌环直径平均值为5mm；并依据GB 21551.1-2008, GB 21551.2-2010《产品抗菌认证实施规则家用和类似用途电器及商用电器》要求,具有产品抗菌性能认证证书，需同时提供标注CMA或CNAS标识的检测报告复印件，以及证书在全国认证认可信息公共服务平台网站查询截图作为得分依据，否则不得分；</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BB7C0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75CAA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台</w:t>
            </w:r>
          </w:p>
        </w:tc>
      </w:tr>
      <w:tr w14:paraId="20ABCF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919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1BE116CE">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b/>
                <w:bCs/>
                <w:i w:val="0"/>
                <w:iCs w:val="0"/>
                <w:color w:val="000000"/>
                <w:kern w:val="0"/>
                <w:sz w:val="20"/>
                <w:szCs w:val="20"/>
                <w:highlight w:val="none"/>
                <w:u w:val="none"/>
                <w:lang w:val="en-US" w:eastAsia="zh-CN" w:bidi="ar"/>
              </w:rPr>
              <w:t>面点制作间</w:t>
            </w:r>
          </w:p>
        </w:tc>
      </w:tr>
      <w:tr w14:paraId="4C82ED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8"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830AA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A2BB6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双星水池柜</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70716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lang w:val="en-US"/>
              </w:rPr>
            </w:pPr>
            <w:r>
              <w:rPr>
                <w:rFonts w:hint="eastAsia" w:ascii="宋体" w:hAnsi="宋体" w:eastAsia="宋体" w:cs="宋体"/>
                <w:i w:val="0"/>
                <w:iCs w:val="0"/>
                <w:color w:val="000000"/>
                <w:kern w:val="0"/>
                <w:sz w:val="20"/>
                <w:szCs w:val="20"/>
                <w:highlight w:val="none"/>
                <w:u w:val="none"/>
                <w:lang w:val="en-US" w:eastAsia="zh-CN" w:bidi="ar"/>
              </w:rPr>
              <w:t>参考尺寸1200*760*800mm</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7304A0">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材质选用304不锈钢板材</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1.台面：采用厚≥1.5mm，星盆：采用厚≥1.2mm，星盆参考尺寸400*400*280mm，防溅板（斜口）立背（垂直度＜2mm），水槽底部能承受100kg载荷（变形量＜3mm）；</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2.柜身采用厚≥1.2mm不锈钢板，门为掩门结构，一体折边扣手，上配门吸，内侧封板闭合，下配4个不锈钢可调子弹脚，立柱与台面（垂直度＜5mm）；</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3.选配：不锈钢下水口1个；</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4.工艺要求：产品焊接牢固，表面无明显划痕、锤印及烧痕，边角不允许有尖角和毛刺，焊点平滑均匀，无漏焊及沙眼，焊口处做好抛光防锈处理；</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1CACE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97D32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台</w:t>
            </w:r>
          </w:p>
        </w:tc>
      </w:tr>
      <w:tr w14:paraId="4521BA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73"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9099C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44EFD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冷热水龙头</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4758B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铜芯</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1AD9A0">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1.座台式双孔双温、主体黄铜铸造表面抛光镀铬处理。</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2.配1/4转优质陶瓷阀芯一字型手柄。</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3.八寸（203mm）水嘴，铜管厚度≥1.1mm, 360度可旋转。</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★4.提供节水认证</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AAB94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2F696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套</w:t>
            </w:r>
          </w:p>
        </w:tc>
      </w:tr>
      <w:tr w14:paraId="00CD74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32"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742B2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4</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6E6B3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木案工作台</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6D5A9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lang w:val="en-US"/>
              </w:rPr>
            </w:pPr>
            <w:r>
              <w:rPr>
                <w:rFonts w:hint="eastAsia" w:ascii="宋体" w:hAnsi="宋体" w:eastAsia="宋体" w:cs="宋体"/>
                <w:i w:val="0"/>
                <w:iCs w:val="0"/>
                <w:color w:val="000000"/>
                <w:kern w:val="0"/>
                <w:sz w:val="20"/>
                <w:szCs w:val="20"/>
                <w:highlight w:val="none"/>
                <w:u w:val="none"/>
                <w:lang w:val="en-US" w:eastAsia="zh-CN" w:bidi="ar"/>
              </w:rPr>
              <w:t>参考尺寸1800*800*800mm</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511952">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台面优质木板，厚度≥50mm；采用304不锈钢板、立柱采用φ48不锈钢管，壁厚≥1.0mm；层板采用不锈钢板制作，板厚≥1.5mm；调节脚采用全金属外包不锈钢可调式子弹脚。</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82DD4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99864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台</w:t>
            </w:r>
          </w:p>
        </w:tc>
      </w:tr>
      <w:tr w14:paraId="7BB211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95"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B8ACD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5</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080CC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面粉车</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826B4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lang w:val="en-US"/>
              </w:rPr>
            </w:pPr>
            <w:r>
              <w:rPr>
                <w:rFonts w:hint="eastAsia" w:ascii="宋体" w:hAnsi="宋体" w:eastAsia="宋体" w:cs="宋体"/>
                <w:i w:val="0"/>
                <w:iCs w:val="0"/>
                <w:color w:val="000000"/>
                <w:kern w:val="0"/>
                <w:sz w:val="20"/>
                <w:szCs w:val="20"/>
                <w:highlight w:val="none"/>
                <w:u w:val="none"/>
                <w:lang w:val="en-US" w:eastAsia="zh-CN" w:bidi="ar"/>
              </w:rPr>
              <w:t>参考尺寸500*500*500mm</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0EEBA9">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材质选用304不锈钢板材</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1.车身厚≥1.5mm不锈钢板，接口满焊；</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2.盖板厚≥1.2mm不锈钢板，为活动合页盖板，可两侧翻盖对开；</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3.车辆装配φ100mm万向静音轮4个，2个带刹车；</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4.工艺要求：产品焊接牢固，表面无明显划痕、锤印及烧痕，边角不允许有尖角和毛刺，焊点平滑均匀，无漏焊及沙眼，焊口处做好抛光防锈处理；</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32D74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89F92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台</w:t>
            </w:r>
          </w:p>
        </w:tc>
      </w:tr>
      <w:tr w14:paraId="34129D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32"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32644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6</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E5B8E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打蛋机</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BFD79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lang w:val="en-US"/>
              </w:rPr>
            </w:pPr>
            <w:r>
              <w:rPr>
                <w:rFonts w:hint="eastAsia" w:ascii="宋体" w:hAnsi="宋体" w:eastAsia="宋体" w:cs="宋体"/>
                <w:i w:val="0"/>
                <w:iCs w:val="0"/>
                <w:color w:val="000000"/>
                <w:kern w:val="0"/>
                <w:sz w:val="20"/>
                <w:szCs w:val="20"/>
                <w:highlight w:val="none"/>
                <w:u w:val="none"/>
                <w:lang w:val="en-US" w:eastAsia="zh-CN" w:bidi="ar"/>
              </w:rPr>
              <w:t>容量≥30L</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16D5E9">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1.电压：220V,功率≥2.2kw 纯铜线电机、220V；</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2.配缸、球、扇；</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3.搅拌速度：46/100/156rpm；</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631A7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1E1B9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台</w:t>
            </w:r>
          </w:p>
        </w:tc>
      </w:tr>
      <w:tr w14:paraId="6ED827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32"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BE246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7</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6416C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压面机）</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3DCA7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kern w:val="0"/>
                <w:sz w:val="20"/>
                <w:szCs w:val="20"/>
                <w:highlight w:val="none"/>
                <w:u w:val="none"/>
                <w:lang w:val="en-US" w:eastAsia="zh-CN" w:bidi="ar"/>
              </w:rPr>
              <w:t>功率≥2.2kw</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BAFBB4">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优质钢棍，不锈钢面斗及托盘；尼龙轮传动，噪音低，运行平稳；面片宽度265mm，面条宽度2mm/3mm，转速37r/min,功率≥2.2kw/电压：380V。</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245BD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67CBE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台</w:t>
            </w:r>
          </w:p>
        </w:tc>
      </w:tr>
      <w:tr w14:paraId="619BC8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2"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0D0CE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8</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8A046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揉面机</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F4BB3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功率≥2.2KW</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EF7C3A">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 不锈钢，压面辊304不锈钢材质，输送带防跑偏，设备功率≥2.2KW/电压：380V。</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66230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7453D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台</w:t>
            </w:r>
          </w:p>
        </w:tc>
      </w:tr>
      <w:tr w14:paraId="4DCD5F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32"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9F177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9</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381CC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木案工作台</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05B37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lang w:val="en-US"/>
              </w:rPr>
            </w:pPr>
            <w:r>
              <w:rPr>
                <w:rFonts w:hint="eastAsia" w:ascii="宋体" w:hAnsi="宋体" w:eastAsia="宋体" w:cs="宋体"/>
                <w:i w:val="0"/>
                <w:iCs w:val="0"/>
                <w:color w:val="000000"/>
                <w:kern w:val="0"/>
                <w:sz w:val="20"/>
                <w:szCs w:val="20"/>
                <w:highlight w:val="none"/>
                <w:u w:val="none"/>
                <w:lang w:val="en-US" w:eastAsia="zh-CN" w:bidi="ar"/>
              </w:rPr>
              <w:t>参考尺寸1500*800*800mm</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D7C267">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台面优质木板，厚度≥50mm；采用304不锈钢板、立柱采用φ48不锈钢管，壁厚≥1.0mm；层板采用不锈钢板制作，板厚≥1.5mm；调节脚采用全金属外包不锈钢可调式子弹脚。</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7E341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F76EF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台</w:t>
            </w:r>
          </w:p>
        </w:tc>
      </w:tr>
      <w:tr w14:paraId="09E42D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32"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38539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10</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1160D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和面机</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4B6A8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参考尺寸930*680*970mm</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2F925F">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生产量≥50KG/次，采用优质加厚304不锈钢板材，轴承加轴套结构免保养，传动平稳，低噪音，电机自带过载保护功能；电压：380V,额定功率≥2.2KW。</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EC725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335C3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台</w:t>
            </w:r>
          </w:p>
        </w:tc>
      </w:tr>
      <w:tr w14:paraId="350627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73"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DFBE6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11</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C4F2A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食品添加剂吊柜</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9F660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lang w:val="en-US"/>
              </w:rPr>
            </w:pPr>
            <w:r>
              <w:rPr>
                <w:rFonts w:hint="eastAsia" w:ascii="宋体" w:hAnsi="宋体" w:eastAsia="宋体" w:cs="宋体"/>
                <w:i w:val="0"/>
                <w:iCs w:val="0"/>
                <w:color w:val="000000"/>
                <w:kern w:val="0"/>
                <w:sz w:val="20"/>
                <w:szCs w:val="20"/>
                <w:highlight w:val="none"/>
                <w:u w:val="none"/>
                <w:lang w:val="en-US" w:eastAsia="zh-CN" w:bidi="ar"/>
              </w:rPr>
              <w:t>参考尺寸1000*350*600mm</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288D40">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1.整体采用SUS304不锈钢制作；</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2.采用优质密码锁；</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3.层板、底板、侧板及门面采用厚≥1.0mm不锈钢板制作；</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4.加强筋厚度≥1.5mm，挂墙式固定。</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60F97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BA5B6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台</w:t>
            </w:r>
          </w:p>
        </w:tc>
      </w:tr>
      <w:tr w14:paraId="5E0DEE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4"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1888C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12</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C3FFD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四门双温高身冷柜</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664D2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lang w:val="en-US"/>
              </w:rPr>
            </w:pPr>
            <w:r>
              <w:rPr>
                <w:rFonts w:hint="eastAsia" w:ascii="宋体" w:hAnsi="宋体" w:eastAsia="宋体" w:cs="宋体"/>
                <w:i w:val="0"/>
                <w:iCs w:val="0"/>
                <w:color w:val="000000"/>
                <w:kern w:val="0"/>
                <w:sz w:val="20"/>
                <w:szCs w:val="20"/>
                <w:highlight w:val="none"/>
                <w:u w:val="none"/>
                <w:lang w:val="en-US" w:eastAsia="zh-CN" w:bidi="ar"/>
              </w:rPr>
              <w:t>参考尺寸1200*700*1950mm</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0EF3C1">
            <w:pPr>
              <w:keepNext w:val="0"/>
              <w:keepLines w:val="0"/>
              <w:widowControl/>
              <w:numPr>
                <w:ilvl w:val="0"/>
                <w:numId w:val="0"/>
              </w:numPr>
              <w:suppressLineNumbers w:val="0"/>
              <w:jc w:val="left"/>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1.门体及功能配置：四门发泡门冷藏冷冻柜</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2.制冷方式：风冷；温度范围：2~8℃/-15~-18℃</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3.容积：≥1000L；电压：AC220v/50Hz；功率≥550W；</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4.全自动电子温控器，LED温度显示屏</w:t>
            </w:r>
          </w:p>
          <w:p w14:paraId="5569321C">
            <w:pPr>
              <w:keepNext w:val="0"/>
              <w:keepLines w:val="0"/>
              <w:widowControl/>
              <w:numPr>
                <w:ilvl w:val="0"/>
                <w:numId w:val="0"/>
              </w:numPr>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5.柜内外优质不锈钢材质</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6.环戊烷聚胺脂隔热保温材料；保温层厚度≥60mm；发泡密度≥40kg/m³；</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7.制冷剂：R290；（冷凝器蒸发器）制冷系统全铜管制造；</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 xml:space="preserve">8.＜90度，门体自动回归；                              </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9.带物联网功能</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4FE1C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FD684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台</w:t>
            </w:r>
          </w:p>
        </w:tc>
      </w:tr>
      <w:tr w14:paraId="626E22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92"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9836B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13</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43F25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粘捕式灭蝇灯</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5D44E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参考尺寸360*170*200mm</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467708">
            <w:pPr>
              <w:keepNext w:val="0"/>
              <w:keepLines w:val="0"/>
              <w:widowControl/>
              <w:numPr>
                <w:ilvl w:val="0"/>
                <w:numId w:val="0"/>
              </w:numPr>
              <w:suppressLineNumbers w:val="0"/>
              <w:jc w:val="left"/>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 xml:space="preserve">1.无声诱捕                                                      2.采用优质粘虫板，开封后能使用两周左右                                </w:t>
            </w:r>
          </w:p>
          <w:p w14:paraId="4C33C682">
            <w:pPr>
              <w:keepNext w:val="0"/>
              <w:keepLines w:val="0"/>
              <w:widowControl/>
              <w:numPr>
                <w:ilvl w:val="0"/>
                <w:numId w:val="0"/>
              </w:numPr>
              <w:suppressLineNumbers w:val="0"/>
              <w:ind w:left="0" w:leftChars="0" w:firstLine="0" w:firstLineChars="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3.电压：220V,功率≥8W*2                     </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3F848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D3F53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台</w:t>
            </w:r>
          </w:p>
        </w:tc>
      </w:tr>
      <w:tr w14:paraId="4D27DC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2"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77B68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14</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7EC06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紫外线杀菌灯</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2E509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lang w:val="en-US"/>
              </w:rPr>
            </w:pPr>
            <w:r>
              <w:rPr>
                <w:rFonts w:hint="eastAsia" w:ascii="宋体" w:hAnsi="宋体" w:eastAsia="宋体" w:cs="宋体"/>
                <w:i w:val="0"/>
                <w:iCs w:val="0"/>
                <w:color w:val="000000"/>
                <w:kern w:val="0"/>
                <w:sz w:val="20"/>
                <w:szCs w:val="20"/>
                <w:highlight w:val="none"/>
                <w:u w:val="none"/>
                <w:lang w:val="en-US" w:eastAsia="zh-CN" w:bidi="ar"/>
              </w:rPr>
              <w:t>参考尺寸1213*28*28mm</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9288D3">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电压:220V</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功率≥36w灯管带底座；挂式</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3E6E3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44DB2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台</w:t>
            </w:r>
          </w:p>
        </w:tc>
      </w:tr>
      <w:tr w14:paraId="2F32F8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919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12452D10">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b/>
                <w:bCs/>
                <w:i w:val="0"/>
                <w:iCs w:val="0"/>
                <w:color w:val="000000"/>
                <w:kern w:val="0"/>
                <w:sz w:val="20"/>
                <w:szCs w:val="20"/>
                <w:highlight w:val="none"/>
                <w:u w:val="none"/>
                <w:lang w:val="en-US" w:eastAsia="zh-CN" w:bidi="ar"/>
              </w:rPr>
              <w:t>面点间</w:t>
            </w:r>
          </w:p>
        </w:tc>
      </w:tr>
      <w:tr w14:paraId="3F3AE7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98"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8F80B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CC371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灶间拼台</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FE499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lang w:val="en-US"/>
              </w:rPr>
            </w:pPr>
            <w:r>
              <w:rPr>
                <w:rFonts w:hint="eastAsia" w:ascii="宋体" w:hAnsi="宋体" w:eastAsia="宋体" w:cs="宋体"/>
                <w:i w:val="0"/>
                <w:iCs w:val="0"/>
                <w:color w:val="000000"/>
                <w:kern w:val="0"/>
                <w:sz w:val="20"/>
                <w:szCs w:val="20"/>
                <w:highlight w:val="none"/>
                <w:u w:val="none"/>
                <w:lang w:val="en-US" w:eastAsia="zh-CN" w:bidi="ar"/>
              </w:rPr>
              <w:t>参考尺寸300*800*800mm</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27B78D">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材质选用304不锈钢板材</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1.台面：厚≥1.5mm，下配加强筋，侧板对台面垂直度（＜5mm），台面能应能承受100kg载荷，变形量（＜3mm）；</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2.层板：厚≥1.2mm，下配加强筋，层板能应能承受100kg载荷，变形量（＜3mm）；</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3.侧板：厚≥1.0mm不锈钢板；配掩门，门的材质厚≥0.8mm不锈钢板（门内夹层填充聚氨酯发泡材料）；</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4.支撑：配装4个不锈钢可调重力称重脚；</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5.工艺要求：产品焊接牢固，表面无明显划痕、锤印及烧痕，边角不允许有尖角和毛刺，焊点平滑均匀，无漏焊及沙眼，焊口处做好抛光防锈处理,产品在490N水平集中力的作用下，变形量（＜15mm），去除作用力后，其变形量（＜3mm）</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7EF2A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3A2F1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台</w:t>
            </w:r>
          </w:p>
        </w:tc>
      </w:tr>
      <w:tr w14:paraId="0C4802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54"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E38B6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5960D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电饼铛</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6CA72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lang w:val="en-US" w:eastAsia="zh-CN"/>
              </w:rPr>
            </w:pPr>
            <w:r>
              <w:rPr>
                <w:rFonts w:hint="eastAsia" w:ascii="宋体" w:hAnsi="宋体" w:eastAsia="宋体" w:cs="宋体"/>
                <w:i w:val="0"/>
                <w:iCs w:val="0"/>
                <w:color w:val="auto"/>
                <w:kern w:val="0"/>
                <w:sz w:val="20"/>
                <w:szCs w:val="20"/>
                <w:highlight w:val="none"/>
                <w:u w:val="none"/>
                <w:lang w:val="en-US" w:eastAsia="zh-CN" w:bidi="ar"/>
              </w:rPr>
              <w:t>功率≥5KW</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A56F0D">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1.双面加热，加厚盘壁，自动恒温  </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2.采用优质不锈钢制作</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3.额定电压: 380V，功率≥5KW.</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4.热面直径:450-530mm</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5.内高:约20mm</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6.温度范围：50-250℃</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F2E3C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6</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72489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台</w:t>
            </w:r>
          </w:p>
        </w:tc>
      </w:tr>
      <w:tr w14:paraId="264E24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32"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A6CD3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3</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55745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木案工作台</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B25A7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lang w:val="en-US"/>
              </w:rPr>
            </w:pPr>
            <w:r>
              <w:rPr>
                <w:rFonts w:hint="eastAsia" w:ascii="宋体" w:hAnsi="宋体" w:eastAsia="宋体" w:cs="宋体"/>
                <w:i w:val="0"/>
                <w:iCs w:val="0"/>
                <w:color w:val="000000"/>
                <w:kern w:val="0"/>
                <w:sz w:val="20"/>
                <w:szCs w:val="20"/>
                <w:highlight w:val="none"/>
                <w:u w:val="none"/>
                <w:lang w:val="en-US" w:eastAsia="zh-CN" w:bidi="ar"/>
              </w:rPr>
              <w:t>参考尺寸1800*800*800mm</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18816F">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台面优质木板，厚度≥50mm；采用304不锈钢板、立柱采用φ48不锈钢管，壁厚≥1.0mm；层板采用不锈钢板制作，板厚≥1.5mm；调节脚采用全金属外包不锈钢可调式子弹脚。</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6B296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A026F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台</w:t>
            </w:r>
          </w:p>
        </w:tc>
      </w:tr>
      <w:tr w14:paraId="1520E4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95"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0FB6B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4</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0EED3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面粉车</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BBB96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lang w:val="en-US"/>
              </w:rPr>
            </w:pPr>
            <w:r>
              <w:rPr>
                <w:rFonts w:hint="eastAsia" w:ascii="宋体" w:hAnsi="宋体" w:eastAsia="宋体" w:cs="宋体"/>
                <w:i w:val="0"/>
                <w:iCs w:val="0"/>
                <w:color w:val="000000"/>
                <w:kern w:val="0"/>
                <w:sz w:val="20"/>
                <w:szCs w:val="20"/>
                <w:highlight w:val="none"/>
                <w:u w:val="none"/>
                <w:lang w:val="en-US" w:eastAsia="zh-CN" w:bidi="ar"/>
              </w:rPr>
              <w:t>参考尺寸500*500*500mm</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0D819C">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材质选用304不锈钢板材</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1.车身≥1.5mm厚不锈钢板，接口满焊；</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2.盖板≥1.2mm厚不锈钢板，为活动合页盖板，可两侧翻盖对开；；</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3.车辆装配φ100mm万向静音轮4个，2个带刹车；</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4.工艺要求：产品焊接牢固，表面无明显划痕、锤印及烧痕，边角不允许有尖角和毛刺，焊点平滑均匀，无漏焊及沙眼，焊口处做好抛光防锈处理；</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92A87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4F2A8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台</w:t>
            </w:r>
          </w:p>
        </w:tc>
      </w:tr>
      <w:tr w14:paraId="7362D2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98"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BD1A9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5</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F2250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双层工作台</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173E4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lang w:val="en-US"/>
              </w:rPr>
            </w:pPr>
            <w:r>
              <w:rPr>
                <w:rFonts w:hint="eastAsia" w:ascii="宋体" w:hAnsi="宋体" w:eastAsia="宋体" w:cs="宋体"/>
                <w:i w:val="0"/>
                <w:iCs w:val="0"/>
                <w:color w:val="000000"/>
                <w:kern w:val="0"/>
                <w:sz w:val="20"/>
                <w:szCs w:val="20"/>
                <w:highlight w:val="none"/>
                <w:u w:val="none"/>
                <w:lang w:val="en-US" w:eastAsia="zh-CN" w:bidi="ar"/>
              </w:rPr>
              <w:t>参考尺寸1800*800*800+150*40mm</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86792">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材质选用304不锈钢板材</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1.台面：厚≥1.5mm，下配加强筋，侧板对台面垂直度（＜5mm），台面能应能承受100kg载荷，变形量（＜3mm）；</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2.层板：厚≥1.2mm，下配加强筋，层板能应能承受100kg载荷，变形量（＜3mm）；</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3.侧板：厚≥1.0mm不锈钢板；配掩门，门的材质厚≥0.8mm不锈钢板（门内夹层填充聚氨酯发泡材料）；</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4.支撑：配装4个不锈钢可调重力称重脚；</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5.工艺要求：产品焊接牢固，表面无明显划痕、锤印及烧痕，边角不允许有尖角和毛刺，焊点平滑均匀，无漏焊及沙眼，焊口处做好抛光防锈处理,产品在490N水平集中力的作用下，变形量（＜15mm），去除作用力后，其变形量（＜3mm）</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176BC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87769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台</w:t>
            </w:r>
          </w:p>
        </w:tc>
      </w:tr>
      <w:tr w14:paraId="40D185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98"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27FBD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6</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6083A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双层工作台</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870AA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lang w:val="en-US"/>
              </w:rPr>
            </w:pPr>
            <w:r>
              <w:rPr>
                <w:rFonts w:hint="eastAsia" w:ascii="宋体" w:hAnsi="宋体" w:eastAsia="宋体" w:cs="宋体"/>
                <w:i w:val="0"/>
                <w:iCs w:val="0"/>
                <w:color w:val="000000"/>
                <w:kern w:val="0"/>
                <w:sz w:val="20"/>
                <w:szCs w:val="20"/>
                <w:highlight w:val="none"/>
                <w:u w:val="none"/>
                <w:lang w:val="en-US" w:eastAsia="zh-CN" w:bidi="ar"/>
              </w:rPr>
              <w:t>参考尺寸1500*800*800+150*40mm</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21C84A">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材质选用304不锈钢板材</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1.台面：厚≥1.5mm，下配加强筋，侧板对台面垂直度（＜5mm），台面能应能承受100kg载荷，变形量（＜3mm）；</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2.层板：厚≥1.2mm，下配加强筋，层板能应能承受100kg载荷，变形量（＜3mm）；</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3.侧板：厚≥1.0mm不锈钢板；配掩门，门的材质厚≥0.8mm不锈钢板（门内夹层填充聚氨酯发泡材料）；</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4.支撑：配装4个不锈钢可调重力称重脚；</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5.工艺要求：产品焊接牢固，表面无明显划痕、锤印及烧痕，边角不允许有尖角和毛刺，焊点平滑均匀，无漏焊及沙眼，焊口处做好抛光防锈处理,产品在490N水平集中力的作用下，变形量（＜15mm），去除作用力后，其变形量（＜3mm）</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33D7E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9ECDF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台</w:t>
            </w:r>
          </w:p>
        </w:tc>
      </w:tr>
      <w:tr w14:paraId="5DF685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47"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3B07C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7</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F5FFC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三层六盘焗炉</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1541D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三层六盘</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829871">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1.柜体为不锈钢材质；控温范围：0—300℃;</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2.烤盘参考尺寸：600mm*400mm；</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3.电压：380v，功率≥21Kw</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3FBF5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27D1B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台</w:t>
            </w:r>
          </w:p>
        </w:tc>
      </w:tr>
      <w:tr w14:paraId="121858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2"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90156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8</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FB36B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发酵箱（冷藏）</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085AB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双门</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74D586">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1.机电功率≥1.8kw/电压：220V；</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2.不锈钢柜身，带压缩机；</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3B51F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0F3A4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台</w:t>
            </w:r>
          </w:p>
        </w:tc>
      </w:tr>
      <w:tr w14:paraId="4A0783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16"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4EB18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9</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FE3B1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电磁双门双控蒸饭柜</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29923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48盘</w:t>
            </w:r>
          </w:p>
        </w:tc>
        <w:tc>
          <w:tcPr>
            <w:tcW w:w="4746" w:type="dxa"/>
            <w:tcBorders>
              <w:top w:val="single" w:color="000000" w:sz="4" w:space="0"/>
              <w:left w:val="single" w:color="000000" w:sz="4" w:space="0"/>
              <w:bottom w:val="single" w:color="000000" w:sz="4" w:space="0"/>
              <w:right w:val="nil"/>
            </w:tcBorders>
            <w:shd w:val="clear" w:color="auto" w:fill="auto"/>
            <w:vAlign w:val="center"/>
          </w:tcPr>
          <w:p w14:paraId="2024619A">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1.额定输入电压380V，输出功率≥25kW*2，工作频率范围16kHz-40kHz，适应电网的范围290～450V，面板采用304不锈钢材质，厚度≥1.2mm不锈钢,柜体采用厚度≥1.0mm不锈钢；</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2.发泡密度达到80%</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3.一体化LED数码中文显示，可目视化管理及直观操作，视觉冲击力强；</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4.线盘组件采用紫铜耐高温阻燃漆包线，发热均匀，耐高温，散热效果好，线序布局美观同时使用寿命长；</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5.风机采用IPX7防水级、静音、产品专用冷风通道设计，散热性强，高压直流风机；</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6.带有缺水保护装置，可自动补水。带防干烧功能，带防溢水功能，带防臭功能。</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7.水胆底部材质食品级430,厚度≥7mm,四周≥1.5mm,304材质,长时间使用水胆不变形,不漏水。</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8.水胆分冷水区和热水区，减少浮球震动，浮球使用寿命长。</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9.水胆采用可拆卸密闭式水箱，先储存蒸汽，再集中出蒸汽，出汽量大，可定期打开水胆盖板清洗水垢。</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10.保温隔热性好：上柜满焊工艺，隔热棉保温，柜门发泡。</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11.维修更方便:采用模块化设计，维修更方便。</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▲、要求所投产品及关键部件（内胆、弯头、柜门密封胶条）通过依据GB 4806.1-2016、GB 4806.9-2023、GB 4806.11-2016相关的检测报告和产品整机通过依据GB 4806.1-2016、GB 4806.9-2023、GB 4806.11-2016的食品接触产品安全认证证书和食品接触产品卫生认证证书+试验报告，需同时提供标注CMA或CNAS标识的检测报告复印件，以及证书可以在全国认证认可信息公共服务平台网站查询截图；</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要求所投产品的锅底温度传感器通过检测：①高温试验：试验温度(300±2)℃，实验时间≥24h，试验后，检测结果功能正常，符合GB/T2423.2-2008标准。②低温试验：试验温度（-20±2）℃，实验时间≥24h，试验后，检测结果功能正常，符合GB/T2423.1-2008标准。③恒定湿热试验：试验温度(85+2)℃，相对湿度(96+2)%RH，实验时间≥24h，试验后，检测结果功能正常，符合GB/T2423.3-2016标准。需同时提供标注CMA或CNAS标识的检测报告复印件。</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3A16C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F946B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台</w:t>
            </w:r>
          </w:p>
        </w:tc>
      </w:tr>
      <w:tr w14:paraId="69E88AA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8"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48E5F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10</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7FD32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饼盘车</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A4CF2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lang w:val="en-US"/>
              </w:rPr>
            </w:pPr>
            <w:r>
              <w:rPr>
                <w:rFonts w:hint="eastAsia" w:ascii="宋体" w:hAnsi="宋体" w:eastAsia="宋体" w:cs="宋体"/>
                <w:i w:val="0"/>
                <w:iCs w:val="0"/>
                <w:color w:val="000000"/>
                <w:kern w:val="0"/>
                <w:sz w:val="20"/>
                <w:szCs w:val="20"/>
                <w:highlight w:val="none"/>
                <w:u w:val="none"/>
                <w:lang w:val="en-US" w:eastAsia="zh-CN" w:bidi="ar"/>
              </w:rPr>
              <w:t>参考尺寸470*620*1800mm</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CCD324">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材质选用304不锈钢板材</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1）框架：采用≥38mm*38mm*1.5mm厚不锈钢管，接口满焊，立柱与地面（垂直度＜2mm），车架后部有活动插杆放置托盘移动，侧边有≥25*25*1.2厚不锈钢方管做支撑，前部用≥8mm不锈钢圆枝做活动锁挡，防止车辆在移动过程中脱落；</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 xml:space="preserve">2）承托架≥1.2mm不锈钢板折弯90°焊接，承托片承受100kg载荷（变形量＜3mm）； </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3）车辆装配φ100mm万向静音轮4个，2个带刹车；</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4）工艺要求：产品焊接牢固，表面无明显划痕、锤印及烧痕，边角不允许有尖角和毛刺，焊点平滑均匀，无漏焊及沙眼，焊口处做好抛光防锈处理；</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06EE8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4</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23FD1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台</w:t>
            </w:r>
          </w:p>
        </w:tc>
      </w:tr>
      <w:tr w14:paraId="7A87D5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549"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93E5A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11</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8D789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油烟净化一体机</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F18DD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lang w:val="en-US"/>
              </w:rPr>
            </w:pPr>
            <w:r>
              <w:rPr>
                <w:rFonts w:hint="eastAsia" w:ascii="宋体" w:hAnsi="宋体" w:eastAsia="宋体" w:cs="宋体"/>
                <w:i w:val="0"/>
                <w:iCs w:val="0"/>
                <w:color w:val="000000"/>
                <w:kern w:val="0"/>
                <w:sz w:val="20"/>
                <w:szCs w:val="20"/>
                <w:highlight w:val="none"/>
                <w:u w:val="none"/>
                <w:lang w:val="en-US" w:eastAsia="zh-CN" w:bidi="ar"/>
              </w:rPr>
              <w:t>参考尺寸4700*1000*850mm</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8A895F">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1.智能升降式一体净化烟罩控制系统由主控制面板、电源模块、风幕控制模块、照明控制模块、净化模块、排风模块、一键升降等模块组成，采用触摸式一键开启、逐个开启和无接触手势感应启动等多种方式，能自由独立控制设备单个或多个功能；       </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2.智能升降式一体净化烟罩采用食品级不锈钢材料制造，完全符合食品卫生级标准，烟罩安装高度可≤2000mm不影响排烟效果，排烟罩设有污油凝结槽并设活动集油器或清洗排污口，耐酸、耐碱、耐温、阻燃、耐磨、耐拉厨房排油烟设备等功能；</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3.智能升降式一体净化烟罩分段制作，分体式结构，罩体可自由拆卸，多个单元自由拼装，可拆式双层通风侧板，不锈钢螺丝连接拼装，现场安装简单方便，无需现场焊接，美观牢固；</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4.智能升降功能关键解决静电电场的日常维护，大大提升了产品的使用寿命，一键式升降功能将电场直接降落于炉灶上方，直接可取出清洗和简便安装，避免登高作业所带来的安全隐患，一键式升降功能将所有的日常维护和售后维护都集成于罩体下方完成；</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5.配备独立控制的捕捉风幕设计，专用捕捉气流静音风扇、旋风式均流网、内侧捕射气流，具备集烟射流喷气技术，捕捉气流可有效捕获和克制油烟、蒸汽和热能的外溢，每平方米排风量可控制到1500m³/h以内，有效提升排风效果达到节能的功效；</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6.配有高速动态屏蔽器，高速旋转时产生的离心力对油烟、水汽等中的油脂颗粒进行动态拦截，纯物理净化，高效分离油烟中油、气，安全高效净化油烟；</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 7.智能排烟罩高效除油除烟，确保排放达到国家标准，并提供检测报告                                           8.电压：380V，功率≥3KW*2</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367B2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4.7</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AA15A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米</w:t>
            </w:r>
          </w:p>
        </w:tc>
      </w:tr>
      <w:tr w14:paraId="431211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549"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CE5E4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12</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F75FC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油烟净化一体机</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24F80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lang w:val="en-US"/>
              </w:rPr>
            </w:pPr>
            <w:r>
              <w:rPr>
                <w:rFonts w:hint="eastAsia" w:ascii="宋体" w:hAnsi="宋体" w:eastAsia="宋体" w:cs="宋体"/>
                <w:i w:val="0"/>
                <w:iCs w:val="0"/>
                <w:color w:val="000000"/>
                <w:kern w:val="0"/>
                <w:sz w:val="20"/>
                <w:szCs w:val="20"/>
                <w:highlight w:val="none"/>
                <w:u w:val="none"/>
                <w:lang w:val="en-US" w:eastAsia="zh-CN" w:bidi="ar"/>
              </w:rPr>
              <w:t>参考尺寸2600*1100*850mm</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FDC880">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1.智能升降式一体净化烟罩控制系统由主控制面板、电源模块、风幕控制模块、照明控制模块、净化模块、排风模块、一键升降等模块组成，采用触摸式一键开启、逐个开启和无接触手势感应启动等多种方式，能自由独立控制设备单个或多个功能；       </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2.智能升降式一体净化烟罩采用食品级不锈钢材料制造，完全符合食品卫生级标准，烟罩安装高度可≤2000mm不影响排烟效果，排烟罩设有污油凝结槽并设活动集油器或清洗排污口，耐酸、耐碱、耐温、阻燃、耐磨、耐拉厨房排油烟设备等功能；</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3.智能升降式一体净化烟罩分段制作，分体式结构，罩体可自由拆卸，多个单元自由拼装，可拆式双层通风侧板，不锈钢螺丝连接拼装，现场安装简单方便，无需现场焊接，美观牢固；</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4.智能升降功能关键解决静电电场的日常维护，大大提升了产品的使用寿命，一键式升降功能将电场直接降落于炉灶上方，直接可取出清洗和简便安装，避免登高作业所带来的安全隐患，一键式升降功能将所有的日常维护和售后维护都集成于罩体下方完成；</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5.配备独立控制的捕捉风幕设计，专用捕捉气流静音风扇、旋风式均流网、内侧捕射气流，具备集烟射流喷气技术，捕捉气流可有效捕获和克制油烟、蒸汽和热能的外溢，每平方米排风量可控制到1500m³/h以内，有效提升排风效果达到节能的功效；</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6.配有高速动态屏蔽器，高速旋转时产生的离心力对油烟、水汽等中的油脂颗粒进行动态拦截，纯物理净化，高效分离油烟中油、气，安全高效净化油烟；</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★7.智能排烟罩高效除油除烟，确保排放达到国家标准，符合环能环保技术检测中心技术要求，并提供检测报告</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8.电压：380V，功率≥3KW</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F73F3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2.6</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3A7D2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米</w:t>
            </w:r>
          </w:p>
        </w:tc>
      </w:tr>
      <w:tr w14:paraId="2E29B2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549"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8760E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13</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2D0B1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油烟净化一体机</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FE0C5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lang w:val="en-US"/>
              </w:rPr>
            </w:pPr>
            <w:r>
              <w:rPr>
                <w:rFonts w:hint="eastAsia" w:ascii="宋体" w:hAnsi="宋体" w:eastAsia="宋体" w:cs="宋体"/>
                <w:i w:val="0"/>
                <w:iCs w:val="0"/>
                <w:color w:val="000000"/>
                <w:kern w:val="0"/>
                <w:sz w:val="20"/>
                <w:szCs w:val="20"/>
                <w:highlight w:val="none"/>
                <w:u w:val="none"/>
                <w:lang w:val="en-US" w:eastAsia="zh-CN" w:bidi="ar"/>
              </w:rPr>
              <w:t>参考尺寸3300*1300*850mm</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174024">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1.智能升降式一体净化烟罩控制系统由主控制面板、电源模块、风幕控制模块、照明控制模块、净化模块、排风模块、一键升降等模块组成，采用触摸式一键开启、逐个开启和无接触手势感应启动等多种方式，能自由独立控制设备单个或多个功能；       </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2.智能升降式一体净化烟罩采用食品级不锈钢材料制造，完全符合食品卫生级标准，烟罩安装高度可≤2000mm不影响排烟效果，排烟罩设有污油凝结槽并设活动集油器或清洗排污口，耐酸、耐碱、耐温、阻燃、耐磨、耐拉厨房排油烟设备等功能；</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3.智能升降式一体净化烟罩分段制作，分体式结构，罩体可自由拆卸，多个单元自由拼装，可拆式双层通风侧板，不锈钢螺丝连接拼装，现场安装简单方便，无需现场焊接，美观牢固；</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4.智能升降功能关键解决静电电场的日常维护，大大提升了产品的使用寿命，一键式升降功能将电场直接降落于炉灶上方，直接可取出清洗和简便安装，避免登高作业所带来的安全隐患，一键式升降功能将所有的日常维护和售后维护都集成于罩体下方完成；</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5.配备独立控制的捕捉风幕设计，专用捕捉气流静音风扇、旋风式均流网、内侧捕射气流，具备集烟射流喷气技术，捕捉气流可有效捕获和克制油烟、蒸汽和热能的外溢，每平方米排风量可控制到1500m³/h以内，有效提升排风效果达到节能的功效；</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6.配有高速动态屏蔽器，高速旋转时产生的离心力对油烟、水汽等中的油脂颗粒进行动态拦截，纯物理净化，高效分离油烟中油、气，安全高效净化油烟；</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 7.智能排烟罩高效除油除烟，确保排放达到国家标准，符合环能环保技术检测中心技术要求，并提供检测报告</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8.电压：380V，功率≥2KW*2</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814F8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3.3</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E2515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米</w:t>
            </w:r>
          </w:p>
        </w:tc>
      </w:tr>
      <w:tr w14:paraId="030731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868"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F4AFB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14</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E6E9D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b/>
                <w:bCs/>
                <w:i w:val="0"/>
                <w:iCs w:val="0"/>
                <w:color w:val="000000"/>
                <w:kern w:val="0"/>
                <w:sz w:val="20"/>
                <w:szCs w:val="20"/>
                <w:highlight w:val="none"/>
                <w:u w:val="none"/>
                <w:lang w:val="en-US" w:eastAsia="zh-CN" w:bidi="ar"/>
              </w:rPr>
              <w:t>灭火系统（核心产品）</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C194C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双瓶</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31C37E">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1.本设备为全机械启动方式：厨房设备灭火装置工作原理为当厨房灶台发生火情，当油锅上方产生的温度达到183℃时，火灾探测器（感温元件）自动熔断（平时灶台热量达不到感温元件熔断的温度不会造成误喷），使机械控制阀启动；贮气瓶膜片被冲破，高压气体（氮气）通过减压装置瞬间驱动灭火药剂，通过雾化喷头喷出，覆盖在油锅表面，并与高温食用油发生化学反应，同时灭火药剂通过烟道喷头喷洒在烟道内扑灭烟道火焰；快速高效的灭火效果，机械水流阀打开冷却水，保证不出现复燃情况，厨房自动灭火装置可以自动、手动、机械应急启动把火焰扑灭于初期，本灭火装置可以全天侯24小时监控；    </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 xml:space="preserve">2.双瓶组:灭火剂充装容量≥20L: 灭火剂喷射时间≥30s,喷头数量≥18个。感温器动作温度:183C，驱动气体:氮气:氮气瓶容积≥1.2L:氮气驱动瓶存压力≥12MPa，减压器出口压                                             3.电压：220V，功率≥150W     </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1.提供产品责任保险单:每次事故赔偿限额≥贰佰万元。</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★4.雾化喷头金属保护帽高低温实验:按照GB/T2423.2-2008的检测方法，分别进行高温200℃/48h,低温-20℃/48h。测试后，所有样品表面均无明显变化，无开裂、无起泡、无剥落。</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★5.厨房灭火装置机械式水流联动阀，按照GB4806.9-2016食品安全国家标准:食品接触用金属材料及制品。按照GB31604.38-2016标准检测:砷、镉、铅迁移量符合要求。</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 xml:space="preserve">6.提供有消防产品认证证书，以及CMA或CNAS第三方机构出具的检验报告复印件。                                                                 </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1542A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D3ACB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套</w:t>
            </w:r>
          </w:p>
        </w:tc>
      </w:tr>
      <w:tr w14:paraId="40B9BA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95"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45AEB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15</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DA649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洗地龙头</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69AA6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长度≥15米</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04A9AF">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1.加厚不锈钢卷盘和基座，容易调整，挂墙式独立安装；</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2.弹簧合金，超过25kg拉力测试，铜制旋转接头，单手扳机，橡胶限位器，EPDM软管，长度≥15m。</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11268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718ED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台</w:t>
            </w:r>
          </w:p>
        </w:tc>
      </w:tr>
      <w:tr w14:paraId="298327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24"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3F579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16</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55239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粘捕式灭蝇灯</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B743D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参考尺寸360*170*200mm</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324B8B">
            <w:pPr>
              <w:keepNext w:val="0"/>
              <w:keepLines w:val="0"/>
              <w:widowControl/>
              <w:numPr>
                <w:ilvl w:val="0"/>
                <w:numId w:val="0"/>
              </w:numPr>
              <w:suppressLineNumbers w:val="0"/>
              <w:jc w:val="left"/>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 xml:space="preserve">1.无声诱捕                                                      2.采用优质粘虫板，开封后能使用两周左右                                </w:t>
            </w:r>
          </w:p>
          <w:p w14:paraId="0C952B40">
            <w:pPr>
              <w:keepNext w:val="0"/>
              <w:keepLines w:val="0"/>
              <w:widowControl/>
              <w:numPr>
                <w:ilvl w:val="0"/>
                <w:numId w:val="0"/>
              </w:numPr>
              <w:suppressLineNumbers w:val="0"/>
              <w:ind w:left="0" w:leftChars="0" w:firstLine="0" w:firstLineChars="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3.电压：220V,功率≥8W*2                     </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914F6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016B4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台</w:t>
            </w:r>
          </w:p>
        </w:tc>
      </w:tr>
      <w:tr w14:paraId="1B86DD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2"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DF8A6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17</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76E21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紫外线杀菌灯</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51C0A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lang w:val="en-US"/>
              </w:rPr>
            </w:pPr>
            <w:r>
              <w:rPr>
                <w:rFonts w:hint="eastAsia" w:ascii="宋体" w:hAnsi="宋体" w:eastAsia="宋体" w:cs="宋体"/>
                <w:i w:val="0"/>
                <w:iCs w:val="0"/>
                <w:color w:val="000000"/>
                <w:kern w:val="0"/>
                <w:sz w:val="20"/>
                <w:szCs w:val="20"/>
                <w:highlight w:val="none"/>
                <w:u w:val="none"/>
                <w:lang w:val="en-US" w:eastAsia="zh-CN" w:bidi="ar"/>
              </w:rPr>
              <w:t>参考尺寸1213*28*28mm</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EB8FE3">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电压:220V</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功率≥36w灯管带底座；挂式</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D95B5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96C8D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台</w:t>
            </w:r>
          </w:p>
        </w:tc>
      </w:tr>
      <w:tr w14:paraId="164F40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919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4680BF48">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b/>
                <w:bCs/>
                <w:i w:val="0"/>
                <w:iCs w:val="0"/>
                <w:color w:val="000000"/>
                <w:kern w:val="0"/>
                <w:sz w:val="20"/>
                <w:szCs w:val="20"/>
                <w:highlight w:val="none"/>
                <w:u w:val="none"/>
                <w:lang w:val="en-US" w:eastAsia="zh-CN" w:bidi="ar"/>
              </w:rPr>
              <w:t>售卖间</w:t>
            </w:r>
          </w:p>
        </w:tc>
      </w:tr>
      <w:tr w14:paraId="007446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73"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33A8A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6BD13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单通工作台</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345E9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lang w:val="en-US"/>
              </w:rPr>
            </w:pPr>
            <w:r>
              <w:rPr>
                <w:rFonts w:hint="eastAsia" w:ascii="宋体" w:hAnsi="宋体" w:eastAsia="宋体" w:cs="宋体"/>
                <w:i w:val="0"/>
                <w:iCs w:val="0"/>
                <w:color w:val="000000"/>
                <w:kern w:val="0"/>
                <w:sz w:val="20"/>
                <w:szCs w:val="20"/>
                <w:highlight w:val="none"/>
                <w:u w:val="none"/>
                <w:lang w:val="en-US" w:eastAsia="zh-CN" w:bidi="ar"/>
              </w:rPr>
              <w:t>参考尺寸1500*800*800mm</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B7E86F">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1.整体采用SUS304不锈钢制作；</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2.台面厚度≥1.5mm，用厚≥1.0mm不锈钢板折成加强筋加固；</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3.层板、底板、侧板及门面采用厚≥1.0mm不锈钢板制作；</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4.加强筋厚度≥1.5mm，配置不锈钢可调子弹脚。</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7473B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7</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A097B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台</w:t>
            </w:r>
          </w:p>
        </w:tc>
      </w:tr>
      <w:tr w14:paraId="0FA3B3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73"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8C107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CA74F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单通工作台</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36346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lang w:val="en-US"/>
              </w:rPr>
            </w:pPr>
            <w:r>
              <w:rPr>
                <w:rFonts w:hint="eastAsia" w:ascii="宋体" w:hAnsi="宋体" w:eastAsia="宋体" w:cs="宋体"/>
                <w:i w:val="0"/>
                <w:iCs w:val="0"/>
                <w:color w:val="000000"/>
                <w:kern w:val="0"/>
                <w:sz w:val="20"/>
                <w:szCs w:val="20"/>
                <w:highlight w:val="none"/>
                <w:u w:val="none"/>
                <w:lang w:val="en-US" w:eastAsia="zh-CN" w:bidi="ar"/>
              </w:rPr>
              <w:t>参考尺寸1800*800*800mm</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7D3F57">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1.整体采用SUS304不锈钢制作；</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2.台面厚度≥1.5mm，用厚≥1.0mm不锈钢板折成加强筋加固；</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3.层板、底板、侧板及门面采用厚≥1.0mm不锈钢板制作；</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4.加强筋厚度≥1.5mm，配置不锈钢可调子弹脚。</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CEBCE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ED087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台</w:t>
            </w:r>
          </w:p>
        </w:tc>
      </w:tr>
      <w:tr w14:paraId="382C8E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73"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48FF0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3</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C727F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单通工作台</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CC3EB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lang w:val="en-US"/>
              </w:rPr>
            </w:pPr>
            <w:r>
              <w:rPr>
                <w:rFonts w:hint="eastAsia" w:ascii="宋体" w:hAnsi="宋体" w:eastAsia="宋体" w:cs="宋体"/>
                <w:i w:val="0"/>
                <w:iCs w:val="0"/>
                <w:color w:val="000000"/>
                <w:kern w:val="0"/>
                <w:sz w:val="20"/>
                <w:szCs w:val="20"/>
                <w:highlight w:val="none"/>
                <w:u w:val="none"/>
                <w:lang w:val="en-US" w:eastAsia="zh-CN" w:bidi="ar"/>
              </w:rPr>
              <w:t>参考尺寸1200*800*800mm</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7EE51A">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1.整体采用SUS304不锈钢制作；</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2.台面厚度≥1.5mm，用厚≥1.0mm不锈钢板折成加强筋加固；</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3.层板、底板、侧板及门面采用厚≥1.0mm不锈钢板制作；</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4.加强筋厚度≥1.5mm，配置不锈钢可调子弹脚。</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9D893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6ED2C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台</w:t>
            </w:r>
          </w:p>
        </w:tc>
      </w:tr>
      <w:tr w14:paraId="085AE1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61"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30FFA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4</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32CA4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电磁双头煮面炉</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80DC9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lang w:val="en-US"/>
              </w:rPr>
            </w:pPr>
            <w:r>
              <w:rPr>
                <w:rFonts w:hint="eastAsia" w:ascii="宋体" w:hAnsi="宋体" w:eastAsia="宋体" w:cs="宋体"/>
                <w:i w:val="0"/>
                <w:iCs w:val="0"/>
                <w:color w:val="000000"/>
                <w:kern w:val="0"/>
                <w:sz w:val="20"/>
                <w:szCs w:val="20"/>
                <w:highlight w:val="none"/>
                <w:u w:val="none"/>
                <w:lang w:val="en-US" w:eastAsia="zh-CN" w:bidi="ar"/>
              </w:rPr>
              <w:t>参考尺寸1400*800*800mm</w:t>
            </w:r>
          </w:p>
        </w:tc>
        <w:tc>
          <w:tcPr>
            <w:tcW w:w="4746" w:type="dxa"/>
            <w:tcBorders>
              <w:top w:val="single" w:color="000000" w:sz="4" w:space="0"/>
              <w:left w:val="single" w:color="000000" w:sz="4" w:space="0"/>
              <w:bottom w:val="single" w:color="000000" w:sz="4" w:space="0"/>
              <w:right w:val="nil"/>
            </w:tcBorders>
            <w:shd w:val="clear" w:color="auto" w:fill="auto"/>
            <w:vAlign w:val="center"/>
          </w:tcPr>
          <w:p w14:paraId="13E1F6D3">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1.产品额定输入电压380V，输出功率≥12kW*2，工作频率范围16kHz-40kHz，适应电网的范围290～450V，炉面采用304不锈钢材质，厚度≥1.2mm不锈钢,柜体采用≥1.0mm不锈钢；</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2.水胆底部材质食品级430#,厚度≥7mm,四周≥1.5mm,304#材质，符合国家标准。长时间使用水胆不变形，不漏水。</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3.一体化防水技术LED数码中文显示器，可目视化管理及直观操作，视觉冲击力强。同时，显示器具备电量累计，加热状态呈现由图标与加热中文显示，火力显示由数字与火力分布相互结合；</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4.设备控制系统CPU中央处理器采用先进IGBT，启动进入自检模式，具备自动故障诊断功能；</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5.≥8档火力调节开关，火力可自由分配，实现微火、中火、猛火随意调节，火力大小显示器可同步显示；</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6.线盘组件采用紫铜耐高温阻燃漆包线，发热均匀，耐高温，散热效果好，线序布局美观同时使用寿命长；</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7.模块化全封闭分层负压散热设计，防油烟、防湿气、防蟑螂到达三防效果；</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8.风机采用IPX7防水级、静音、产品专用冷风通道设计，散热性强，高压直流风机；</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9.集成模块化电容，故障低，能耗低，寿命长，散热性强，防水，同步性强，抗干扰性强；</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10.304食品级进出水模块水龙头、弯头，水龙头0～180°摇摆式，90°出水阀门铜芯，灵活支配；</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11.接线端关键部件使用防水型大电压大电流耐高温的PIN端子，给予人身安全保驾护航；</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12.原材料或配件等直接接触或非直接接触都是符合国家食品标准；</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▲、要求所投产品需提供CMA或CNAS标识的检测报告复印件，以及证书在全国认证认可信息公共服务平台网站查询截图。</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EF9C2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6</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8F23B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台</w:t>
            </w:r>
          </w:p>
        </w:tc>
      </w:tr>
      <w:tr w14:paraId="0167DA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2"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A4DA5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5</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C8D98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单星水池柜</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4A8D7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lang w:val="en-US"/>
              </w:rPr>
            </w:pPr>
            <w:r>
              <w:rPr>
                <w:rFonts w:hint="eastAsia" w:ascii="宋体" w:hAnsi="宋体" w:eastAsia="宋体" w:cs="宋体"/>
                <w:i w:val="0"/>
                <w:iCs w:val="0"/>
                <w:color w:val="000000"/>
                <w:kern w:val="0"/>
                <w:sz w:val="20"/>
                <w:szCs w:val="20"/>
                <w:highlight w:val="none"/>
                <w:u w:val="none"/>
                <w:lang w:val="en-US" w:eastAsia="zh-CN" w:bidi="ar"/>
              </w:rPr>
              <w:t>参考尺寸700*700*800mm</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709BC9">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材质选用304不锈钢板材</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1.台面：采用厚≥1.5mm，星盆：采用厚≥1.2mm，星盆参考尺寸400*400*280mm，防溅板（斜口）立背（垂直度＜2mm），水槽底部能承受100kg载荷（变形量＜3mm）；</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2.水池深≥500mm</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3.工艺要求：产品焊接牢固，表面无明显划痕、锤印及烧痕，边角不允许有尖角和毛刺，焊点平滑均匀，无漏焊及沙眼，焊口处做好抛光防锈处理；</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EBA8C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313D4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台</w:t>
            </w:r>
          </w:p>
        </w:tc>
      </w:tr>
      <w:tr w14:paraId="1847E1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73"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3B8F2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6</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96C0B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冷热水龙头</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76E62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铜芯</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59ABE5">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1.座台式双孔双温、主体黄铜铸造表面抛光镀铬处理。</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2.配1/4转优质陶瓷阀芯一字型手柄。</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3.八寸（203mm）水嘴，铜管厚度≥1.1mm, 360度可旋转。</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★4.提供节水认证</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395DF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0C5A6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套</w:t>
            </w:r>
          </w:p>
        </w:tc>
      </w:tr>
      <w:tr w14:paraId="469AFD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549"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6B777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8</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307E9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油烟净化一体机</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E700D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lang w:val="en-US"/>
              </w:rPr>
            </w:pPr>
            <w:r>
              <w:rPr>
                <w:rFonts w:hint="eastAsia" w:ascii="宋体" w:hAnsi="宋体" w:eastAsia="宋体" w:cs="宋体"/>
                <w:i w:val="0"/>
                <w:iCs w:val="0"/>
                <w:color w:val="000000"/>
                <w:kern w:val="0"/>
                <w:sz w:val="20"/>
                <w:szCs w:val="20"/>
                <w:highlight w:val="none"/>
                <w:u w:val="none"/>
                <w:lang w:val="en-US" w:eastAsia="zh-CN" w:bidi="ar"/>
              </w:rPr>
              <w:t>参考尺寸9600*1000*850mm</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5EBE81">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1.智能升降式一体净化烟罩控制系统由主控制面板、电源模块、风幕控制模块、照明控制模块、净化模块、排风模块、一键升降等模块组成，采用触摸式一键开启、逐个开启和无接触手势感应启动等多种方式，能自由独立控制设备单个或多个功能；       </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2.智能升降式一体净化烟罩采用食品级不锈钢材料制造，完全符合食品卫生级标准，烟罩安装高度可≤2000mm不影响排烟效果，排烟罩设有污油凝结槽并设活动集油器或清洗排污口，耐酸、耐碱、耐温、阻燃、耐磨、耐拉厨房排油烟设备等功能；</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3.智能升降式一体净化烟罩分段制作，分体式结构，罩体可自由拆卸，多个单元自由拼装，可拆式双层通风侧板，不锈钢螺丝连接拼装，现场安装简单方便，无需现场焊接，美观牢固；</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4.智能升降功能关键解决静电电场的日常维护，大大提升了产品的使用寿命，一键式升降功能将电场直接降落于炉灶上方，直接可取出清洗和简便安装，避免登高作业所带来的安全隐患，一键式升降功能将所有的日常维护和售后维护都集成于罩体下方完成；</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5.配备独立控制的捕捉风幕设计，专用捕捉气流静音风扇、旋风式均流网、内侧捕射气流，具备集烟射流喷气技术，捕捉气流可有效捕获和克制油烟、蒸汽和热能的外溢，每平方米排风量可控制到1500m³/h以内，有效提升排风效果达到节能的功效；</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6.配有高速动态屏蔽器，高速旋转时产生的离心力对油烟、水汽等中的油脂颗粒进行动态拦截，纯物理净化，高效分离油烟中油、气，安全高效净化油烟；</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 7.智能排烟罩高效除油除烟，确保排放达到国家标准，并提供检测报告</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8，电压：380V，功率≥3KW*4</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43A71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9.6</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422EE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米</w:t>
            </w:r>
          </w:p>
        </w:tc>
      </w:tr>
      <w:tr w14:paraId="3743FF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868"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22D8D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9</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0F9FB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灭火系统</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B28A8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双瓶</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1FFF65">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1.本设备为全机械启动方式：厨房设备灭火装置工作原理为当厨房灶台发生火情，当油锅上方产生的温度达到183℃时，火灾探测器（感温元件）自动熔断（平时灶台热量达不到感温元件熔断的温度不会造成误喷），使机械控制阀启动；贮气瓶膜片被冲破，高压气体（氮气）通过减压装置瞬间驱动灭火药剂，通过雾化喷头喷出，覆盖在油锅表面，并与高温食用油发生化学反应，同时灭火药剂通过烟道喷头喷洒在烟道内扑灭烟道火焰；快速高效的灭火效果，机械水流阀打开冷却水，保证不出现复燃情况，厨房自动灭火装置可以自动、手动、机械应急启动把火焰扑灭于初期，本灭火装置可以全天侯24小时监控；    </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 xml:space="preserve">2.双瓶组:灭火剂充装容量≥20L: 灭火剂喷射时间≥30s,喷头数量≥18个。感温器动作温度:183C，驱动气体:氮气:氮气瓶容积≥1.2L:氮气驱动瓶存压力≥12MPa，减压器出口压                                             3.电压：220V，功率≥150W     </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1.提供产品责任保险单:每次事故赔偿限额≥贰佰万元。</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★4.雾化喷头金属保护帽高低温实验:按照GB/T2423.2-2008的检测方法，分别进行高温200℃/48h,低温-20℃/48h。测试后，所有样品表面均无明显变化，无开裂、无起泡、无剥落。</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★5.厨房灭火装置机械式水流联动阀，按照GB4806.9-2016食品安全国家标准:食品接触用金属材料及制品。按照GB31604.38-2016标准检测:砷、镉、铅迁移量符合要求。</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 xml:space="preserve">6.提供有消防产品认证证书，以及CMA或CNAS第三方机构出具的检验报告复印件。                                                               </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4C411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A1AF1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套</w:t>
            </w:r>
          </w:p>
        </w:tc>
      </w:tr>
      <w:tr w14:paraId="6C58B9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74"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7CAAF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11</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B8DF0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电热汤池柜</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5B079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lang w:val="en-US"/>
              </w:rPr>
            </w:pPr>
            <w:r>
              <w:rPr>
                <w:rFonts w:hint="eastAsia" w:ascii="宋体" w:hAnsi="宋体" w:eastAsia="宋体" w:cs="宋体"/>
                <w:i w:val="0"/>
                <w:iCs w:val="0"/>
                <w:color w:val="000000"/>
                <w:kern w:val="0"/>
                <w:sz w:val="20"/>
                <w:szCs w:val="20"/>
                <w:highlight w:val="none"/>
                <w:u w:val="none"/>
                <w:lang w:val="en-US" w:eastAsia="zh-CN" w:bidi="ar"/>
              </w:rPr>
              <w:t>参考尺寸1800*700*800mm</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272446">
            <w:pPr>
              <w:keepNext w:val="0"/>
              <w:keepLines w:val="0"/>
              <w:widowControl/>
              <w:numPr>
                <w:ilvl w:val="0"/>
                <w:numId w:val="10"/>
              </w:numPr>
              <w:suppressLineNumbers w:val="0"/>
              <w:jc w:val="left"/>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整体采用SUS304不锈钢制作；</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2.台面厚度≥1.5mm，用厚≥1.0mm不锈钢板折成加强筋加固；</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3.层板、底板、侧板及门面采用厚≥1.0mm不锈钢板制作；</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4.加强筋厚度≥1.5mm，配置不锈钢可调子弹脚；</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 xml:space="preserve">5.配专用加热管及加厚不锈钢份数盒，具有保温菜品等功能。              </w:t>
            </w:r>
          </w:p>
          <w:p w14:paraId="022E9AFB">
            <w:pPr>
              <w:keepNext w:val="0"/>
              <w:keepLines w:val="0"/>
              <w:widowControl/>
              <w:numPr>
                <w:ilvl w:val="0"/>
                <w:numId w:val="0"/>
              </w:numPr>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6.电压：220V，功率≥3KW.配备电子显示器，带缺水保护功能。</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B6954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6</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2EE15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台</w:t>
            </w:r>
          </w:p>
        </w:tc>
      </w:tr>
      <w:tr w14:paraId="67A86E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74"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B5179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12</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4B649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电热汤池柜</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80282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lang w:val="en-US"/>
              </w:rPr>
            </w:pPr>
            <w:r>
              <w:rPr>
                <w:rFonts w:hint="eastAsia" w:ascii="宋体" w:hAnsi="宋体" w:eastAsia="宋体" w:cs="宋体"/>
                <w:i w:val="0"/>
                <w:iCs w:val="0"/>
                <w:color w:val="000000"/>
                <w:kern w:val="0"/>
                <w:sz w:val="20"/>
                <w:szCs w:val="20"/>
                <w:highlight w:val="none"/>
                <w:u w:val="none"/>
                <w:lang w:val="en-US" w:eastAsia="zh-CN" w:bidi="ar"/>
              </w:rPr>
              <w:t>参考尺寸1500*700*800mm</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DC79E3">
            <w:pPr>
              <w:keepNext w:val="0"/>
              <w:keepLines w:val="0"/>
              <w:widowControl/>
              <w:numPr>
                <w:ilvl w:val="0"/>
                <w:numId w:val="11"/>
              </w:numPr>
              <w:suppressLineNumbers w:val="0"/>
              <w:jc w:val="left"/>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整体采用SUS304不锈钢制作；</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2.台面厚度≥1.5mm，用厚≥1.0mm不锈钢板折成加强筋加固；</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3.层板、底板、侧板及门面采用厚≥1.0mm不锈钢板制作；</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4.加强筋厚度≥1.5mm，配置不锈钢可调子弹脚；</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 xml:space="preserve">5.配专用加热管及加厚不锈钢份数盒，具有保温菜品等功能。             </w:t>
            </w:r>
          </w:p>
          <w:p w14:paraId="2F22C3E5">
            <w:pPr>
              <w:keepNext w:val="0"/>
              <w:keepLines w:val="0"/>
              <w:widowControl/>
              <w:numPr>
                <w:ilvl w:val="0"/>
                <w:numId w:val="0"/>
              </w:numPr>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6.电压：220V，功率≥3KW.配备电子显示器，带缺水保护功能。</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FCE97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7</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6F0F6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台</w:t>
            </w:r>
          </w:p>
        </w:tc>
      </w:tr>
      <w:tr w14:paraId="348797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76497B">
            <w:pPr>
              <w:jc w:val="center"/>
              <w:rPr>
                <w:rFonts w:hint="eastAsia" w:ascii="宋体" w:hAnsi="宋体" w:eastAsia="宋体" w:cs="宋体"/>
                <w:i w:val="0"/>
                <w:iCs w:val="0"/>
                <w:color w:val="000000"/>
                <w:sz w:val="20"/>
                <w:szCs w:val="20"/>
                <w:highlight w:val="none"/>
                <w:u w:val="none"/>
              </w:rPr>
            </w:pP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70A63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拼柜</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21AF4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lang w:val="en-US"/>
              </w:rPr>
            </w:pPr>
            <w:r>
              <w:rPr>
                <w:rFonts w:hint="eastAsia" w:ascii="宋体" w:hAnsi="宋体" w:eastAsia="宋体" w:cs="宋体"/>
                <w:i w:val="0"/>
                <w:iCs w:val="0"/>
                <w:color w:val="000000"/>
                <w:kern w:val="0"/>
                <w:sz w:val="20"/>
                <w:szCs w:val="20"/>
                <w:highlight w:val="none"/>
                <w:u w:val="none"/>
                <w:lang w:val="en-US" w:eastAsia="zh-CN" w:bidi="ar"/>
              </w:rPr>
              <w:t>参考尺寸500*400*800mm</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4C38BB">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1.整体采用304不锈钢制作，台面厚≥1.5mm，</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2.焊口处做好抛光防锈处理。</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BC32C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3</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0D8E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台</w:t>
            </w:r>
          </w:p>
        </w:tc>
      </w:tr>
      <w:tr w14:paraId="3F30A4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68"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30EE5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13</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8CBF7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粘捕式灭蝇灯</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DBD72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参考尺寸360*170*200mm</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0CEDD9">
            <w:pPr>
              <w:keepNext w:val="0"/>
              <w:keepLines w:val="0"/>
              <w:widowControl/>
              <w:numPr>
                <w:ilvl w:val="0"/>
                <w:numId w:val="0"/>
              </w:numPr>
              <w:suppressLineNumbers w:val="0"/>
              <w:jc w:val="left"/>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 xml:space="preserve">1.无声诱捕                                                      2.采用优质粘虫板，开封后能使用两周左右                                </w:t>
            </w:r>
          </w:p>
          <w:p w14:paraId="39832289">
            <w:pPr>
              <w:keepNext w:val="0"/>
              <w:keepLines w:val="0"/>
              <w:widowControl/>
              <w:numPr>
                <w:ilvl w:val="0"/>
                <w:numId w:val="0"/>
              </w:numPr>
              <w:suppressLineNumbers w:val="0"/>
              <w:ind w:left="0" w:leftChars="0" w:firstLine="0" w:firstLineChars="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3.电压：220V,功率≥8W*2                     </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3A99A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4</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7D5B2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台</w:t>
            </w:r>
          </w:p>
        </w:tc>
      </w:tr>
      <w:tr w14:paraId="0B22CE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2"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3A3CB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14</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F706D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紫外线杀菌灯</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D9F9E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lang w:val="en-US"/>
              </w:rPr>
            </w:pPr>
            <w:r>
              <w:rPr>
                <w:rFonts w:hint="eastAsia" w:ascii="宋体" w:hAnsi="宋体" w:eastAsia="宋体" w:cs="宋体"/>
                <w:i w:val="0"/>
                <w:iCs w:val="0"/>
                <w:color w:val="000000"/>
                <w:kern w:val="0"/>
                <w:sz w:val="20"/>
                <w:szCs w:val="20"/>
                <w:highlight w:val="none"/>
                <w:u w:val="none"/>
                <w:lang w:val="en-US" w:eastAsia="zh-CN" w:bidi="ar"/>
              </w:rPr>
              <w:t>参考尺寸1213*28*28mm</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0826DF">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电压:220V</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功率≥36w灯管带底座；挂式</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14C2C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4</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F122A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台</w:t>
            </w:r>
          </w:p>
        </w:tc>
      </w:tr>
      <w:tr w14:paraId="3F747C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919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6067576E">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b/>
                <w:bCs/>
                <w:i w:val="0"/>
                <w:iCs w:val="0"/>
                <w:color w:val="000000"/>
                <w:kern w:val="0"/>
                <w:sz w:val="20"/>
                <w:szCs w:val="20"/>
                <w:highlight w:val="none"/>
                <w:u w:val="none"/>
                <w:lang w:val="en-US" w:eastAsia="zh-CN" w:bidi="ar"/>
              </w:rPr>
              <w:t>消毒间</w:t>
            </w:r>
          </w:p>
        </w:tc>
      </w:tr>
      <w:tr w14:paraId="104B23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9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7A9BD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28711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b/>
                <w:bCs/>
                <w:i w:val="0"/>
                <w:iCs w:val="0"/>
                <w:color w:val="000000"/>
                <w:kern w:val="0"/>
                <w:sz w:val="20"/>
                <w:szCs w:val="20"/>
                <w:highlight w:val="none"/>
                <w:u w:val="none"/>
                <w:lang w:val="en-US" w:eastAsia="zh-CN" w:bidi="ar"/>
              </w:rPr>
              <w:t>餐具高温消毒库（核心产品）</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E5A40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lang w:val="en-US"/>
              </w:rPr>
            </w:pPr>
            <w:r>
              <w:rPr>
                <w:rFonts w:hint="eastAsia" w:ascii="宋体" w:hAnsi="宋体" w:eastAsia="宋体" w:cs="宋体"/>
                <w:i w:val="0"/>
                <w:iCs w:val="0"/>
                <w:color w:val="000000"/>
                <w:kern w:val="0"/>
                <w:sz w:val="20"/>
                <w:szCs w:val="20"/>
                <w:highlight w:val="none"/>
                <w:u w:val="none"/>
                <w:lang w:val="en-US" w:eastAsia="zh-CN" w:bidi="ar"/>
              </w:rPr>
              <w:t>参考尺寸4130*3760*2500mm</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C58D5B">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1.采用≥75mm厚发泡库板（其中50mm 高压发泡+25mm耐火棉），保温库板与库板的连接使用定制凸轮式偏心勾锁快速自锁扣安装，配置全不锈钢锁孔盖；采用内304#不锈钢板≥0.8mm、外304#不锈钢板≥0.4mm；库板经检测，燃烧性能达到 GB 824-2012《建筑材料及制品燃烧性能分级》B2级检测报性能，符合GB 4806.9-2016标准，有《食品接触产品安全认证》CQC产品认证证书.符合GB4806.9-2023《食品安全国家标准食品接触用金属材料及制品》标准。</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2.库内配防水、防潮灯，库体配装平开门2扇，门上有双层钢化玻璃可视窗，门口配装液晶工作提示面 板（提示工作状态），门内部配置玻璃安全锤；</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3.集成电加热系统选用优质加热管，焊接组装成集成模块，出厂测试完毕，现场拼装，本设备自带配电柜，电压功率：48kw/380V；</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4.采用物联网控制系统：</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①.数据运维平台：运行稳定，可连接后台管理系统，实行数据查看、管理；</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②.手机互连：可用手机远程控制消毒房的启动/停止/保温/设置等工作，可查看设备运行状态；</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③.数据储存、溯源：USB接口30天数据存储，U盘可拷贝近期运行数据，可HACCP溯源管理，可导出近30天内的运行数据，让管理更轻松；</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④.具有手机App远程监控功能，可用手机远程登录设置设备的各种参数信息。具有手机App 进行负载端启用/停止功能，当设备发生故障时，可远程停止故障端，从而不影响设备的正常运行。</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⑤.远程运维功能：可远程停止故障机组，即便消毒库出问题，可停止有问题的部件，不影响整个消毒库使用；</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⑥.预约功能，可根据用电谷峰错开高电价用电，设置不同时间段预约开机</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⑦.采用7寸人机界面，触摸彩屏，界面简洁，容易操作。</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⑧.消毒房带风压保护，防止发热管干烧，带超高温保护、过载保护、漏电保护，蒸汽机有缺水防干烧保护、机械、电子双重压力保护等多重保护功能。.开门保护功能：当程序运行时，打开柜门程序停止运行当柜门再次关闭后，程序将继续运行，以提高设备使用的安全性。消毒房内配备防水、防爆、防高温，三防照明灯，当打开门后，消毒库里面的灯自动亮，关门后，照明灯自动灭。.高、中、低温一键调节功能，操作简单。；符合GB 4706.1-2005&lt;《家用和类似用途电器的安全第1部分:通用要求》标准要求</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★5.提供第三方出具的检测报告；</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CFC2C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BEF04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套</w:t>
            </w:r>
          </w:p>
        </w:tc>
      </w:tr>
      <w:tr w14:paraId="3008FC9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59"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661A9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07AC8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定制蒸饭盘架</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63D53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lang w:val="en-US"/>
              </w:rPr>
            </w:pPr>
            <w:r>
              <w:rPr>
                <w:rFonts w:hint="eastAsia" w:ascii="宋体" w:hAnsi="宋体" w:eastAsia="宋体" w:cs="宋体"/>
                <w:i w:val="0"/>
                <w:iCs w:val="0"/>
                <w:color w:val="000000"/>
                <w:kern w:val="0"/>
                <w:sz w:val="20"/>
                <w:szCs w:val="20"/>
                <w:highlight w:val="none"/>
                <w:u w:val="none"/>
                <w:lang w:val="en-US" w:eastAsia="zh-CN" w:bidi="ar"/>
              </w:rPr>
              <w:t>参考尺寸1500*500*1550mm</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CAE312">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*整体采用SUS304不锈钢制作，平板厚度≥1.5mm；</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*立柱采用≥38×38×1.0mm厚不锈钢方管；</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*配不锈钢可调子弹脚。</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A810A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B7D2C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台</w:t>
            </w:r>
          </w:p>
        </w:tc>
      </w:tr>
      <w:tr w14:paraId="436053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54834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3</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20333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定制份数盒架</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0DD74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lang w:val="en-US"/>
              </w:rPr>
            </w:pPr>
            <w:r>
              <w:rPr>
                <w:rFonts w:hint="eastAsia" w:ascii="宋体" w:hAnsi="宋体" w:eastAsia="宋体" w:cs="宋体"/>
                <w:i w:val="0"/>
                <w:iCs w:val="0"/>
                <w:color w:val="000000"/>
                <w:kern w:val="0"/>
                <w:sz w:val="20"/>
                <w:szCs w:val="20"/>
                <w:highlight w:val="none"/>
                <w:u w:val="none"/>
                <w:lang w:val="en-US" w:eastAsia="zh-CN" w:bidi="ar"/>
              </w:rPr>
              <w:t>参考尺寸1200*500*1550mm</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31466C">
            <w:pPr>
              <w:jc w:val="left"/>
              <w:rPr>
                <w:rFonts w:hint="eastAsia" w:ascii="宋体" w:hAnsi="宋体" w:eastAsia="宋体" w:cs="宋体"/>
                <w:i w:val="0"/>
                <w:iCs w:val="0"/>
                <w:color w:val="000000"/>
                <w:sz w:val="20"/>
                <w:szCs w:val="20"/>
                <w:highlight w:val="none"/>
                <w:u w:val="none"/>
                <w:lang w:val="en-US" w:eastAsia="zh-CN"/>
              </w:rPr>
            </w:pPr>
            <w:r>
              <w:rPr>
                <w:rFonts w:hint="eastAsia" w:ascii="宋体" w:hAnsi="宋体" w:eastAsia="宋体" w:cs="宋体"/>
                <w:i w:val="0"/>
                <w:iCs w:val="0"/>
                <w:color w:val="auto"/>
                <w:kern w:val="0"/>
                <w:sz w:val="20"/>
                <w:szCs w:val="20"/>
                <w:highlight w:val="none"/>
                <w:u w:val="none"/>
                <w:lang w:val="en-US" w:eastAsia="zh-CN" w:bidi="ar"/>
              </w:rPr>
              <w:t>*整体采用SUS304不锈钢制作，平板厚度≥1.5mm；</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*立柱采用≥38×38×1.0mm厚不锈钢方管；</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*配不锈钢可调子弹脚。</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C61D0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16944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台</w:t>
            </w:r>
          </w:p>
        </w:tc>
      </w:tr>
      <w:tr w14:paraId="6C7836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48"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011CB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4</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5F4CA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餐具转运车</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10F80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lang w:val="en-US"/>
              </w:rPr>
            </w:pPr>
            <w:r>
              <w:rPr>
                <w:rFonts w:hint="eastAsia" w:ascii="宋体" w:hAnsi="宋体" w:eastAsia="宋体" w:cs="宋体"/>
                <w:i w:val="0"/>
                <w:iCs w:val="0"/>
                <w:color w:val="000000"/>
                <w:kern w:val="0"/>
                <w:sz w:val="20"/>
                <w:szCs w:val="20"/>
                <w:highlight w:val="none"/>
                <w:u w:val="none"/>
                <w:lang w:val="en-US" w:eastAsia="zh-CN" w:bidi="ar"/>
              </w:rPr>
              <w:t>参考尺寸865*620*1600mm</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AE7370">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技术参数符合QB/T 2139.5-1995标准；</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1.立柱：304不锈钢不锈钢方管4根，φ30mm*30mm，厚≥1.5mm，</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2.横撑：不锈钢方管，φ30mm*30mm，厚≥1.5mm；</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3.脚轮：配4个5寸耐高温（200℃)万向脚轮，其中2个配备刹车拨片；</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4.可放6个不锈钢丝碗筐，尺寸600*300*180，根据餐盒的规格和款式不同，每个碗筐内可存放60-80个不锈钢或密胺餐盘，或100个双层汤碗。报价不含筐，筐下配6个滑道；</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5.适合放不锈钢餐盘、密胺餐盘等。</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工艺要求：焊点平滑均匀，无漏焊及沙眼，焊口处做好防锈处理。</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17E4F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24</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01AC4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台</w:t>
            </w:r>
          </w:p>
        </w:tc>
      </w:tr>
      <w:tr w14:paraId="72E13A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919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64858E38">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b/>
                <w:bCs/>
                <w:i w:val="0"/>
                <w:iCs w:val="0"/>
                <w:color w:val="000000"/>
                <w:kern w:val="0"/>
                <w:sz w:val="20"/>
                <w:szCs w:val="20"/>
                <w:highlight w:val="none"/>
                <w:u w:val="none"/>
                <w:lang w:val="en-US" w:eastAsia="zh-CN" w:bidi="ar"/>
              </w:rPr>
              <w:t>洗碗间</w:t>
            </w:r>
          </w:p>
        </w:tc>
      </w:tr>
      <w:tr w14:paraId="41376C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76"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C8A1C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03D6A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单星水池</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38AE8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lang w:val="en-US"/>
              </w:rPr>
            </w:pPr>
            <w:r>
              <w:rPr>
                <w:rFonts w:hint="eastAsia" w:ascii="宋体" w:hAnsi="宋体" w:eastAsia="宋体" w:cs="宋体"/>
                <w:i w:val="0"/>
                <w:iCs w:val="0"/>
                <w:color w:val="000000"/>
                <w:kern w:val="0"/>
                <w:sz w:val="20"/>
                <w:szCs w:val="20"/>
                <w:highlight w:val="none"/>
                <w:u w:val="none"/>
                <w:lang w:val="en-US" w:eastAsia="zh-CN" w:bidi="ar"/>
              </w:rPr>
              <w:t>参考尺寸1000*700*800mm</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E1FFE5">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材质选用304不锈钢板材</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1.台面：采用厚≥1.5mm，星盆：采用厚≥1.2mm，星盆参考尺寸400*400*280mm，防溅板（斜口）立背（垂直度＜2mm），水槽底部能承受100kg载荷（变形量＜3mm）；</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2.水池深≥500mm</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3.工艺要求：产品焊接牢固，表面无明显划痕、锤印及烧痕，边角不允许有尖角和毛刺，焊点平滑均匀，无漏焊及沙眼，焊口处做好抛光防锈处理；</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AA26D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3</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8D71A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台</w:t>
            </w:r>
          </w:p>
        </w:tc>
      </w:tr>
      <w:tr w14:paraId="09A9A6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73"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C9355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1E5E7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冷热水龙头</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20CD1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铜芯</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959856">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1.座台式双孔双温、主体黄铜铸造表面抛光镀铬处理。</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2.配1/4转优质陶瓷阀芯一字型手柄。</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3.八寸（203mm）水嘴，铜管厚度≥1.1mm, 360度可旋转。</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★4）提供节水认证</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6CE42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3</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A5023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套</w:t>
            </w:r>
          </w:p>
        </w:tc>
      </w:tr>
      <w:tr w14:paraId="0DBB7D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15"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71230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4</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03917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电热水器</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EB315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容量≥80L</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1D2E8B">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1.电压：220V/功率≥3KW；</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2.一级能效；</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3.微电脑显示面板，防电墙。</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2FEAF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16C9C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台</w:t>
            </w:r>
          </w:p>
        </w:tc>
      </w:tr>
      <w:tr w14:paraId="016C8C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73"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01306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5</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FC9F4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洗地龙头</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C736B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长度≥15米</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E2338E">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1.加厚不锈钢卷盘和基座，容易调整，挂墙式独立安装；</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2.弹簧合金，超过25kg拉力测试，铜制旋转接头，单手扳机，橡胶限位器，EPDM软管，长度≥15m。</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A5F28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330D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台</w:t>
            </w:r>
          </w:p>
        </w:tc>
      </w:tr>
      <w:tr w14:paraId="36BB6E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39"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D052D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6</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B37C8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餐具及残羹回收台</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45BA6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lang w:val="en-US"/>
              </w:rPr>
            </w:pPr>
            <w:r>
              <w:rPr>
                <w:rFonts w:hint="eastAsia" w:ascii="宋体" w:hAnsi="宋体" w:eastAsia="宋体" w:cs="宋体"/>
                <w:i w:val="0"/>
                <w:iCs w:val="0"/>
                <w:color w:val="000000"/>
                <w:kern w:val="0"/>
                <w:sz w:val="20"/>
                <w:szCs w:val="20"/>
                <w:highlight w:val="none"/>
                <w:u w:val="none"/>
                <w:lang w:val="en-US" w:eastAsia="zh-CN" w:bidi="ar"/>
              </w:rPr>
              <w:t>参考尺寸L=4000mm</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C04F80">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材质选用304不锈钢板材</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1.台面：≥1.5mm厚，下配加强筋，收残孔(Φ200mm）立柱或侧板对台面垂直度（＜5mm），台面能应能承受100kg载荷，变形量（＜3mm）；</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2.层板：≥1.2mm厚，下配加强筋，层板能应能承受100kg载荷，变形量（＜3mm）；</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3.支撑结构：不锈钢圆管（立柱：φ38*1.5mm厚，上配4个脚杯套，下配4个可调子弹脚；横撑φ25*1.2mm厚），立柱与横梁的垂直度（＜6mm/m）；</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4.工艺要求：产品焊接牢固，表面无明显划痕、锤印及烧痕，边角不允许有尖角和毛刺，焊点平滑均匀，无漏焊及沙眼，焊口处做好抛光防锈处理,产品在490N水平集中力的作用下，变形量（＜15mm），去除作用力后，其变形量（＜3mm）</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6D68C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4</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32CB2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米</w:t>
            </w:r>
          </w:p>
        </w:tc>
      </w:tr>
      <w:tr w14:paraId="5DD17F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73"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4A970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7</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B4D79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餐具回收传送带</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190CD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lang w:val="en-US"/>
              </w:rPr>
            </w:pPr>
            <w:r>
              <w:rPr>
                <w:rFonts w:hint="eastAsia" w:ascii="宋体" w:hAnsi="宋体" w:eastAsia="宋体" w:cs="宋体"/>
                <w:i w:val="0"/>
                <w:iCs w:val="0"/>
                <w:color w:val="000000"/>
                <w:kern w:val="0"/>
                <w:sz w:val="20"/>
                <w:szCs w:val="20"/>
                <w:highlight w:val="none"/>
                <w:u w:val="none"/>
                <w:lang w:val="en-US" w:eastAsia="zh-CN" w:bidi="ar"/>
              </w:rPr>
              <w:t>参考尺寸L=7100mm</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89B850">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1.外形尺寸 ≥(L)×520×950 mm</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2.链板宽度≥305 mm</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3.传送速度 ：5~15m/min</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4.电源要求 ：220V/50Hz  功率≥0.45kw</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FEABE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7.1</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8066B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米</w:t>
            </w:r>
          </w:p>
        </w:tc>
      </w:tr>
      <w:tr w14:paraId="57A312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73"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6727D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8</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33A18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超声波洗碗机</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A84B0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lang w:val="en-US"/>
              </w:rPr>
            </w:pPr>
            <w:r>
              <w:rPr>
                <w:rFonts w:hint="eastAsia" w:ascii="宋体" w:hAnsi="宋体" w:eastAsia="宋体" w:cs="宋体"/>
                <w:i w:val="0"/>
                <w:iCs w:val="0"/>
                <w:color w:val="000000"/>
                <w:kern w:val="0"/>
                <w:sz w:val="20"/>
                <w:szCs w:val="20"/>
                <w:highlight w:val="none"/>
                <w:u w:val="none"/>
                <w:lang w:val="en-US" w:eastAsia="zh-CN" w:bidi="ar"/>
              </w:rPr>
              <w:t>参考尺寸1800*800*800mm</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381A57">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1.机身304#不锈钢材质；</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2.控制在右前端、触摸式；</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3.配备水龙头1个、进水软管1条、出水软管1条；</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4）配备超声波发生器，功率≥ 6kw/电压：380V；</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2EDCB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81441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台</w:t>
            </w:r>
          </w:p>
        </w:tc>
      </w:tr>
      <w:tr w14:paraId="784A3C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2"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97A4A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9</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1FCCE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洁碟台</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81DA7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lang w:val="en-US"/>
              </w:rPr>
            </w:pPr>
            <w:r>
              <w:rPr>
                <w:rFonts w:hint="eastAsia" w:ascii="宋体" w:hAnsi="宋体" w:eastAsia="宋体" w:cs="宋体"/>
                <w:i w:val="0"/>
                <w:iCs w:val="0"/>
                <w:color w:val="000000"/>
                <w:kern w:val="0"/>
                <w:sz w:val="20"/>
                <w:szCs w:val="20"/>
                <w:highlight w:val="none"/>
                <w:u w:val="none"/>
                <w:lang w:val="en-US" w:eastAsia="zh-CN" w:bidi="ar"/>
              </w:rPr>
              <w:t>参考尺寸800*800*800mm</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3C0D8C">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1.整体采用304不锈钢制作，台面厚≥1.5mm，</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2.焊口处做好抛光防锈处理。</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51640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CC5C8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台</w:t>
            </w:r>
          </w:p>
        </w:tc>
      </w:tr>
      <w:tr w14:paraId="4C8EA1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549"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272F7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10</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6073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油烟净化一体机</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13397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lang w:val="en-US"/>
              </w:rPr>
            </w:pPr>
            <w:r>
              <w:rPr>
                <w:rFonts w:hint="eastAsia" w:ascii="宋体" w:hAnsi="宋体" w:eastAsia="宋体" w:cs="宋体"/>
                <w:i w:val="0"/>
                <w:iCs w:val="0"/>
                <w:color w:val="000000"/>
                <w:kern w:val="0"/>
                <w:sz w:val="20"/>
                <w:szCs w:val="20"/>
                <w:highlight w:val="none"/>
                <w:u w:val="none"/>
                <w:lang w:val="en-US" w:eastAsia="zh-CN" w:bidi="ar"/>
              </w:rPr>
              <w:t>参考尺寸4500*1200*850mm</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A2A3C5">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1.智能升降式一体净化烟罩控制系统由主控制面板、电源模块、风幕控制模块、照明控制模块、净化模块、排风模块、一键升降等模块组成，采用触摸式一键开启、逐个开启和无接触手势感应启动等多种方式，能自由独立控制设备单个或多个功能；       </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2.智能升降式一体净化烟罩采用食品级不锈钢材料制造，完全符合食品卫生级标准，烟罩安装高度可≤2000mm不影响排烟效果，排烟罩设有污油凝结槽并设活动集油器或清洗排污口，耐酸、耐碱、耐温、阻燃、耐磨、耐拉厨房排油烟设备等功能；</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3.智能升降式一体净化烟罩分段制作，分体式结构，罩体可自由拆卸，多个单元自由拼装，可拆式双层通风侧板，不锈钢螺丝连接拼装，现场安装简单方便，无需现场焊接，美观牢固；</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4.智能升降功能关键解决静电电场的日常维护，大大提升了产品的使用寿命，一键式升降功能将电场直接降落于炉灶上方，直接可取出清洗和简便安装，避免登高作业所带来的安全隐患，一键式升降功能将所有的日常维护和售后维护都集成于罩体下方完成；</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5.配备独立控制的捕捉风幕设计，专用捕捉气流静音风扇、旋风式均流网、内侧捕射气流，具备集烟射流喷气技术，捕捉气流可有效捕获和克制油烟、蒸汽和热能的外溢，每平方米排风量可控制到1500m³/h以内，有效提升排风效果达到节能的功效；</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6.配有高速动态屏蔽器，高速旋转时产生的离心力对油烟、水汽等中的油脂颗粒进行动态拦截，纯物理净化，高效分离油烟中油、气，安全高效净化油烟；</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 7.智能排烟罩高效除油除烟，确保排放达到国家标准，并提供检测报告</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8，电压：380V，功率≥2.5KW*2</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09162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4.5</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87F02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米</w:t>
            </w:r>
          </w:p>
        </w:tc>
      </w:tr>
      <w:tr w14:paraId="6DFA85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2"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F50AF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11</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7C417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不锈钢管道</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67C6C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lang w:val="en-US"/>
              </w:rPr>
            </w:pPr>
            <w:r>
              <w:rPr>
                <w:rFonts w:hint="eastAsia" w:ascii="宋体" w:hAnsi="宋体" w:eastAsia="宋体" w:cs="宋体"/>
                <w:i w:val="0"/>
                <w:iCs w:val="0"/>
                <w:color w:val="000000"/>
                <w:kern w:val="0"/>
                <w:sz w:val="20"/>
                <w:szCs w:val="20"/>
                <w:highlight w:val="none"/>
                <w:u w:val="none"/>
                <w:lang w:val="en-US" w:eastAsia="zh-CN" w:bidi="ar"/>
              </w:rPr>
              <w:t>参考尺寸400*400mm</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5B8469">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采用304优质不锈钢板制造，板厚≥1.5mm，拱板法兰，接缝处整体满焊，加重筋</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019FE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26</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3598E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w:t>
            </w:r>
          </w:p>
        </w:tc>
      </w:tr>
      <w:tr w14:paraId="361E43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5095A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12</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DD5BD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止回阀</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F8DDA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配套管道</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CE64BC">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加厚镀锌板制作</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6EE32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FBAFB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台</w:t>
            </w:r>
          </w:p>
        </w:tc>
      </w:tr>
      <w:tr w14:paraId="5785DB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B8824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13</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99CCC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百叶风口</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D3082C">
            <w:pPr>
              <w:jc w:val="center"/>
              <w:rPr>
                <w:rFonts w:hint="eastAsia" w:ascii="宋体" w:hAnsi="宋体" w:eastAsia="宋体" w:cs="宋体"/>
                <w:i w:val="0"/>
                <w:iCs w:val="0"/>
                <w:color w:val="000000"/>
                <w:sz w:val="20"/>
                <w:szCs w:val="20"/>
                <w:highlight w:val="none"/>
                <w:u w:val="none"/>
              </w:rPr>
            </w:pP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198554">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采用优质铝合金制造，尺寸根据现场</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D7F49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0F31C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台</w:t>
            </w:r>
          </w:p>
        </w:tc>
      </w:tr>
      <w:tr w14:paraId="7295C8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72"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855DF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14</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E57CB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粘捕式灭蝇灯</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BA188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参考尺寸360*170*200mm</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296C12">
            <w:pPr>
              <w:keepNext w:val="0"/>
              <w:keepLines w:val="0"/>
              <w:widowControl/>
              <w:numPr>
                <w:ilvl w:val="0"/>
                <w:numId w:val="0"/>
              </w:numPr>
              <w:suppressLineNumbers w:val="0"/>
              <w:jc w:val="left"/>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 xml:space="preserve">1.无声诱捕                                                      2.采用优质粘虫板，开封后能使用两周左右                                </w:t>
            </w:r>
          </w:p>
          <w:p w14:paraId="5A54D84A">
            <w:pPr>
              <w:keepNext w:val="0"/>
              <w:keepLines w:val="0"/>
              <w:widowControl/>
              <w:numPr>
                <w:ilvl w:val="0"/>
                <w:numId w:val="0"/>
              </w:numPr>
              <w:suppressLineNumbers w:val="0"/>
              <w:ind w:left="0" w:leftChars="0" w:firstLine="0" w:firstLineChars="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3.电压：220V,功率≥8W*2                     </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3192B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E231C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台</w:t>
            </w:r>
          </w:p>
        </w:tc>
      </w:tr>
      <w:tr w14:paraId="515A93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2"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CB608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15</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B4B91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紫外线杀菌灯</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60EEC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lang w:val="en-US"/>
              </w:rPr>
            </w:pPr>
            <w:r>
              <w:rPr>
                <w:rFonts w:hint="eastAsia" w:ascii="宋体" w:hAnsi="宋体" w:eastAsia="宋体" w:cs="宋体"/>
                <w:i w:val="0"/>
                <w:iCs w:val="0"/>
                <w:color w:val="000000"/>
                <w:kern w:val="0"/>
                <w:sz w:val="20"/>
                <w:szCs w:val="20"/>
                <w:highlight w:val="none"/>
                <w:u w:val="none"/>
                <w:lang w:val="en-US" w:eastAsia="zh-CN" w:bidi="ar"/>
              </w:rPr>
              <w:t>参考尺寸1213*28*28mm</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C0F543">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电压:220V</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功率≥36w灯管带底座；挂式</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EC79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20EA4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台</w:t>
            </w:r>
          </w:p>
        </w:tc>
      </w:tr>
      <w:tr w14:paraId="7709C0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919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7A985533">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b/>
                <w:bCs/>
                <w:i w:val="0"/>
                <w:iCs w:val="0"/>
                <w:color w:val="000000"/>
                <w:kern w:val="0"/>
                <w:sz w:val="20"/>
                <w:szCs w:val="20"/>
                <w:highlight w:val="none"/>
                <w:u w:val="none"/>
                <w:lang w:val="en-US" w:eastAsia="zh-CN" w:bidi="ar"/>
              </w:rPr>
              <w:t>餐厅</w:t>
            </w:r>
          </w:p>
        </w:tc>
      </w:tr>
      <w:tr w14:paraId="6DF3BC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98"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3056F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27476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电热暖饭车</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E3AD0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lang w:val="en-US"/>
              </w:rPr>
            </w:pPr>
            <w:r>
              <w:rPr>
                <w:rFonts w:hint="eastAsia" w:ascii="宋体" w:hAnsi="宋体" w:eastAsia="宋体" w:cs="宋体"/>
                <w:i w:val="0"/>
                <w:iCs w:val="0"/>
                <w:color w:val="000000"/>
                <w:kern w:val="0"/>
                <w:sz w:val="20"/>
                <w:szCs w:val="20"/>
                <w:highlight w:val="none"/>
                <w:u w:val="none"/>
                <w:lang w:val="en-US" w:eastAsia="zh-CN" w:bidi="ar"/>
              </w:rPr>
              <w:t>参考尺寸600*600*800mm</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352FBB">
            <w:pPr>
              <w:keepNext w:val="0"/>
              <w:keepLines w:val="0"/>
              <w:widowControl/>
              <w:suppressLineNumbers w:val="0"/>
              <w:jc w:val="left"/>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材质选用304不锈钢板材</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1.台面：采用厚≥1.5mm，星盆：采用厚≥1.2mm，星盆参考尺寸400*400*280mm，防溅板（斜口）立背（垂直度＜2mm），水槽底部能承受100kg载荷（变形量＜3mm）；</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2.柜身采用厚≥1.2mm不锈钢板，门为掩门结构，一体折边扣手，上配门吸，门内填充发泡材料，内侧封板闭合，下配4个不锈钢可调子弹脚，立柱与台面（垂直度＜5mm）；</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3.具有菜品、汤等保温功能；</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 xml:space="preserve">4.工艺要求：产品焊接牢固，表面无明显划痕、锤印及烧痕，边角不允许有尖角和毛刺，焊点平滑均匀，无漏焊及沙眼，焊口处做好抛光防锈处理；      </w:t>
            </w:r>
          </w:p>
          <w:p w14:paraId="0ECEE22E">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5.电压：220V，功率≥3KW.配备电子显示器，带缺水保护功能</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A1B5D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10</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8F5A4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台</w:t>
            </w:r>
          </w:p>
        </w:tc>
      </w:tr>
      <w:tr w14:paraId="522203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98"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43F61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56521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电热暖汤车</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923B7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lang w:val="en-US"/>
              </w:rPr>
            </w:pPr>
            <w:r>
              <w:rPr>
                <w:rFonts w:hint="eastAsia" w:ascii="宋体" w:hAnsi="宋体" w:eastAsia="宋体" w:cs="宋体"/>
                <w:i w:val="0"/>
                <w:iCs w:val="0"/>
                <w:color w:val="000000"/>
                <w:kern w:val="0"/>
                <w:sz w:val="20"/>
                <w:szCs w:val="20"/>
                <w:highlight w:val="none"/>
                <w:u w:val="none"/>
                <w:lang w:val="en-US" w:eastAsia="zh-CN" w:bidi="ar"/>
              </w:rPr>
              <w:t>参考尺寸600*600*800mm</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9E1C39">
            <w:pPr>
              <w:keepNext w:val="0"/>
              <w:keepLines w:val="0"/>
              <w:widowControl/>
              <w:suppressLineNumbers w:val="0"/>
              <w:jc w:val="left"/>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材质选用304不锈钢板材</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1.台面：采用厚≥1.5mm，星盆：采用厚≥1.2mm，星盆参考尺寸400*400*280mm，防溅板（斜口）立背（垂直度＜2mm），水槽底部能承受100kg载荷（变形量＜3mm）；</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2.柜身采用厚≥1.2mm不锈钢板，门为掩门结构，一体折边扣手，上配门吸，门内填充发泡材料，内侧封板闭合，下配4个不锈钢可调子弹脚，立柱与台面（垂直度＜5mm）；</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3.具有菜品、汤等保温功能；</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 xml:space="preserve">4.工艺要求：产品焊接牢固，表面无明显划痕、锤印及烧痕，边角不允许有尖角和毛刺，焊点平滑均匀，无漏焊及沙眼，焊口处做好抛光防锈处理；      </w:t>
            </w:r>
          </w:p>
          <w:p w14:paraId="7698FEC4">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5.电压：220V，功率≥4KW.配备电子显示器，带缺水保护功能</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9FE7B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10</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4354A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台</w:t>
            </w:r>
          </w:p>
        </w:tc>
      </w:tr>
      <w:tr w14:paraId="59584BA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73"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5F4293">
            <w:pPr>
              <w:jc w:val="center"/>
              <w:rPr>
                <w:rFonts w:hint="eastAsia" w:ascii="宋体" w:hAnsi="宋体" w:eastAsia="宋体" w:cs="宋体"/>
                <w:i w:val="0"/>
                <w:iCs w:val="0"/>
                <w:color w:val="000000"/>
                <w:sz w:val="20"/>
                <w:szCs w:val="20"/>
                <w:highlight w:val="none"/>
                <w:u w:val="none"/>
              </w:rPr>
            </w:pP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1EC89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餐具保洁柜</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E8E0D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lang w:val="en-US"/>
              </w:rPr>
            </w:pPr>
            <w:r>
              <w:rPr>
                <w:rFonts w:hint="eastAsia" w:ascii="宋体" w:hAnsi="宋体" w:eastAsia="宋体" w:cs="宋体"/>
                <w:i w:val="0"/>
                <w:iCs w:val="0"/>
                <w:color w:val="000000"/>
                <w:kern w:val="0"/>
                <w:sz w:val="20"/>
                <w:szCs w:val="20"/>
                <w:highlight w:val="none"/>
                <w:u w:val="none"/>
                <w:lang w:val="en-US" w:eastAsia="zh-CN" w:bidi="ar"/>
              </w:rPr>
              <w:t>参考尺寸600*600*600mm</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D39924">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1.整体采用SUS304不锈钢制作；</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2.台面厚度≥1.5mm，用厚≥1.0mm不锈钢板折成加强筋加固；</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3.层板、底板、侧板及门面采用厚≥1.0mm不锈钢板制作；</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4.加强筋厚度≥1.5mm，配置不锈钢可调子弹脚。</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453C5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10</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A382F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台</w:t>
            </w:r>
          </w:p>
        </w:tc>
      </w:tr>
      <w:tr w14:paraId="3F6A26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0A4DB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3</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F83CD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一开三温</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直饮水机</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2BF32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lang w:val="en-US"/>
              </w:rPr>
            </w:pPr>
            <w:r>
              <w:rPr>
                <w:rFonts w:hint="eastAsia" w:ascii="宋体" w:hAnsi="宋体" w:eastAsia="宋体" w:cs="宋体"/>
                <w:i w:val="0"/>
                <w:iCs w:val="0"/>
                <w:color w:val="auto"/>
                <w:kern w:val="0"/>
                <w:sz w:val="20"/>
                <w:szCs w:val="20"/>
                <w:highlight w:val="none"/>
                <w:u w:val="none"/>
                <w:lang w:val="en-US" w:eastAsia="zh-CN" w:bidi="ar"/>
              </w:rPr>
              <w:t>参考尺寸1100x420x1450mm</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E27380">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过滤系统：三级过滤/超滤/RO反渗透</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内胆材质：304-1Cr18Ni8</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出水方式：一开三温</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电压：220V 50Hz 加热功率≥3kw，保温功率≥2KW.</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适用水压：0.1-6Mpa 内胆容积≥30L</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供应源：市政自来水 可供人数≥150人</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供水量：开水≥45L/H 温开水≥250L/H</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随机配件：堵头一只,40转25接头一只, 虑瓶扳手一只，304波纹管一只80cm,排水管一只80cm;显示屏：LCD液晶显示</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内胆材质：食品级304#不锈钢</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安全等级：防蒸汽、防超温、防触电、防干烧、防缺水</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智能系统：智能控温、智能定时开关、智能水位显示、智能换芯提示、智能故障上报</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895B8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3</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60008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台</w:t>
            </w:r>
          </w:p>
        </w:tc>
      </w:tr>
      <w:tr w14:paraId="771E22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73"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4D846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4</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CF1B7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风幕机</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B1B2F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参考尺寸L=1500mm</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2A5D54">
            <w:pPr>
              <w:keepNext w:val="0"/>
              <w:keepLines w:val="0"/>
              <w:widowControl/>
              <w:numPr>
                <w:ilvl w:val="0"/>
                <w:numId w:val="0"/>
              </w:numPr>
              <w:suppressLineNumbers w:val="0"/>
              <w:jc w:val="left"/>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1.风轮经过优化设计，采用优质铝合金制造而成，既有运行平稳，噪音低等特点；</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 xml:space="preserve">2.全金属机身，外壳采用优质钢板，整机防火，耐腐植性能佳，坚固耐用   </w:t>
            </w:r>
          </w:p>
          <w:p w14:paraId="057F5AFB">
            <w:pPr>
              <w:keepNext w:val="0"/>
              <w:keepLines w:val="0"/>
              <w:widowControl/>
              <w:numPr>
                <w:ilvl w:val="0"/>
                <w:numId w:val="0"/>
              </w:numPr>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3.电压220V，功率≥160W。</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A8A15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6</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9D519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台</w:t>
            </w:r>
          </w:p>
        </w:tc>
      </w:tr>
      <w:tr w14:paraId="7D9653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73"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79C10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5</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84535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风幕机</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B1FE4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lang w:val="en-US"/>
              </w:rPr>
            </w:pPr>
            <w:r>
              <w:rPr>
                <w:rFonts w:hint="eastAsia" w:ascii="宋体" w:hAnsi="宋体" w:eastAsia="宋体" w:cs="宋体"/>
                <w:i w:val="0"/>
                <w:iCs w:val="0"/>
                <w:color w:val="000000"/>
                <w:kern w:val="0"/>
                <w:sz w:val="20"/>
                <w:szCs w:val="20"/>
                <w:highlight w:val="none"/>
                <w:u w:val="none"/>
                <w:lang w:val="en-US" w:eastAsia="zh-CN" w:bidi="ar"/>
              </w:rPr>
              <w:t>参考尺寸L=2400mm</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1B94C5">
            <w:pPr>
              <w:keepNext w:val="0"/>
              <w:keepLines w:val="0"/>
              <w:widowControl/>
              <w:numPr>
                <w:ilvl w:val="0"/>
                <w:numId w:val="12"/>
              </w:numPr>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风轮经过优化设计，采用优质铝合金制造而成，既有运行平稳，噪音低等特点；</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 xml:space="preserve">2.全金属机身，外壳采用优质钢板，整机防火，耐腐植性能佳，坚固耐用  </w:t>
            </w:r>
          </w:p>
          <w:p w14:paraId="14155205">
            <w:pPr>
              <w:keepNext w:val="0"/>
              <w:keepLines w:val="0"/>
              <w:widowControl/>
              <w:numPr>
                <w:ilvl w:val="0"/>
                <w:numId w:val="0"/>
              </w:numPr>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3.电压220V，功率≥300W。</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23FAB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625B2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台</w:t>
            </w:r>
          </w:p>
        </w:tc>
      </w:tr>
      <w:tr w14:paraId="663EE5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36"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24735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6</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27F89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洗手通池</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B139A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lang w:val="en-US"/>
              </w:rPr>
            </w:pPr>
            <w:r>
              <w:rPr>
                <w:rFonts w:hint="eastAsia" w:ascii="宋体" w:hAnsi="宋体" w:eastAsia="宋体" w:cs="宋体"/>
                <w:i w:val="0"/>
                <w:iCs w:val="0"/>
                <w:color w:val="000000"/>
                <w:kern w:val="0"/>
                <w:sz w:val="20"/>
                <w:szCs w:val="20"/>
                <w:highlight w:val="none"/>
                <w:u w:val="none"/>
                <w:lang w:val="en-US" w:eastAsia="zh-CN" w:bidi="ar"/>
              </w:rPr>
              <w:t>参考尺寸3000*450*800mm</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B4BF5C">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材质选用304不锈钢板材</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1）台面：采用厚≥1.5mm，星盆：采用厚≥1.2mm，星盆尺寸400*400*280mm，防溅板（斜口）立背（垂直度＜2mm），水槽底部能承受100kg载荷（变形量＜3mm）；</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2）下配4个不锈钢可调子弹脚，立柱与台面（垂直度＜5mm）；</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3）工艺要求：产品焊接牢固，表面无明显划痕、锤印及烧痕，边角不允许有尖角和毛刺，焊点平滑均匀，无漏焊及沙眼，焊口处做好抛光防锈处理；</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43AC7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8FDC0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台</w:t>
            </w:r>
          </w:p>
        </w:tc>
      </w:tr>
      <w:tr w14:paraId="277B84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73"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F0A59F">
            <w:pPr>
              <w:jc w:val="center"/>
              <w:rPr>
                <w:rFonts w:hint="eastAsia" w:ascii="宋体" w:hAnsi="宋体" w:eastAsia="宋体" w:cs="宋体"/>
                <w:i w:val="0"/>
                <w:iCs w:val="0"/>
                <w:color w:val="000000"/>
                <w:sz w:val="20"/>
                <w:szCs w:val="20"/>
                <w:highlight w:val="none"/>
                <w:u w:val="none"/>
              </w:rPr>
            </w:pP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6213B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水龙头</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EF38F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铜芯</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7FB278">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1.座台式双孔双温、主体黄铜铸造表面抛光镀铬处理。</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2.配1/4转优质陶瓷阀芯一字型手柄。</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3.八寸（203mm）水嘴，铜管厚度≥1.1mm, 360度可旋转。</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★4.提供节水认证</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4642A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10</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D0A1D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台</w:t>
            </w:r>
          </w:p>
        </w:tc>
      </w:tr>
      <w:tr w14:paraId="52B703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73"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9273C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8</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6EE43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四人连体餐桌椅</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19BC7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lang w:val="en-US"/>
              </w:rPr>
            </w:pPr>
            <w:r>
              <w:rPr>
                <w:rFonts w:hint="eastAsia" w:ascii="宋体" w:hAnsi="宋体" w:eastAsia="宋体" w:cs="宋体"/>
                <w:i w:val="0"/>
                <w:iCs w:val="0"/>
                <w:color w:val="000000"/>
                <w:kern w:val="0"/>
                <w:sz w:val="20"/>
                <w:szCs w:val="20"/>
                <w:highlight w:val="none"/>
                <w:u w:val="none"/>
                <w:lang w:val="en-US" w:eastAsia="zh-CN" w:bidi="ar"/>
              </w:rPr>
              <w:t>参考尺寸1200*600*750mm</w:t>
            </w:r>
          </w:p>
        </w:tc>
        <w:tc>
          <w:tcPr>
            <w:tcW w:w="474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7EB923E">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桌板厚度约 2-4CM； 桌面≥1.2mm厚优质不锈钢板内衬2cm防水机制板、支架、坐凳均为优质不锈钢，支架≥48*1.5mm方管或圆管满焊，坐凳厚≥1.2mm，和地面接触位置装有防滑脚垫。</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9ABC1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187</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21BDD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套</w:t>
            </w:r>
          </w:p>
        </w:tc>
      </w:tr>
      <w:tr w14:paraId="18A4E0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99"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0CD10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9</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FA43F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粘捕式灭蝇灯</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7FFAA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lang w:val="en-US"/>
              </w:rPr>
            </w:pPr>
            <w:r>
              <w:rPr>
                <w:rFonts w:hint="eastAsia" w:ascii="宋体" w:hAnsi="宋体" w:eastAsia="宋体" w:cs="宋体"/>
                <w:i w:val="0"/>
                <w:iCs w:val="0"/>
                <w:color w:val="000000"/>
                <w:kern w:val="0"/>
                <w:sz w:val="20"/>
                <w:szCs w:val="20"/>
                <w:highlight w:val="none"/>
                <w:u w:val="none"/>
                <w:lang w:val="en-US" w:eastAsia="zh-CN" w:bidi="ar"/>
              </w:rPr>
              <w:t>参考尺寸360*170*200mm</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FC31F2">
            <w:pPr>
              <w:keepNext w:val="0"/>
              <w:keepLines w:val="0"/>
              <w:widowControl/>
              <w:numPr>
                <w:ilvl w:val="0"/>
                <w:numId w:val="0"/>
              </w:numPr>
              <w:suppressLineNumbers w:val="0"/>
              <w:jc w:val="left"/>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 xml:space="preserve">1.无声诱捕                                                      2.采用优质粘虫板，开封后能使用两周左右                                </w:t>
            </w:r>
          </w:p>
          <w:p w14:paraId="4DF32852">
            <w:pPr>
              <w:keepNext w:val="0"/>
              <w:keepLines w:val="0"/>
              <w:widowControl/>
              <w:numPr>
                <w:ilvl w:val="0"/>
                <w:numId w:val="0"/>
              </w:numPr>
              <w:suppressLineNumbers w:val="0"/>
              <w:ind w:left="0" w:leftChars="0" w:firstLine="0" w:firstLineChars="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3.电压：220V,功率≥8W*2                     </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BFFD8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23</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F4AA1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台</w:t>
            </w:r>
          </w:p>
        </w:tc>
      </w:tr>
      <w:tr w14:paraId="55C5AD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2"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A1A99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10</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EB173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紫外线杀菌灯</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6C30D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lang w:val="en-US"/>
              </w:rPr>
            </w:pPr>
            <w:r>
              <w:rPr>
                <w:rFonts w:hint="eastAsia" w:ascii="宋体" w:hAnsi="宋体" w:eastAsia="宋体" w:cs="宋体"/>
                <w:i w:val="0"/>
                <w:iCs w:val="0"/>
                <w:color w:val="000000"/>
                <w:kern w:val="0"/>
                <w:sz w:val="20"/>
                <w:szCs w:val="20"/>
                <w:highlight w:val="none"/>
                <w:u w:val="none"/>
                <w:lang w:val="en-US" w:eastAsia="zh-CN" w:bidi="ar"/>
              </w:rPr>
              <w:t>参考尺寸1213*28*28mm</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A88082">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电压:220V</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功率≥36w灯管带底座；挂式</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0B50D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18</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0AAD9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台</w:t>
            </w:r>
          </w:p>
        </w:tc>
      </w:tr>
      <w:tr w14:paraId="04A4EA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919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32652A66">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b/>
                <w:bCs/>
                <w:i w:val="0"/>
                <w:iCs w:val="0"/>
                <w:color w:val="000000"/>
                <w:kern w:val="0"/>
                <w:sz w:val="20"/>
                <w:szCs w:val="20"/>
                <w:highlight w:val="none"/>
                <w:u w:val="none"/>
                <w:lang w:val="en-US" w:eastAsia="zh-CN" w:bidi="ar"/>
              </w:rPr>
              <w:t>排烟系统</w:t>
            </w:r>
          </w:p>
        </w:tc>
      </w:tr>
      <w:tr w14:paraId="236DEB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171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81C336">
            <w:pPr>
              <w:keepNext w:val="0"/>
              <w:keepLines w:val="0"/>
              <w:widowControl/>
              <w:suppressLineNumbers w:val="0"/>
              <w:jc w:val="center"/>
              <w:textAlignment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kern w:val="0"/>
                <w:sz w:val="20"/>
                <w:szCs w:val="20"/>
                <w:highlight w:val="none"/>
                <w:u w:val="none"/>
                <w:lang w:val="en-US" w:eastAsia="zh-CN" w:bidi="ar"/>
              </w:rPr>
              <w:t>排烟系统</w:t>
            </w:r>
          </w:p>
        </w:tc>
        <w:tc>
          <w:tcPr>
            <w:tcW w:w="14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32DE84">
            <w:pPr>
              <w:jc w:val="center"/>
              <w:rPr>
                <w:rFonts w:hint="eastAsia" w:ascii="宋体" w:hAnsi="宋体" w:eastAsia="宋体" w:cs="宋体"/>
                <w:i w:val="0"/>
                <w:iCs w:val="0"/>
                <w:color w:val="000000"/>
                <w:sz w:val="20"/>
                <w:szCs w:val="20"/>
                <w:highlight w:val="none"/>
                <w:u w:val="none"/>
              </w:rPr>
            </w:pPr>
          </w:p>
        </w:tc>
        <w:tc>
          <w:tcPr>
            <w:tcW w:w="47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86E473">
            <w:pPr>
              <w:jc w:val="left"/>
              <w:rPr>
                <w:rFonts w:hint="eastAsia" w:ascii="宋体" w:hAnsi="宋体" w:eastAsia="宋体" w:cs="宋体"/>
                <w:i w:val="0"/>
                <w:iCs w:val="0"/>
                <w:color w:val="000000"/>
                <w:sz w:val="20"/>
                <w:szCs w:val="20"/>
                <w:highlight w:val="none"/>
                <w:u w:val="none"/>
              </w:rPr>
            </w:pPr>
          </w:p>
        </w:tc>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53CD89">
            <w:pPr>
              <w:jc w:val="center"/>
              <w:rPr>
                <w:rFonts w:hint="eastAsia" w:ascii="宋体" w:hAnsi="宋体" w:eastAsia="宋体" w:cs="宋体"/>
                <w:i w:val="0"/>
                <w:iCs w:val="0"/>
                <w:color w:val="000000"/>
                <w:sz w:val="20"/>
                <w:szCs w:val="20"/>
                <w:highlight w:val="none"/>
                <w:u w:val="none"/>
              </w:rPr>
            </w:pPr>
          </w:p>
        </w:tc>
        <w:tc>
          <w:tcPr>
            <w:tcW w:w="6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1DBB45">
            <w:pPr>
              <w:jc w:val="center"/>
              <w:rPr>
                <w:rFonts w:hint="eastAsia" w:ascii="宋体" w:hAnsi="宋体" w:eastAsia="宋体" w:cs="宋体"/>
                <w:i w:val="0"/>
                <w:iCs w:val="0"/>
                <w:color w:val="000000"/>
                <w:sz w:val="20"/>
                <w:szCs w:val="20"/>
                <w:highlight w:val="none"/>
                <w:u w:val="none"/>
              </w:rPr>
            </w:pPr>
          </w:p>
        </w:tc>
      </w:tr>
      <w:tr w14:paraId="058B2C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2"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31797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30ACC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不锈钢排烟管道</w:t>
            </w:r>
          </w:p>
        </w:tc>
        <w:tc>
          <w:tcPr>
            <w:tcW w:w="14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65270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lang w:val="en-US"/>
              </w:rPr>
            </w:pPr>
            <w:r>
              <w:rPr>
                <w:rFonts w:hint="eastAsia" w:ascii="宋体" w:hAnsi="宋体" w:eastAsia="宋体" w:cs="宋体"/>
                <w:i w:val="0"/>
                <w:iCs w:val="0"/>
                <w:color w:val="000000"/>
                <w:kern w:val="0"/>
                <w:sz w:val="20"/>
                <w:szCs w:val="20"/>
                <w:highlight w:val="none"/>
                <w:u w:val="none"/>
                <w:lang w:val="en-US" w:eastAsia="zh-CN" w:bidi="ar"/>
              </w:rPr>
              <w:t>参考尺寸1200*600mm</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8FA1AB">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采用304优质不锈钢板制造，板厚≥1.0mm，拱板法兰，接缝处整体满焊，加重筋</w:t>
            </w:r>
          </w:p>
        </w:tc>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F8FF7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890</w:t>
            </w:r>
          </w:p>
        </w:tc>
        <w:tc>
          <w:tcPr>
            <w:tcW w:w="6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0B89B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w:t>
            </w:r>
          </w:p>
        </w:tc>
      </w:tr>
      <w:tr w14:paraId="1163CE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89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07A17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7EC9D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低噪音排烟风柜</w:t>
            </w:r>
          </w:p>
        </w:tc>
        <w:tc>
          <w:tcPr>
            <w:tcW w:w="14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38FC6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功率≥15KW</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DB13CF">
            <w:pPr>
              <w:keepNext w:val="0"/>
              <w:keepLines w:val="0"/>
              <w:widowControl/>
              <w:numPr>
                <w:ilvl w:val="0"/>
                <w:numId w:val="13"/>
              </w:numPr>
              <w:suppressLineNumbers w:val="0"/>
              <w:jc w:val="left"/>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风量：≥35000m³/h全压：≥900Pa；</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2.多翼式离心结构，双吸式蜗壳吸风；骨架≥Q235-L50*5角铁，外壳为≥2.0mm厚静电喷漆SPCC冷轧板或镀锌板；低碳钢叶轮 B型三角带。提供合格有效的检验报告；</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3.通过GB/T 1236-2017《工业通风机 用标准化风道性能试验》，GB/T 2888-2008&lt;&lt;风机和罗茨鼓风机噪声测量方法》，JB/T 8689-2014《通风机振动检测及其限值》，JB/T 8690-2014&lt;&lt;通风机 噪声限值》，JB/T 10563-2006《一般用途离心通风机技术条件》。提供具有国家CMA/ILAC-MRA/CNAS认证机构出具的有效期范围内检测报告，复印件加盖厂家公章；</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4.型号系列符合GB19761-2020《通风机能效限定值及能效等级》，能源效率等级评定≥2级，提供有效期范围内检测报告，复印件加盖厂家公章；</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5.核心部件叶轮通过JB/T6445-2017《通风机叶轮超速试验》检测，平衡品质等级≥G2.5，并评定合格。提供具有国家CMA/ILAC-MRA/CNAS认证机构出具的有效期范围内检测报告，复印件加盖厂家公章；</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 xml:space="preserve">6.风机品牌企业制造提供标识有CNAS标志的《CCCF产品认证证书》，复印件加盖厂家公章；                                                               7.所投风机具有通过 GB/T 4208-2017《电气产品防水等级认证实施规则》要求，防水等级≥IPX4。提供第三方认证机构出具《电气产品防水等级认证证书》复印件；                                                                  </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 xml:space="preserve">8.所投风机具有通过电工电器产品防腐性能要求，防腐等级≥WF2。提供第三方认证机构出具《防腐蚀等级认证证书》复印件；                       9.所投风机具有通过GB 8624-2012产品标准和技术要求符合CVC04023-2023 《CVC标志认证实施规则建筑材料及其制品燃烧性能等级认证》要求，燃烧等级≥A级。提供第三方认证机构出具《产品燃烧性能等级认证证书》复印件;  </w:t>
            </w:r>
          </w:p>
          <w:p w14:paraId="23BCA88F">
            <w:pPr>
              <w:keepNext w:val="0"/>
              <w:keepLines w:val="0"/>
              <w:widowControl/>
              <w:numPr>
                <w:ilvl w:val="0"/>
                <w:numId w:val="0"/>
              </w:numPr>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 10,电压：380V,功率≥15KW.</w:t>
            </w:r>
          </w:p>
        </w:tc>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81BCA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w:t>
            </w:r>
          </w:p>
        </w:tc>
        <w:tc>
          <w:tcPr>
            <w:tcW w:w="6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429D6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台</w:t>
            </w:r>
          </w:p>
        </w:tc>
      </w:tr>
      <w:tr w14:paraId="5F4924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24"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436CC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3</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E9CF3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油烟净化器</w:t>
            </w:r>
          </w:p>
        </w:tc>
        <w:tc>
          <w:tcPr>
            <w:tcW w:w="14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58FA0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风量≥40000m³/h</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315C05">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1.烟净化设备须符合餐饮业污染物排放标准，油烟净化设备去除效率不低于95%。颗粒物浓度≤5.0mg/m³、油烟浓度≤1.0mg/m³、非甲烷总烃浓度≤10.0mg/m³。</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2.外壳全部为1.2mm以上厚度的碳钢材质，设备外壳喷涂工艺上采用热固性纯聚酯粉末涂料。各级组件都有自己的检修门以于检查维护时不影响别的组件。</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3.电场主体为板式结构，电离丝存在受热易脆情况，需采用不锈钢锯齿结构放电，以保证长久耐用和避免电离丝积油变粗影响电离效果，收集段为板式结构，材质为优质铝镁合金，版式收集段为避免吸附不彻底和风速过快导致的不稳定，不得为平板，需要具有至少4个以上折痕用于提升吸附效果和稳定性。</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4.电离和收集器为独立结构，电离器为不锈钢锯齿形状结构，收集器为铝镁合金版式结构。为了保证更多收集面积和提升设备运维时长，收集器极板的间距不大于7.5mm。电场吸附板面积需大于195*470mm以上尺寸。</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5.电场主体绝缘子采用陶瓷绝缘子，不得采用塑胶等普通材质进行绝缘。</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6.设备电源为智能数字恒压电源，高压电源可在-30°C-＋90°C的环境下持续工作数小时而不发生故障。提供合格有效的检验报告,                     7,电压：220V，功率≥600W。</w:t>
            </w:r>
          </w:p>
        </w:tc>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8BAFB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w:t>
            </w:r>
          </w:p>
        </w:tc>
        <w:tc>
          <w:tcPr>
            <w:tcW w:w="6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13308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台</w:t>
            </w:r>
          </w:p>
        </w:tc>
      </w:tr>
      <w:tr w14:paraId="7F4028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74"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5C448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4</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5B712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风柜支架</w:t>
            </w:r>
          </w:p>
        </w:tc>
        <w:tc>
          <w:tcPr>
            <w:tcW w:w="14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CABD0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配套风柜</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8429AF">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1.根据风柜尺寸定，选用≥50*50*4的角钢焊接而成，并做防锈处理，与管道连接选用铁铆钉；如与标准发生冲突，以标准执行。 </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2、优质钢材一体成型。</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3、荷载范围广，使用安全可靠，工作寿命长。</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4、对工作环境适应性强 ，并能在-40℃-110℃环境下正常工作。</w:t>
            </w:r>
          </w:p>
        </w:tc>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1416A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w:t>
            </w:r>
          </w:p>
        </w:tc>
        <w:tc>
          <w:tcPr>
            <w:tcW w:w="6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176E9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套</w:t>
            </w:r>
          </w:p>
        </w:tc>
      </w:tr>
      <w:tr w14:paraId="015D32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74"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A539D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5</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9C205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净化器支架</w:t>
            </w:r>
          </w:p>
        </w:tc>
        <w:tc>
          <w:tcPr>
            <w:tcW w:w="14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D35FB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配套净化器</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D85C6C">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1.根据净化器尺寸定，选用≥50*50*4的角钢焊接而成，并做防锈处理，与管道连接选用铁铆钉；如与标准发生冲突，以标准执行。 </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2、优质钢材一体成型。</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3、荷载范围广，使用安全可靠，工作寿命长。</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4、对工作环境适应性强 ，并能在-40℃-110℃环境下正常工作。</w:t>
            </w:r>
          </w:p>
        </w:tc>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5476D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w:t>
            </w:r>
          </w:p>
        </w:tc>
        <w:tc>
          <w:tcPr>
            <w:tcW w:w="6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6B087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套</w:t>
            </w:r>
          </w:p>
        </w:tc>
      </w:tr>
      <w:tr w14:paraId="13E416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1"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D799E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6</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2C0A1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软连接</w:t>
            </w:r>
          </w:p>
        </w:tc>
        <w:tc>
          <w:tcPr>
            <w:tcW w:w="14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8D54F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配套</w:t>
            </w:r>
          </w:p>
        </w:tc>
        <w:tc>
          <w:tcPr>
            <w:tcW w:w="47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58B451">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采用三防布材质制造，防水、防油、防水。</w:t>
            </w:r>
          </w:p>
        </w:tc>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1C186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w:t>
            </w:r>
          </w:p>
        </w:tc>
        <w:tc>
          <w:tcPr>
            <w:tcW w:w="6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9C5E3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副</w:t>
            </w:r>
          </w:p>
        </w:tc>
      </w:tr>
      <w:tr w14:paraId="3225A7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54"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9B45D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7</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FFEE0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防火阀</w:t>
            </w:r>
          </w:p>
        </w:tc>
        <w:tc>
          <w:tcPr>
            <w:tcW w:w="14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4B15B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配套</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A33F37">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1.防火阀外框采用≥1.2mm冷扎板并进行喷涂处理制作，叶片采用≥1.2mm冷扎板并进行喷涂处理制作。</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2.设备为熔断式防火阀，阀门平时常开，当管道内温度达到易熔片≥150摄氏度时自动将阀门关闭。</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3.手动关闭或手动复位。</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4. 0°～90°范围内手动调节叶片开启度（调节型）。</w:t>
            </w:r>
          </w:p>
        </w:tc>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96E7B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w:t>
            </w:r>
          </w:p>
        </w:tc>
        <w:tc>
          <w:tcPr>
            <w:tcW w:w="6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B3528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台</w:t>
            </w:r>
          </w:p>
        </w:tc>
      </w:tr>
      <w:tr w14:paraId="1D22F4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79"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ED830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8</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13A4F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风柜变频启动箱</w:t>
            </w:r>
          </w:p>
        </w:tc>
        <w:tc>
          <w:tcPr>
            <w:tcW w:w="14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AD462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功率≥15KW</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8FD969">
            <w:pPr>
              <w:keepNext w:val="0"/>
              <w:keepLines w:val="0"/>
              <w:widowControl/>
              <w:numPr>
                <w:ilvl w:val="0"/>
                <w:numId w:val="14"/>
              </w:numPr>
              <w:suppressLineNumbers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智能控制器操作界面；</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2.启动停止过程无极调速，风机轴承、皮带基本没有磨损；</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3.风机、净化联动控制，抽排净化效果更好；</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4.通过上下按键可调整风量，按需使用，同时节省风机用电量；</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5.具有节能、强排、静音三种模式。</w:t>
            </w:r>
          </w:p>
          <w:p w14:paraId="193BB3C1">
            <w:pPr>
              <w:pStyle w:val="5"/>
              <w:numPr>
                <w:ilvl w:val="0"/>
                <w:numId w:val="0"/>
              </w:numPr>
              <w:ind w:leftChars="0"/>
              <w:jc w:val="both"/>
              <w:rPr>
                <w:rFonts w:hint="eastAsia" w:ascii="宋体" w:hAnsi="宋体" w:eastAsia="宋体" w:cs="宋体"/>
                <w:color w:val="auto"/>
                <w:sz w:val="20"/>
                <w:szCs w:val="20"/>
                <w:highlight w:val="none"/>
                <w:lang w:val="en-US" w:eastAsia="zh-CN"/>
              </w:rPr>
            </w:pPr>
            <w:r>
              <w:rPr>
                <w:rFonts w:hint="eastAsia" w:ascii="宋体" w:hAnsi="宋体" w:eastAsia="宋体" w:cs="宋体"/>
                <w:i w:val="0"/>
                <w:iCs w:val="0"/>
                <w:color w:val="auto"/>
                <w:kern w:val="0"/>
                <w:sz w:val="20"/>
                <w:szCs w:val="20"/>
                <w:highlight w:val="none"/>
                <w:u w:val="none"/>
                <w:lang w:val="en-US" w:eastAsia="zh-CN" w:bidi="ar"/>
              </w:rPr>
              <w:t>6、额定输入电压：380V，额定输出电流：32A，适配电机功率≥15KW</w:t>
            </w:r>
          </w:p>
        </w:tc>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1303D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w:t>
            </w:r>
          </w:p>
        </w:tc>
        <w:tc>
          <w:tcPr>
            <w:tcW w:w="6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6D534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台</w:t>
            </w:r>
          </w:p>
        </w:tc>
      </w:tr>
      <w:tr w14:paraId="7EF89D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C8E05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9</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1357D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阻尼减震器</w:t>
            </w:r>
          </w:p>
        </w:tc>
        <w:tc>
          <w:tcPr>
            <w:tcW w:w="14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BCAC6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配套风柜</w:t>
            </w:r>
          </w:p>
        </w:tc>
        <w:tc>
          <w:tcPr>
            <w:tcW w:w="47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61F5F6">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减震外壳为铸铁，上下座面有防滑橡胶垫。</w:t>
            </w:r>
          </w:p>
        </w:tc>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ECF03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8</w:t>
            </w:r>
          </w:p>
        </w:tc>
        <w:tc>
          <w:tcPr>
            <w:tcW w:w="6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F701E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套</w:t>
            </w:r>
          </w:p>
        </w:tc>
      </w:tr>
      <w:tr w14:paraId="34FDBC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9195" w:type="dxa"/>
            <w:gridSpan w:val="6"/>
            <w:tcBorders>
              <w:top w:val="single" w:color="auto" w:sz="4" w:space="0"/>
              <w:left w:val="single" w:color="auto" w:sz="4" w:space="0"/>
              <w:bottom w:val="single" w:color="auto" w:sz="4" w:space="0"/>
              <w:right w:val="single" w:color="auto" w:sz="4" w:space="0"/>
            </w:tcBorders>
            <w:shd w:val="clear" w:color="auto" w:fill="auto"/>
            <w:noWrap/>
            <w:vAlign w:val="center"/>
          </w:tcPr>
          <w:p w14:paraId="25139093">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b/>
                <w:bCs/>
                <w:i w:val="0"/>
                <w:iCs w:val="0"/>
                <w:color w:val="000000"/>
                <w:kern w:val="0"/>
                <w:sz w:val="20"/>
                <w:szCs w:val="20"/>
                <w:highlight w:val="none"/>
                <w:u w:val="none"/>
                <w:lang w:val="en-US" w:eastAsia="zh-CN" w:bidi="ar"/>
              </w:rPr>
              <w:t>送风系统</w:t>
            </w:r>
          </w:p>
        </w:tc>
      </w:tr>
      <w:tr w14:paraId="531910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868" w:hRule="atLeast"/>
        </w:trPr>
        <w:tc>
          <w:tcPr>
            <w:tcW w:w="540" w:type="dxa"/>
            <w:tcBorders>
              <w:top w:val="single" w:color="auto" w:sz="4" w:space="0"/>
              <w:left w:val="single" w:color="000000" w:sz="4" w:space="0"/>
              <w:bottom w:val="single" w:color="000000" w:sz="4" w:space="0"/>
              <w:right w:val="single" w:color="000000" w:sz="4" w:space="0"/>
            </w:tcBorders>
            <w:shd w:val="clear" w:color="auto" w:fill="auto"/>
            <w:noWrap/>
            <w:vAlign w:val="center"/>
          </w:tcPr>
          <w:p w14:paraId="1619CF8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w:t>
            </w:r>
          </w:p>
        </w:tc>
        <w:tc>
          <w:tcPr>
            <w:tcW w:w="1170" w:type="dxa"/>
            <w:tcBorders>
              <w:top w:val="single" w:color="auto" w:sz="4" w:space="0"/>
              <w:left w:val="single" w:color="000000" w:sz="4" w:space="0"/>
              <w:bottom w:val="single" w:color="000000" w:sz="4" w:space="0"/>
              <w:right w:val="single" w:color="000000" w:sz="4" w:space="0"/>
            </w:tcBorders>
            <w:shd w:val="clear" w:color="auto" w:fill="auto"/>
            <w:noWrap/>
            <w:vAlign w:val="center"/>
          </w:tcPr>
          <w:p w14:paraId="050EDEC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低噪音送风风柜</w:t>
            </w:r>
          </w:p>
        </w:tc>
        <w:tc>
          <w:tcPr>
            <w:tcW w:w="1440" w:type="dxa"/>
            <w:tcBorders>
              <w:top w:val="single" w:color="auto" w:sz="4" w:space="0"/>
              <w:left w:val="single" w:color="000000" w:sz="4" w:space="0"/>
              <w:bottom w:val="single" w:color="000000" w:sz="4" w:space="0"/>
              <w:right w:val="single" w:color="000000" w:sz="4" w:space="0"/>
            </w:tcBorders>
            <w:shd w:val="clear" w:color="auto" w:fill="auto"/>
            <w:noWrap/>
            <w:vAlign w:val="center"/>
          </w:tcPr>
          <w:p w14:paraId="6DE8C26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功率≥3KW</w:t>
            </w:r>
          </w:p>
        </w:tc>
        <w:tc>
          <w:tcPr>
            <w:tcW w:w="4746" w:type="dxa"/>
            <w:tcBorders>
              <w:top w:val="single" w:color="auto" w:sz="4" w:space="0"/>
              <w:left w:val="single" w:color="000000" w:sz="4" w:space="0"/>
              <w:bottom w:val="single" w:color="000000" w:sz="4" w:space="0"/>
              <w:right w:val="single" w:color="000000" w:sz="4" w:space="0"/>
            </w:tcBorders>
            <w:shd w:val="clear" w:color="auto" w:fill="auto"/>
            <w:vAlign w:val="center"/>
          </w:tcPr>
          <w:p w14:paraId="5E99FF4F">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1.风量：≥15077m³/h全压：≥603Pa.2.多翼式离心结构，双吸式蜗壳吸风；骨架Q235-L50*5角铁，外壳为2.0mm厚静电喷漆SPCC冷轧板或镀锌板；低碳钢叶轮 B型三角带。提供合格有效的检验报告。3、通过GB/T 1236-2017《工业通风机 用标准化风道性能试验》，GB/T 2888-2008&lt;&lt;风机和罗茨鼓风机噪声测量方法》，JB/T 8689-2014《通风机振动检测及其限值》，JB/T 8690-2014&lt;&lt;通风机 噪声限值》，JB/T 10563-2006《一般用途离心通风机技术条件》。提供具有国家CMA/ILAC-MRA/CNAS认证机构出具的有效期范围内检测报告，复印件加盖厂家公章；★4、型号系列符合GB19761-2020《通风机能效限定值及能效等级》，能源效率等级评定为2级，提供有效期范围内检测报告，复印件加盖厂家公章；5、核心部件叶轮通过JB/T6445-2017《通风机叶轮超速试验》检测，平衡品质等级达到G2.5，并评定合格。提供具有国家CMA/ILAC-MRA/CNAS认证机构出具的有效期范围内检测报告，复印件加盖厂家公章；★6、风机品牌企业制造提供标识有CNAS标志的《CCCF产品认证证书》，复印件加盖厂家公章。                                                                ★7、所投风机具有通过 GB/T 4208-2017《电气产品防水等级认证实施规则》要求，防水等级:IPX4。提供第三方认证机构出具《电气产品防水等级认证证书》复印件。                                                                  ★8、所投风机具有通过JB/T 9536-2 《产品认证实施规则-电工电器产品防腐性能》要求，防腐等级：WF2。提供第三方认证机构出具《防腐蚀等级认证证书》复印件。                                                                  ★9、所投风机具有通过GB 8624-2012产品标准和技术要求符合CVC04023-2023 《CVC标志认证实施规则建筑材料及其制品燃烧性能等级认证》要求，燃烧等级：A级。提供第三方认证机构出具《产品燃烧性能等级认证证书》复印件9，电压：380V，功率≥3KW.</w:t>
            </w:r>
          </w:p>
        </w:tc>
        <w:tc>
          <w:tcPr>
            <w:tcW w:w="698" w:type="dxa"/>
            <w:tcBorders>
              <w:top w:val="single" w:color="auto" w:sz="4" w:space="0"/>
              <w:left w:val="single" w:color="000000" w:sz="4" w:space="0"/>
              <w:bottom w:val="single" w:color="000000" w:sz="4" w:space="0"/>
              <w:right w:val="single" w:color="000000" w:sz="4" w:space="0"/>
            </w:tcBorders>
            <w:shd w:val="clear" w:color="auto" w:fill="auto"/>
            <w:noWrap/>
            <w:vAlign w:val="center"/>
          </w:tcPr>
          <w:p w14:paraId="22F2AC5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3</w:t>
            </w:r>
          </w:p>
        </w:tc>
        <w:tc>
          <w:tcPr>
            <w:tcW w:w="601" w:type="dxa"/>
            <w:tcBorders>
              <w:top w:val="single" w:color="auto" w:sz="4" w:space="0"/>
              <w:left w:val="single" w:color="000000" w:sz="4" w:space="0"/>
              <w:bottom w:val="single" w:color="000000" w:sz="4" w:space="0"/>
              <w:right w:val="single" w:color="000000" w:sz="4" w:space="0"/>
            </w:tcBorders>
            <w:shd w:val="clear" w:color="auto" w:fill="auto"/>
            <w:noWrap/>
            <w:vAlign w:val="center"/>
          </w:tcPr>
          <w:p w14:paraId="2F44043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台</w:t>
            </w:r>
          </w:p>
        </w:tc>
      </w:tr>
      <w:tr w14:paraId="5569EE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73"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31E43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084E8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风柜支架连减震器</w:t>
            </w:r>
          </w:p>
        </w:tc>
        <w:tc>
          <w:tcPr>
            <w:tcW w:w="14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9F564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配套</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6D2492">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1.国标C8#槽钢制作风机底座主体。</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2.槽钢所有面积涂刷防锈漆做防锈处理。</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3.焊接加固时要求焊缝平滑。</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4.减震外壳为铸铁，上下座面有防滑橡胶垫。</w:t>
            </w:r>
          </w:p>
        </w:tc>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5345C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3</w:t>
            </w:r>
          </w:p>
        </w:tc>
        <w:tc>
          <w:tcPr>
            <w:tcW w:w="6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55229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套</w:t>
            </w:r>
          </w:p>
        </w:tc>
      </w:tr>
      <w:tr w14:paraId="00BD06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4"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718D7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3</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D82B9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风柜变频启动箱</w:t>
            </w:r>
          </w:p>
        </w:tc>
        <w:tc>
          <w:tcPr>
            <w:tcW w:w="14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8DBF8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3KW</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571F32">
            <w:pPr>
              <w:keepNext w:val="0"/>
              <w:keepLines w:val="0"/>
              <w:widowControl/>
              <w:numPr>
                <w:ilvl w:val="0"/>
                <w:numId w:val="15"/>
              </w:numPr>
              <w:suppressLineNumbers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智能控制器操作界面；</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2.启动停止过程无极调速，风机轴承、皮带基本没有磨损；</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3.风机、净化联动控制，抽排净化效果更好；</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4.通过上下按键可调整风量，按需使用，同时节省风机用电量；</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5.具有节能、强排、静音三种模式。</w:t>
            </w:r>
          </w:p>
          <w:p w14:paraId="7A82EC5E">
            <w:pPr>
              <w:pStyle w:val="5"/>
              <w:numPr>
                <w:ilvl w:val="0"/>
                <w:numId w:val="0"/>
              </w:numPr>
              <w:ind w:leftChars="0"/>
              <w:jc w:val="both"/>
              <w:rPr>
                <w:rFonts w:hint="eastAsia" w:ascii="宋体" w:hAnsi="宋体" w:eastAsia="宋体" w:cs="宋体"/>
                <w:color w:val="auto"/>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6、额定输入电压：380V，额定输出电流：10A，适配电机功率≥3KW</w:t>
            </w:r>
          </w:p>
        </w:tc>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1E3E3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w:t>
            </w:r>
          </w:p>
        </w:tc>
        <w:tc>
          <w:tcPr>
            <w:tcW w:w="6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3FAEB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r>
      <w:tr w14:paraId="310AE3A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6DD8D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4</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215EF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软连接</w:t>
            </w:r>
          </w:p>
        </w:tc>
        <w:tc>
          <w:tcPr>
            <w:tcW w:w="14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F7D83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配套</w:t>
            </w:r>
          </w:p>
        </w:tc>
        <w:tc>
          <w:tcPr>
            <w:tcW w:w="47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9E5613">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采用三防布材质制造，防水、防油、防水。</w:t>
            </w:r>
          </w:p>
        </w:tc>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2FB92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3</w:t>
            </w:r>
          </w:p>
        </w:tc>
        <w:tc>
          <w:tcPr>
            <w:tcW w:w="6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69E64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套</w:t>
            </w:r>
          </w:p>
        </w:tc>
      </w:tr>
      <w:tr w14:paraId="183D08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4132A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5</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48C35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新风百叶风口</w:t>
            </w:r>
          </w:p>
        </w:tc>
        <w:tc>
          <w:tcPr>
            <w:tcW w:w="14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33865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配套</w:t>
            </w:r>
          </w:p>
        </w:tc>
        <w:tc>
          <w:tcPr>
            <w:tcW w:w="47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8B7BC3">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lang w:val="en-US"/>
              </w:rPr>
            </w:pPr>
            <w:r>
              <w:rPr>
                <w:rFonts w:hint="eastAsia" w:ascii="宋体" w:hAnsi="宋体" w:eastAsia="宋体" w:cs="宋体"/>
                <w:i w:val="0"/>
                <w:iCs w:val="0"/>
                <w:color w:val="000000"/>
                <w:kern w:val="0"/>
                <w:sz w:val="20"/>
                <w:szCs w:val="20"/>
                <w:highlight w:val="none"/>
                <w:u w:val="none"/>
                <w:lang w:val="en-US" w:eastAsia="zh-CN" w:bidi="ar"/>
              </w:rPr>
              <w:t>采用优质铝合金制造，参考尺寸300*300mm</w:t>
            </w:r>
          </w:p>
        </w:tc>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BEEC8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20</w:t>
            </w:r>
          </w:p>
        </w:tc>
        <w:tc>
          <w:tcPr>
            <w:tcW w:w="6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2EE40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个</w:t>
            </w:r>
          </w:p>
        </w:tc>
      </w:tr>
      <w:tr w14:paraId="7D054D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CE5C8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6</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D8D72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一体小型新风机</w:t>
            </w:r>
          </w:p>
        </w:tc>
        <w:tc>
          <w:tcPr>
            <w:tcW w:w="14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70FB60">
            <w:pPr>
              <w:jc w:val="center"/>
              <w:rPr>
                <w:rFonts w:hint="eastAsia" w:ascii="宋体" w:hAnsi="宋体" w:eastAsia="宋体" w:cs="宋体"/>
                <w:i w:val="0"/>
                <w:iCs w:val="0"/>
                <w:color w:val="000000"/>
                <w:sz w:val="20"/>
                <w:szCs w:val="20"/>
                <w:highlight w:val="none"/>
                <w:u w:val="none"/>
              </w:rPr>
            </w:pPr>
          </w:p>
        </w:tc>
        <w:tc>
          <w:tcPr>
            <w:tcW w:w="47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3ADF60">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风力强劲，换气效果好，电压220V</w:t>
            </w:r>
          </w:p>
        </w:tc>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831CB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6</w:t>
            </w:r>
          </w:p>
        </w:tc>
        <w:tc>
          <w:tcPr>
            <w:tcW w:w="6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8ECF8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台</w:t>
            </w:r>
          </w:p>
        </w:tc>
      </w:tr>
      <w:tr w14:paraId="482ACF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24D6A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7</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92E08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消音管</w:t>
            </w:r>
          </w:p>
        </w:tc>
        <w:tc>
          <w:tcPr>
            <w:tcW w:w="14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D12AA7">
            <w:pPr>
              <w:jc w:val="center"/>
              <w:rPr>
                <w:rFonts w:hint="eastAsia" w:ascii="宋体" w:hAnsi="宋体" w:eastAsia="宋体" w:cs="宋体"/>
                <w:i w:val="0"/>
                <w:iCs w:val="0"/>
                <w:color w:val="000000"/>
                <w:sz w:val="20"/>
                <w:szCs w:val="20"/>
                <w:highlight w:val="none"/>
                <w:u w:val="none"/>
              </w:rPr>
            </w:pPr>
          </w:p>
        </w:tc>
        <w:tc>
          <w:tcPr>
            <w:tcW w:w="47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4519B4">
            <w:pPr>
              <w:jc w:val="center"/>
              <w:rPr>
                <w:rFonts w:hint="eastAsia" w:ascii="宋体" w:hAnsi="宋体" w:eastAsia="宋体" w:cs="宋体"/>
                <w:i w:val="0"/>
                <w:iCs w:val="0"/>
                <w:color w:val="000000"/>
                <w:sz w:val="20"/>
                <w:szCs w:val="20"/>
                <w:highlight w:val="none"/>
                <w:u w:val="none"/>
              </w:rPr>
            </w:pPr>
          </w:p>
        </w:tc>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439A2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w:t>
            </w:r>
          </w:p>
        </w:tc>
        <w:tc>
          <w:tcPr>
            <w:tcW w:w="6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8425A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节</w:t>
            </w:r>
          </w:p>
        </w:tc>
      </w:tr>
      <w:tr w14:paraId="31412F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6A6E3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7</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144E8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新风管道</w:t>
            </w:r>
          </w:p>
        </w:tc>
        <w:tc>
          <w:tcPr>
            <w:tcW w:w="14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4F31A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lang w:val="en-US"/>
              </w:rPr>
            </w:pPr>
            <w:r>
              <w:rPr>
                <w:rFonts w:hint="eastAsia" w:ascii="宋体" w:hAnsi="宋体" w:eastAsia="宋体" w:cs="宋体"/>
                <w:i w:val="0"/>
                <w:iCs w:val="0"/>
                <w:color w:val="000000"/>
                <w:kern w:val="0"/>
                <w:sz w:val="20"/>
                <w:szCs w:val="20"/>
                <w:highlight w:val="none"/>
                <w:u w:val="none"/>
                <w:lang w:val="en-US" w:eastAsia="zh-CN" w:bidi="ar"/>
              </w:rPr>
              <w:t>参考尺寸600*300mm</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1743C9">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采用镀锌板制造，板厚≥1.0mm，共板法兰，加重筋</w:t>
            </w:r>
          </w:p>
        </w:tc>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A486B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453</w:t>
            </w:r>
          </w:p>
        </w:tc>
        <w:tc>
          <w:tcPr>
            <w:tcW w:w="6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E16A8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平方</w:t>
            </w:r>
          </w:p>
        </w:tc>
      </w:tr>
      <w:tr w14:paraId="3936D7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AE80D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8</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76D13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铝合金百叶窗</w:t>
            </w:r>
          </w:p>
        </w:tc>
        <w:tc>
          <w:tcPr>
            <w:tcW w:w="14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B5E5E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配套进风口</w:t>
            </w:r>
          </w:p>
        </w:tc>
        <w:tc>
          <w:tcPr>
            <w:tcW w:w="47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4941E0">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采用优质铝合金制造，尺寸根据现场</w:t>
            </w:r>
          </w:p>
        </w:tc>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BB907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w:t>
            </w:r>
          </w:p>
        </w:tc>
        <w:tc>
          <w:tcPr>
            <w:tcW w:w="6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9846D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套</w:t>
            </w:r>
          </w:p>
        </w:tc>
      </w:tr>
      <w:tr w14:paraId="471B1D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1"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3A28B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9</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C7ADE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调风阀</w:t>
            </w:r>
          </w:p>
        </w:tc>
        <w:tc>
          <w:tcPr>
            <w:tcW w:w="14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D3650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配套</w:t>
            </w:r>
          </w:p>
        </w:tc>
        <w:tc>
          <w:tcPr>
            <w:tcW w:w="47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AD4660">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加厚镀锌板制作</w:t>
            </w:r>
          </w:p>
        </w:tc>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381C4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3</w:t>
            </w:r>
          </w:p>
        </w:tc>
        <w:tc>
          <w:tcPr>
            <w:tcW w:w="6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868D6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台</w:t>
            </w:r>
          </w:p>
        </w:tc>
      </w:tr>
      <w:tr w14:paraId="3D532C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30193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10</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9FA86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辅材料</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D7117E">
            <w:pPr>
              <w:jc w:val="center"/>
              <w:rPr>
                <w:rFonts w:hint="eastAsia" w:ascii="宋体" w:hAnsi="宋体" w:eastAsia="宋体" w:cs="宋体"/>
                <w:i w:val="0"/>
                <w:iCs w:val="0"/>
                <w:color w:val="000000"/>
                <w:sz w:val="20"/>
                <w:szCs w:val="20"/>
                <w:highlight w:val="none"/>
                <w:u w:val="none"/>
              </w:rPr>
            </w:pP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201EBF">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辅料 (钢链、花兰、密封胶、膨胀螺丝、 吊杆等)</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E0ABB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44165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项</w:t>
            </w:r>
          </w:p>
        </w:tc>
      </w:tr>
      <w:tr w14:paraId="62CA04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919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36A8B5F8">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b/>
                <w:bCs/>
                <w:i w:val="0"/>
                <w:iCs w:val="0"/>
                <w:color w:val="000000"/>
                <w:kern w:val="0"/>
                <w:sz w:val="20"/>
                <w:szCs w:val="20"/>
                <w:highlight w:val="none"/>
                <w:u w:val="none"/>
                <w:lang w:val="en-US" w:eastAsia="zh-CN" w:bidi="ar"/>
              </w:rPr>
              <w:t>后厨杂件</w:t>
            </w:r>
          </w:p>
        </w:tc>
      </w:tr>
      <w:tr w14:paraId="298845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1"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351A6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34608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餐盘</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77247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五格</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155A2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lang w:val="en-US"/>
              </w:rPr>
            </w:pPr>
            <w:r>
              <w:rPr>
                <w:rFonts w:hint="eastAsia" w:ascii="宋体" w:hAnsi="宋体" w:eastAsia="宋体" w:cs="宋体"/>
                <w:i w:val="0"/>
                <w:iCs w:val="0"/>
                <w:color w:val="auto"/>
                <w:kern w:val="0"/>
                <w:sz w:val="20"/>
                <w:szCs w:val="20"/>
                <w:highlight w:val="none"/>
                <w:u w:val="none"/>
                <w:lang w:val="en-US" w:eastAsia="zh-CN" w:bidi="ar"/>
              </w:rPr>
              <w:t>选用304食品级优质不锈钢制作，厚度≥1.8mm</w:t>
            </w:r>
          </w:p>
        </w:tc>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E2ABD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2000</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6A637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个</w:t>
            </w:r>
          </w:p>
        </w:tc>
      </w:tr>
      <w:tr w14:paraId="44E05D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9B20B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23DB6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面碗</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B9E7B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约18cm</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39705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lang w:val="en-US"/>
              </w:rPr>
            </w:pPr>
            <w:r>
              <w:rPr>
                <w:rFonts w:hint="eastAsia" w:ascii="宋体" w:hAnsi="宋体" w:eastAsia="宋体" w:cs="宋体"/>
                <w:i w:val="0"/>
                <w:iCs w:val="0"/>
                <w:color w:val="auto"/>
                <w:kern w:val="0"/>
                <w:sz w:val="20"/>
                <w:szCs w:val="20"/>
                <w:highlight w:val="none"/>
                <w:u w:val="none"/>
                <w:lang w:val="en-US" w:eastAsia="zh-CN" w:bidi="ar"/>
              </w:rPr>
              <w:t>选用304食品级优质不锈钢制作，重量≥220g</w:t>
            </w:r>
          </w:p>
        </w:tc>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1BD72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2000</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01702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个</w:t>
            </w:r>
          </w:p>
        </w:tc>
      </w:tr>
      <w:tr w14:paraId="3BDC7C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A7CA2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EA566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汤碗</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8BF02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约12cm</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D98E0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选用304食品级优质不锈钢制作，重量≥100g</w:t>
            </w:r>
          </w:p>
        </w:tc>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FA9EB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2000</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CBA1D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个</w:t>
            </w:r>
          </w:p>
        </w:tc>
      </w:tr>
      <w:tr w14:paraId="290B95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8509A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02B77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筷子</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24BF9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约23cm</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21507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选用304食品级优质不锈钢制作，重量≥19g</w:t>
            </w:r>
          </w:p>
        </w:tc>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F43E1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2000</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6B1BF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双</w:t>
            </w:r>
          </w:p>
        </w:tc>
      </w:tr>
      <w:tr w14:paraId="2B3122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89860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73B10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勺子</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6B610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大弯勺</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762C5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选用304食品级优质不锈钢制作</w:t>
            </w:r>
          </w:p>
        </w:tc>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C5BC1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2000</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7FA62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个</w:t>
            </w:r>
          </w:p>
        </w:tc>
      </w:tr>
      <w:tr w14:paraId="7D8323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48725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1B3DC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不锈钢大盆</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A69C4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约80cm</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29D31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选用304食品级优质不锈钢制作，加厚款</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32FA1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8</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55148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个</w:t>
            </w:r>
          </w:p>
        </w:tc>
      </w:tr>
      <w:tr w14:paraId="2735F6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90B35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C3541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不锈钢中盆</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D4BC3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约60cm</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A70D3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选用304食品级优质不锈钢制作，加厚款</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84A75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10</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EB158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个</w:t>
            </w:r>
          </w:p>
        </w:tc>
      </w:tr>
      <w:tr w14:paraId="20565E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E634D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20DBE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米饭盘</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29870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约600mm×400mm×48mm</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2F9D6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选用304食品级优质不锈钢制作，重量≥1.2kg</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7757D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60</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732DD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个</w:t>
            </w:r>
          </w:p>
        </w:tc>
      </w:tr>
      <w:tr w14:paraId="3BD47F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1"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0F27A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C7786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蒸馍盘</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318D6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约600mm×400mm×48mm</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32C80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选用304食品级优质不锈钢制作，重量≥1.1kg</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24FD4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60</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D26F5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个</w:t>
            </w:r>
          </w:p>
        </w:tc>
      </w:tr>
      <w:tr w14:paraId="73E18F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219F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9406D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留样盒</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3EE2C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约350ml</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3D29C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食品级透明玻璃</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66C2C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30</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EAE14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个</w:t>
            </w:r>
          </w:p>
        </w:tc>
      </w:tr>
      <w:tr w14:paraId="01ABB1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7F3AA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D6B96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份数盒</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8D938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一分之一</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BF7E7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选用304食品级优质不锈钢制作，加厚款</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3DEB0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10</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E3ABA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套</w:t>
            </w:r>
          </w:p>
        </w:tc>
      </w:tr>
      <w:tr w14:paraId="24F9AD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E05B4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12</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C7004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电子秤</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F8A65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约150kg</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AE2B5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约150公斤</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8D88A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49C67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个</w:t>
            </w:r>
          </w:p>
        </w:tc>
      </w:tr>
      <w:tr w14:paraId="158022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9EBEF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13</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B53F9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面盆</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02A44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约38cm</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0EE69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选用304食品级优质不锈钢制作，加厚款</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B57D9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15</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6A725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个</w:t>
            </w:r>
          </w:p>
        </w:tc>
      </w:tr>
      <w:tr w14:paraId="24497B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32DE4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14</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EB76D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塑料菜墩</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E25A6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lang w:val="en-US"/>
              </w:rPr>
            </w:pPr>
            <w:r>
              <w:rPr>
                <w:rFonts w:hint="eastAsia" w:ascii="宋体" w:hAnsi="宋体" w:eastAsia="宋体" w:cs="宋体"/>
                <w:i w:val="0"/>
                <w:iCs w:val="0"/>
                <w:color w:val="auto"/>
                <w:kern w:val="0"/>
                <w:sz w:val="20"/>
                <w:szCs w:val="20"/>
                <w:highlight w:val="none"/>
                <w:u w:val="none"/>
                <w:lang w:val="en-US" w:eastAsia="zh-CN" w:bidi="ar"/>
              </w:rPr>
              <w:t>约45*10cm</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F08A0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优质PE塑料</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D85D1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8</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3CC8C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个</w:t>
            </w:r>
          </w:p>
        </w:tc>
      </w:tr>
      <w:tr w14:paraId="35FD58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2251A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15</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21812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塑料案板</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5F1C5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lang w:val="en-US"/>
              </w:rPr>
            </w:pPr>
            <w:r>
              <w:rPr>
                <w:rFonts w:hint="eastAsia" w:ascii="宋体" w:hAnsi="宋体" w:eastAsia="宋体" w:cs="宋体"/>
                <w:i w:val="0"/>
                <w:iCs w:val="0"/>
                <w:color w:val="auto"/>
                <w:kern w:val="0"/>
                <w:sz w:val="20"/>
                <w:szCs w:val="20"/>
                <w:highlight w:val="none"/>
                <w:u w:val="none"/>
                <w:lang w:val="en-US" w:eastAsia="zh-CN" w:bidi="ar"/>
              </w:rPr>
              <w:t>约30*40cm</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F1112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优质PE塑料</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FFEB1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5</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A82C1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个</w:t>
            </w:r>
          </w:p>
        </w:tc>
      </w:tr>
      <w:tr w14:paraId="6513E2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53104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16</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D3154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片刀</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5E976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2号</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04D0D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选用304食品级优质不锈钢制作</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DFB76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10</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FECDC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把</w:t>
            </w:r>
          </w:p>
        </w:tc>
      </w:tr>
      <w:tr w14:paraId="6D97D5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70F0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17</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8E5A1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骨刀</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2DCA0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1号</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23F8D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选用304食品级优质不锈钢制作</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9DF07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5</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E19E5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把</w:t>
            </w:r>
          </w:p>
        </w:tc>
      </w:tr>
      <w:tr w14:paraId="64D058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1"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69E2A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18</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C7FD2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台式电磁炉</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C3720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约3KW</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CE485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电压：220V，功率</w:t>
            </w:r>
            <w:r>
              <w:rPr>
                <w:rFonts w:hint="eastAsia" w:ascii="宋体" w:hAnsi="宋体" w:eastAsia="宋体" w:cs="宋体"/>
                <w:i w:val="0"/>
                <w:iCs w:val="0"/>
                <w:color w:val="000000"/>
                <w:kern w:val="0"/>
                <w:sz w:val="20"/>
                <w:szCs w:val="20"/>
                <w:highlight w:val="none"/>
                <w:u w:val="none"/>
                <w:lang w:val="en-US" w:eastAsia="zh-CN" w:bidi="ar"/>
              </w:rPr>
              <w:t>≥</w:t>
            </w:r>
            <w:r>
              <w:rPr>
                <w:rFonts w:hint="eastAsia" w:ascii="宋体" w:hAnsi="宋体" w:eastAsia="宋体" w:cs="宋体"/>
                <w:i w:val="0"/>
                <w:iCs w:val="0"/>
                <w:color w:val="auto"/>
                <w:kern w:val="0"/>
                <w:sz w:val="20"/>
                <w:szCs w:val="20"/>
                <w:highlight w:val="none"/>
                <w:u w:val="none"/>
                <w:lang w:val="en-US" w:eastAsia="zh-CN" w:bidi="ar"/>
              </w:rPr>
              <w:t>3KW</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30CC1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CCAED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台</w:t>
            </w:r>
          </w:p>
        </w:tc>
      </w:tr>
      <w:tr w14:paraId="21C8B0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1"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A0FFD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19</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5B66E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大铲</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C30D5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约18公分</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750A9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选用304食品级优质不锈钢制作，加厚款</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F4C0A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6</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8E558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个</w:t>
            </w:r>
          </w:p>
        </w:tc>
      </w:tr>
      <w:tr w14:paraId="7BD0CF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A9824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4F5B4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把铲</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BDB18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1.5*3号</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A513A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选用304食品级优质不锈钢制作，加厚款</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C8462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5</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AE167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个</w:t>
            </w:r>
          </w:p>
        </w:tc>
      </w:tr>
      <w:tr w14:paraId="6B8D59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1C253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21</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2E5CE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钢柄蛋勺</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3820F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约12寸</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94C05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选用304食品级优质不锈钢制作，加厚款</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759C0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5</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AB06E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个</w:t>
            </w:r>
          </w:p>
        </w:tc>
      </w:tr>
      <w:tr w14:paraId="6E0753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A8943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22</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96B7B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水勺</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D4F69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lang w:val="en-US"/>
              </w:rPr>
            </w:pPr>
            <w:r>
              <w:rPr>
                <w:rFonts w:hint="eastAsia" w:ascii="宋体" w:hAnsi="宋体" w:eastAsia="宋体" w:cs="宋体"/>
                <w:i w:val="0"/>
                <w:iCs w:val="0"/>
                <w:color w:val="auto"/>
                <w:kern w:val="0"/>
                <w:sz w:val="20"/>
                <w:szCs w:val="20"/>
                <w:highlight w:val="none"/>
                <w:u w:val="none"/>
                <w:lang w:val="en-US" w:eastAsia="zh-CN" w:bidi="ar"/>
              </w:rPr>
              <w:t>约35*18cm</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1A9BA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选用304食品级优质不锈钢制作，加厚款</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4C944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5</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C687B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个</w:t>
            </w:r>
          </w:p>
        </w:tc>
      </w:tr>
      <w:tr w14:paraId="104FC7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DF9AD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23</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9204E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空心勺</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FAA03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S型</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4FAA8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选用304食品级优质不锈钢制作，加厚款</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DC079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10</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D56A2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个</w:t>
            </w:r>
          </w:p>
        </w:tc>
      </w:tr>
      <w:tr w14:paraId="49BFDA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1"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A86B2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24</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377E7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擀杖</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99D4D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约30cm</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8F5E3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实木</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D63DD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5</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43FB0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个</w:t>
            </w:r>
          </w:p>
        </w:tc>
      </w:tr>
      <w:tr w14:paraId="6AD1D6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1"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24856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25</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702EA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大肚擀杖</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B6A16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约35cm</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5CE08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实木</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81A83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5</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F8713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个</w:t>
            </w:r>
          </w:p>
        </w:tc>
      </w:tr>
      <w:tr w14:paraId="6E81DF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1"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D940B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26</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FC252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1米擀杖</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8B4D0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约1米</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2E59F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实木</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8E58A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3</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590DD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个</w:t>
            </w:r>
          </w:p>
        </w:tc>
      </w:tr>
      <w:tr w14:paraId="247513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5257B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27</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EA36A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反边面盆</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C0C99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lang w:val="en-US"/>
              </w:rPr>
            </w:pPr>
            <w:r>
              <w:rPr>
                <w:rFonts w:hint="eastAsia" w:ascii="宋体" w:hAnsi="宋体" w:eastAsia="宋体" w:cs="宋体"/>
                <w:i w:val="0"/>
                <w:iCs w:val="0"/>
                <w:color w:val="auto"/>
                <w:kern w:val="0"/>
                <w:sz w:val="20"/>
                <w:szCs w:val="20"/>
                <w:highlight w:val="none"/>
                <w:u w:val="none"/>
                <w:lang w:val="en-US" w:eastAsia="zh-CN" w:bidi="ar"/>
              </w:rPr>
              <w:t>约45cm</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16E43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选用304食品级优质不锈钢制作，加厚款</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97C48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10</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4B322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个</w:t>
            </w:r>
          </w:p>
        </w:tc>
      </w:tr>
      <w:tr w14:paraId="3633BD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1"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56B3F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28</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73FD7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洗米漏</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E0EF5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lang w:val="en-US"/>
              </w:rPr>
            </w:pPr>
            <w:r>
              <w:rPr>
                <w:rFonts w:hint="eastAsia" w:ascii="宋体" w:hAnsi="宋体" w:eastAsia="宋体" w:cs="宋体"/>
                <w:i w:val="0"/>
                <w:iCs w:val="0"/>
                <w:color w:val="auto"/>
                <w:kern w:val="0"/>
                <w:sz w:val="20"/>
                <w:szCs w:val="20"/>
                <w:highlight w:val="none"/>
                <w:u w:val="none"/>
                <w:lang w:val="en-US" w:eastAsia="zh-CN" w:bidi="ar"/>
              </w:rPr>
              <w:t>约38cm</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3EF6F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选用304食品级优质不锈钢制作</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07132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5</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AA33D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个</w:t>
            </w:r>
          </w:p>
        </w:tc>
      </w:tr>
      <w:tr w14:paraId="4B3DAD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1"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898EA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29</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8CA85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绿筐</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D778C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2号</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68601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优质塑料</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20A5C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15</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B67A5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个</w:t>
            </w:r>
          </w:p>
        </w:tc>
      </w:tr>
      <w:tr w14:paraId="49B946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0CE0B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30</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4A6D1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带耳筐</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17C19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2号</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74B10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优质塑料</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244AC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20</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D0DAC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个</w:t>
            </w:r>
          </w:p>
        </w:tc>
      </w:tr>
      <w:tr w14:paraId="087682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BBC15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31</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1BAC5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味盅</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50472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约14cm</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08B68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选用304食品级优质不锈钢制作，加厚款</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5CA4F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20</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05570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个</w:t>
            </w:r>
          </w:p>
        </w:tc>
      </w:tr>
      <w:tr w14:paraId="123E36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542C6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32</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5C920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不锈钢水壶</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5AACF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约5L</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3D57A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选用304食品级优质不锈钢制作</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C3959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5</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45F4A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个</w:t>
            </w:r>
          </w:p>
        </w:tc>
      </w:tr>
      <w:tr w14:paraId="27ABC4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1"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67FBE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33</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8AA6C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打饭勺</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2633A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约10cm</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6B01B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选用304食品级优质不锈钢制作，加厚款</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7A055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20</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5C0A7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个</w:t>
            </w:r>
          </w:p>
        </w:tc>
      </w:tr>
      <w:tr w14:paraId="3512BC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0E520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34</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FA7CE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中勺</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0D498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约8cm</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5A62D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选用304食品级优质不锈钢制作，加厚款</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5591F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10</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61253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个</w:t>
            </w:r>
          </w:p>
        </w:tc>
      </w:tr>
      <w:tr w14:paraId="63E183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97199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35</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D0BDE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果汁壶</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674A4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约3500ml</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F98F5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食品级材料</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83DF2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10</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470E3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个</w:t>
            </w:r>
          </w:p>
        </w:tc>
      </w:tr>
      <w:tr w14:paraId="650004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15066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36</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A7B33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笊篱</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41EA2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lang w:val="en-US"/>
              </w:rPr>
            </w:pPr>
            <w:r>
              <w:rPr>
                <w:rFonts w:hint="eastAsia" w:ascii="宋体" w:hAnsi="宋体" w:eastAsia="宋体" w:cs="宋体"/>
                <w:i w:val="0"/>
                <w:iCs w:val="0"/>
                <w:color w:val="auto"/>
                <w:kern w:val="0"/>
                <w:sz w:val="20"/>
                <w:szCs w:val="20"/>
                <w:highlight w:val="none"/>
                <w:u w:val="none"/>
                <w:lang w:val="en-US" w:eastAsia="zh-CN" w:bidi="ar"/>
              </w:rPr>
              <w:t>约28*30cm</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4381B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选用304食品级优质不锈钢制作，加厚款</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556DE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5</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FD479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个</w:t>
            </w:r>
          </w:p>
        </w:tc>
      </w:tr>
      <w:tr w14:paraId="2847F4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8C64A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37</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DA35B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笊篱</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C26F9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lang w:val="en-US"/>
              </w:rPr>
            </w:pPr>
            <w:r>
              <w:rPr>
                <w:rFonts w:hint="eastAsia" w:ascii="宋体" w:hAnsi="宋体" w:eastAsia="宋体" w:cs="宋体"/>
                <w:i w:val="0"/>
                <w:iCs w:val="0"/>
                <w:color w:val="auto"/>
                <w:kern w:val="0"/>
                <w:sz w:val="20"/>
                <w:szCs w:val="20"/>
                <w:highlight w:val="none"/>
                <w:u w:val="none"/>
                <w:lang w:val="en-US" w:eastAsia="zh-CN" w:bidi="ar"/>
              </w:rPr>
              <w:t>约28*40cm</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CFE7C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选用304食品级优质不锈钢制作，加厚款</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EC12F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5</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5D7D7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个</w:t>
            </w:r>
          </w:p>
        </w:tc>
      </w:tr>
      <w:tr w14:paraId="0E3B5B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EBF79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38</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BC683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高温手套</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45E7E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大号</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6C8AB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耐高温型</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D6D3F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5</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0D4D5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双</w:t>
            </w:r>
          </w:p>
        </w:tc>
      </w:tr>
      <w:tr w14:paraId="06B195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F14FC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39</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0AC5B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木扁铲</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2272E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中号</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5A1AD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实木</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12BFC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5</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11ECD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个</w:t>
            </w:r>
          </w:p>
        </w:tc>
      </w:tr>
      <w:tr w14:paraId="75F96D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31378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40</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267E9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长筷</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B3D39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约43cm</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71DAB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实木</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CBFE3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5</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7BEE8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双</w:t>
            </w:r>
          </w:p>
        </w:tc>
      </w:tr>
      <w:tr w14:paraId="4512FA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E5A9F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41</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CB69B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竹筷子</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3C765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约28cm</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0B5F0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食品级</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4C2CC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20</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F11FB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包</w:t>
            </w:r>
          </w:p>
        </w:tc>
      </w:tr>
      <w:tr w14:paraId="3F58EF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55EB8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42</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5D667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油石</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F2B19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中号</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CE538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双面型</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ACD1B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10</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8265C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个</w:t>
            </w:r>
          </w:p>
        </w:tc>
      </w:tr>
      <w:tr w14:paraId="2A007B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CF3FF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43</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598F6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厨房剪刀</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026E0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中号</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9ACE5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选用304食品级优质不锈钢制作</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1333E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5</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CD9EB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个</w:t>
            </w:r>
          </w:p>
        </w:tc>
      </w:tr>
      <w:tr w14:paraId="394E3E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4B59A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44</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5F2DF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削皮刀</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29A2B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大号</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7B0D7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选用304食品级优质不锈钢制作</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6C553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5</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E018D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个</w:t>
            </w:r>
          </w:p>
        </w:tc>
      </w:tr>
      <w:tr w14:paraId="394F18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CB64B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45</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9B850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切丝器</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714AA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大号</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F3214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选用304食品级优质不锈钢制作</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30AD8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5</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58454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个</w:t>
            </w:r>
          </w:p>
        </w:tc>
      </w:tr>
      <w:tr w14:paraId="5AABC2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3EF96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46</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45E5D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抹布</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4621E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大号</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A38D6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优质全棉</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A8380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20</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9467D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个</w:t>
            </w:r>
          </w:p>
        </w:tc>
      </w:tr>
      <w:tr w14:paraId="31E9B8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C6745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47</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4620A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鱼鳞片抹布</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C667C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中号</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41B02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优质材料</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534CA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20</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74220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个</w:t>
            </w:r>
          </w:p>
        </w:tc>
      </w:tr>
      <w:tr w14:paraId="7BF89E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68E92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48</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42EB5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彩色毛巾</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82098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lang w:val="en-US"/>
              </w:rPr>
            </w:pPr>
            <w:r>
              <w:rPr>
                <w:rFonts w:hint="eastAsia" w:ascii="宋体" w:hAnsi="宋体" w:eastAsia="宋体" w:cs="宋体"/>
                <w:i w:val="0"/>
                <w:iCs w:val="0"/>
                <w:color w:val="auto"/>
                <w:kern w:val="0"/>
                <w:sz w:val="20"/>
                <w:szCs w:val="20"/>
                <w:highlight w:val="none"/>
                <w:u w:val="none"/>
                <w:lang w:val="en-US" w:eastAsia="zh-CN" w:bidi="ar"/>
              </w:rPr>
              <w:t>约40*40cm</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5E3FC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优质全棉</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4A8E3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20</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66F0B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个</w:t>
            </w:r>
          </w:p>
        </w:tc>
      </w:tr>
      <w:tr w14:paraId="5461B4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4D2A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49</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5E56F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白毛巾</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6B515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lang w:val="en-US"/>
              </w:rPr>
            </w:pPr>
            <w:r>
              <w:rPr>
                <w:rFonts w:hint="eastAsia" w:ascii="宋体" w:hAnsi="宋体" w:eastAsia="宋体" w:cs="宋体"/>
                <w:i w:val="0"/>
                <w:iCs w:val="0"/>
                <w:color w:val="auto"/>
                <w:kern w:val="0"/>
                <w:sz w:val="20"/>
                <w:szCs w:val="20"/>
                <w:highlight w:val="none"/>
                <w:u w:val="none"/>
                <w:lang w:val="en-US" w:eastAsia="zh-CN" w:bidi="ar"/>
              </w:rPr>
              <w:t>约30*30cm</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1E04E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优质全棉</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0FEE3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50</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99469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个</w:t>
            </w:r>
          </w:p>
        </w:tc>
      </w:tr>
      <w:tr w14:paraId="17121C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1"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181C4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50</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DB506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多功能毛巾架</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3505B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双层</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A7351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选用304食品级优质不锈钢制作，加厚款</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0AE18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2F71D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套</w:t>
            </w:r>
          </w:p>
        </w:tc>
      </w:tr>
      <w:tr w14:paraId="4CC7E9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F7AAA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51</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3EBD9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食品夹</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E1BB4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中号</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D7CB3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选用304食品级优质不锈钢制作，加厚款</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F66FE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10</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19AE2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个</w:t>
            </w:r>
          </w:p>
        </w:tc>
      </w:tr>
      <w:tr w14:paraId="1C152D5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D3CE6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52</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7DBEA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厨余垃圾桶</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EFE9D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约201升</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F9234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优质塑料，带轮带盖</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060AB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702AF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个</w:t>
            </w:r>
          </w:p>
        </w:tc>
      </w:tr>
      <w:tr w14:paraId="09A1A08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79EF4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53</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8D85B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其他垃圾桶</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64D0A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约201升</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0878C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优质塑料</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FB1DA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5</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5745B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个</w:t>
            </w:r>
          </w:p>
        </w:tc>
      </w:tr>
      <w:tr w14:paraId="11A5EA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5CAF9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54</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5845D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勺子</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8F80E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4号</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480EF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选用304食品级优质不锈钢制作，加厚款</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96890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5</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2008A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个</w:t>
            </w:r>
          </w:p>
        </w:tc>
      </w:tr>
      <w:tr w14:paraId="162EE4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1"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AE418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55</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135DD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硅胶刷</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F3CC2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中号</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A1EA9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选用优质硅胶制作</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6B790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3</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C6F0D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r>
      <w:tr w14:paraId="2EC172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1"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7778A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56</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14DC4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江门桶</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C3B79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lang w:val="en-US"/>
              </w:rPr>
            </w:pPr>
            <w:r>
              <w:rPr>
                <w:rFonts w:hint="eastAsia" w:ascii="宋体" w:hAnsi="宋体" w:eastAsia="宋体" w:cs="宋体"/>
                <w:i w:val="0"/>
                <w:iCs w:val="0"/>
                <w:color w:val="auto"/>
                <w:kern w:val="0"/>
                <w:sz w:val="20"/>
                <w:szCs w:val="20"/>
                <w:highlight w:val="none"/>
                <w:u w:val="none"/>
                <w:lang w:val="en-US" w:eastAsia="zh-CN" w:bidi="ar"/>
              </w:rPr>
              <w:t>约45cm</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54E09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选用304食品级优质不锈钢制作，加厚款</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DC080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CCA6B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个</w:t>
            </w:r>
          </w:p>
        </w:tc>
      </w:tr>
      <w:tr w14:paraId="086417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1"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E7762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57</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BF560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保鲜膜</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92A5C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lang w:val="en-US"/>
              </w:rPr>
            </w:pPr>
            <w:r>
              <w:rPr>
                <w:rFonts w:hint="eastAsia" w:ascii="宋体" w:hAnsi="宋体" w:eastAsia="宋体" w:cs="宋体"/>
                <w:i w:val="0"/>
                <w:iCs w:val="0"/>
                <w:color w:val="auto"/>
                <w:kern w:val="0"/>
                <w:sz w:val="20"/>
                <w:szCs w:val="20"/>
                <w:highlight w:val="none"/>
                <w:u w:val="none"/>
                <w:lang w:val="en-US" w:eastAsia="zh-CN" w:bidi="ar"/>
              </w:rPr>
              <w:t>约60cm</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650E4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优质塑料</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17927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6</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0EDA3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个</w:t>
            </w:r>
          </w:p>
        </w:tc>
      </w:tr>
      <w:tr w14:paraId="11F0F8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3E321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58</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E86F9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连卷袋</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EA5BD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lang w:val="en-US"/>
              </w:rPr>
            </w:pPr>
            <w:r>
              <w:rPr>
                <w:rFonts w:hint="eastAsia" w:ascii="宋体" w:hAnsi="宋体" w:eastAsia="宋体" w:cs="宋体"/>
                <w:i w:val="0"/>
                <w:iCs w:val="0"/>
                <w:color w:val="auto"/>
                <w:kern w:val="0"/>
                <w:sz w:val="20"/>
                <w:szCs w:val="20"/>
                <w:highlight w:val="none"/>
                <w:u w:val="none"/>
                <w:lang w:val="en-US" w:eastAsia="zh-CN" w:bidi="ar"/>
              </w:rPr>
              <w:t>约25cm</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EE90B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优质塑料</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670B1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6</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75C92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包</w:t>
            </w:r>
          </w:p>
        </w:tc>
      </w:tr>
      <w:tr w14:paraId="7B5DE4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5DE97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59</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491D6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短袖工作服</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1D662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中号</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44729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优质布料</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567D3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10</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7B48A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件</w:t>
            </w:r>
          </w:p>
        </w:tc>
      </w:tr>
      <w:tr w14:paraId="18ED1A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CEAE2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60</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4B5FA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长袖工作服</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C4501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中号</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2B8C1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优质布料</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BC668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10</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0FE8F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件</w:t>
            </w:r>
          </w:p>
        </w:tc>
      </w:tr>
      <w:tr w14:paraId="1D8DF5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8F979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61</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D9950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储物箱</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456F0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约45L</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7D1FA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优质塑料</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C878B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10</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CFA81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个</w:t>
            </w:r>
          </w:p>
        </w:tc>
      </w:tr>
      <w:tr w14:paraId="285C6C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552CF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62</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1C2BF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灭火毯</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B19C3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约1.2米</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187EB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国标材料</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4450F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12</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7919D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个</w:t>
            </w:r>
          </w:p>
        </w:tc>
      </w:tr>
      <w:tr w14:paraId="79C3B0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1538A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63</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725E5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全钢绞肉机</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50D20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约1.8L</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75269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选用304食品级优质不锈钢制作</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8C54A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E21A5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个</w:t>
            </w:r>
          </w:p>
        </w:tc>
      </w:tr>
      <w:tr w14:paraId="7513DE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BF60C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64</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0B60D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反边面盆</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80C12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lang w:val="en-US"/>
              </w:rPr>
            </w:pPr>
            <w:r>
              <w:rPr>
                <w:rFonts w:hint="eastAsia" w:ascii="宋体" w:hAnsi="宋体" w:eastAsia="宋体" w:cs="宋体"/>
                <w:i w:val="0"/>
                <w:iCs w:val="0"/>
                <w:color w:val="auto"/>
                <w:kern w:val="0"/>
                <w:sz w:val="20"/>
                <w:szCs w:val="20"/>
                <w:highlight w:val="none"/>
                <w:u w:val="none"/>
                <w:lang w:val="en-US" w:eastAsia="zh-CN" w:bidi="ar"/>
              </w:rPr>
              <w:t>约65cm</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C5B0A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选用304食品级优质不锈钢制作，加厚款</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F17CD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3</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BC4B8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个</w:t>
            </w:r>
          </w:p>
        </w:tc>
      </w:tr>
      <w:tr w14:paraId="77923B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65B39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65</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5C1E9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刀箱</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D7323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5格</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8D457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选用304食品级优质不锈钢制作</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CFF3B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5</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FFC2A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个</w:t>
            </w:r>
          </w:p>
        </w:tc>
      </w:tr>
      <w:tr w14:paraId="5C99BE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1"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2F988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66</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435F4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小盆</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4BBBC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约20cm</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479DE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选用304食品级优质不锈钢制作，加厚款</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9C659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10</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4AE99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个</w:t>
            </w:r>
          </w:p>
        </w:tc>
      </w:tr>
      <w:tr w14:paraId="5ACA20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2"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42993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67</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5E6BA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水基灭火器</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BCA48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约8公斤</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C8328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国标型</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5AE80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8</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F1193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个</w:t>
            </w:r>
          </w:p>
        </w:tc>
      </w:tr>
    </w:tbl>
    <w:p w14:paraId="73F367C5">
      <w:pPr>
        <w:rPr>
          <w:rFonts w:hint="eastAsia" w:ascii="宋体" w:hAnsi="宋体" w:cs="宋体"/>
          <w:b/>
          <w:sz w:val="24"/>
          <w:szCs w:val="24"/>
          <w:lang w:val="en-US" w:eastAsia="zh-CN"/>
        </w:rPr>
      </w:pPr>
    </w:p>
    <w:p w14:paraId="7984C169">
      <w:pPr>
        <w:keepNext w:val="0"/>
        <w:keepLines w:val="0"/>
        <w:pageBreakBefore w:val="0"/>
        <w:widowControl/>
        <w:suppressLineNumbers w:val="0"/>
        <w:kinsoku/>
        <w:wordWrap/>
        <w:overflowPunct/>
        <w:topLinePunct w:val="0"/>
        <w:autoSpaceDE/>
        <w:autoSpaceDN/>
        <w:bidi w:val="0"/>
        <w:adjustRightInd/>
        <w:snapToGrid/>
        <w:spacing w:line="600" w:lineRule="exact"/>
        <w:jc w:val="left"/>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其他要求及说明</w:t>
      </w:r>
    </w:p>
    <w:p w14:paraId="037941F1">
      <w:pPr>
        <w:keepNext w:val="0"/>
        <w:keepLines w:val="0"/>
        <w:pageBreakBefore w:val="0"/>
        <w:widowControl/>
        <w:suppressLineNumbers w:val="0"/>
        <w:kinsoku/>
        <w:wordWrap/>
        <w:overflowPunct/>
        <w:topLinePunct w:val="0"/>
        <w:autoSpaceDE/>
        <w:autoSpaceDN/>
        <w:bidi w:val="0"/>
        <w:adjustRightInd/>
        <w:snapToGrid/>
        <w:spacing w:line="600" w:lineRule="exact"/>
        <w:ind w:firstLine="480" w:firstLineChars="200"/>
        <w:jc w:val="left"/>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1.采购要求中如涉及品牌、示例图片、型号或分类号仅起说明作用，并没有任何限制性。投标人在投标中可以选用替代品牌、型号或分类号，但这些替代要实质上相当于或优于技术规格的要求，并提供技术参数偏离表。</w:t>
      </w:r>
    </w:p>
    <w:p w14:paraId="5D024263">
      <w:pPr>
        <w:keepNext w:val="0"/>
        <w:keepLines w:val="0"/>
        <w:pageBreakBefore w:val="0"/>
        <w:widowControl/>
        <w:suppressLineNumbers w:val="0"/>
        <w:kinsoku/>
        <w:wordWrap/>
        <w:overflowPunct/>
        <w:topLinePunct w:val="0"/>
        <w:autoSpaceDE/>
        <w:autoSpaceDN/>
        <w:bidi w:val="0"/>
        <w:adjustRightInd/>
        <w:snapToGrid/>
        <w:spacing w:line="600" w:lineRule="exact"/>
        <w:ind w:firstLine="480" w:firstLineChars="200"/>
        <w:jc w:val="left"/>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2.本项目中所列出的参数为采购人根据实际应用需求制定，不具有唯一限定性。投标人应仔细阅读采购内容及要求中规定的所有条款，包括各项技术规格，并且应全部做出响应。本采购内容及要求提供的是最低限度的技术、功能及参数要求，并未对一切技术细节和所需辅材做出规定和说明，也未充分引述有关标准和规范的条文。投标人应保证所提供的设备不低于“采购内容及要求”规定的相关设备质量技术标准的要求，结合现场实际，对本章中所投产品或设备完全响应，投标人所提供设备的指标性能应等于或优于此要求。严重偏离影响采购人使用的，作无效投标处理。</w:t>
      </w:r>
    </w:p>
    <w:p w14:paraId="4F13B175">
      <w:pPr>
        <w:keepNext w:val="0"/>
        <w:keepLines w:val="0"/>
        <w:pageBreakBefore w:val="0"/>
        <w:widowControl/>
        <w:suppressLineNumbers w:val="0"/>
        <w:kinsoku/>
        <w:wordWrap/>
        <w:overflowPunct/>
        <w:topLinePunct w:val="0"/>
        <w:autoSpaceDE/>
        <w:autoSpaceDN/>
        <w:bidi w:val="0"/>
        <w:adjustRightInd/>
        <w:snapToGrid/>
        <w:spacing w:line="600" w:lineRule="exact"/>
        <w:ind w:firstLine="480" w:firstLineChars="200"/>
        <w:jc w:val="left"/>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3.投标人所投标产品型号及规格参数描述要清楚、准确。</w:t>
      </w:r>
    </w:p>
    <w:p w14:paraId="47F0CB69">
      <w:pPr>
        <w:keepNext w:val="0"/>
        <w:keepLines w:val="0"/>
        <w:pageBreakBefore w:val="0"/>
        <w:widowControl/>
        <w:suppressLineNumbers w:val="0"/>
        <w:kinsoku/>
        <w:wordWrap/>
        <w:overflowPunct/>
        <w:topLinePunct w:val="0"/>
        <w:autoSpaceDE/>
        <w:autoSpaceDN/>
        <w:bidi w:val="0"/>
        <w:adjustRightInd/>
        <w:snapToGrid/>
        <w:spacing w:line="600" w:lineRule="exact"/>
        <w:ind w:firstLine="480" w:firstLineChars="200"/>
        <w:jc w:val="left"/>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4.投标人所提供的所有技术文件除非在技术规格中另作规定外，还必须符合以下三种标准中的至少一种标准的要求：</w:t>
      </w:r>
    </w:p>
    <w:p w14:paraId="2E59DD8D">
      <w:pPr>
        <w:keepNext w:val="0"/>
        <w:keepLines w:val="0"/>
        <w:pageBreakBefore w:val="0"/>
        <w:widowControl/>
        <w:suppressLineNumbers w:val="0"/>
        <w:kinsoku/>
        <w:wordWrap/>
        <w:overflowPunct/>
        <w:topLinePunct w:val="0"/>
        <w:autoSpaceDE/>
        <w:autoSpaceDN/>
        <w:bidi w:val="0"/>
        <w:adjustRightInd/>
        <w:snapToGrid/>
        <w:spacing w:line="600" w:lineRule="exact"/>
        <w:ind w:firstLine="480" w:firstLineChars="200"/>
        <w:jc w:val="left"/>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（1）现行的中国国家标准；</w:t>
      </w:r>
    </w:p>
    <w:p w14:paraId="046B393F">
      <w:pPr>
        <w:keepNext w:val="0"/>
        <w:keepLines w:val="0"/>
        <w:pageBreakBefore w:val="0"/>
        <w:widowControl/>
        <w:suppressLineNumbers w:val="0"/>
        <w:kinsoku/>
        <w:wordWrap/>
        <w:overflowPunct/>
        <w:topLinePunct w:val="0"/>
        <w:autoSpaceDE/>
        <w:autoSpaceDN/>
        <w:bidi w:val="0"/>
        <w:adjustRightInd/>
        <w:snapToGrid/>
        <w:spacing w:line="600" w:lineRule="exact"/>
        <w:ind w:firstLine="480" w:firstLineChars="200"/>
        <w:jc w:val="left"/>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（2）部颁标准；</w:t>
      </w:r>
    </w:p>
    <w:p w14:paraId="50114318">
      <w:pPr>
        <w:keepNext w:val="0"/>
        <w:keepLines w:val="0"/>
        <w:pageBreakBefore w:val="0"/>
        <w:widowControl/>
        <w:suppressLineNumbers w:val="0"/>
        <w:kinsoku/>
        <w:wordWrap/>
        <w:overflowPunct/>
        <w:topLinePunct w:val="0"/>
        <w:autoSpaceDE/>
        <w:autoSpaceDN/>
        <w:bidi w:val="0"/>
        <w:adjustRightInd/>
        <w:snapToGrid/>
        <w:spacing w:line="600" w:lineRule="exact"/>
        <w:ind w:firstLine="480" w:firstLineChars="200"/>
        <w:jc w:val="left"/>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（3）投标产品进入“节能产品政府采购品目清单”或投标产品进入“环境标志产品政府采购品目清单”。</w:t>
      </w:r>
    </w:p>
    <w:p w14:paraId="2C52A740">
      <w:pPr>
        <w:keepNext w:val="0"/>
        <w:keepLines w:val="0"/>
        <w:pageBreakBefore w:val="0"/>
        <w:widowControl/>
        <w:suppressLineNumbers w:val="0"/>
        <w:kinsoku/>
        <w:wordWrap/>
        <w:overflowPunct/>
        <w:topLinePunct w:val="0"/>
        <w:autoSpaceDE/>
        <w:autoSpaceDN/>
        <w:bidi w:val="0"/>
        <w:adjustRightInd/>
        <w:snapToGrid/>
        <w:spacing w:line="600" w:lineRule="exact"/>
        <w:ind w:firstLine="480" w:firstLineChars="200"/>
        <w:jc w:val="left"/>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5.投标人所提供货物的设计、制造、性能、材料的选择和材料的检验及设备的测试等，都应按国内外通用的现行标准和相应的技术规范执行。而这些标准和技术规范应为合同签字或盖章日为止最新公布发行的标准和技术规范。</w:t>
      </w:r>
    </w:p>
    <w:p w14:paraId="047E3559">
      <w:pPr>
        <w:keepNext w:val="0"/>
        <w:keepLines w:val="0"/>
        <w:pageBreakBefore w:val="0"/>
        <w:widowControl/>
        <w:suppressLineNumbers w:val="0"/>
        <w:kinsoku/>
        <w:wordWrap/>
        <w:overflowPunct/>
        <w:topLinePunct w:val="0"/>
        <w:autoSpaceDE/>
        <w:autoSpaceDN/>
        <w:bidi w:val="0"/>
        <w:adjustRightInd/>
        <w:snapToGrid/>
        <w:spacing w:line="600" w:lineRule="exact"/>
        <w:ind w:firstLine="480" w:firstLineChars="200"/>
        <w:jc w:val="left"/>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6.投标人必须提供投标设备的详细技术资料，以方便采购人评标、定标。投标人提供的货物必须是全新的、未使用的产品。</w:t>
      </w:r>
    </w:p>
    <w:p w14:paraId="400A09DD">
      <w:pPr>
        <w:keepNext w:val="0"/>
        <w:keepLines w:val="0"/>
        <w:pageBreakBefore w:val="0"/>
        <w:widowControl/>
        <w:suppressLineNumbers w:val="0"/>
        <w:kinsoku/>
        <w:wordWrap/>
        <w:overflowPunct/>
        <w:topLinePunct w:val="0"/>
        <w:autoSpaceDE/>
        <w:autoSpaceDN/>
        <w:bidi w:val="0"/>
        <w:adjustRightInd/>
        <w:snapToGrid/>
        <w:spacing w:line="600" w:lineRule="exact"/>
        <w:ind w:firstLine="480" w:firstLineChars="200"/>
        <w:jc w:val="left"/>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7.凡涉及专利权、专利技术、生产许可证、特许经营权、商标权、版权、计算机软件等无形资产的，应是投标人或投标人授权单位所有。</w:t>
      </w:r>
    </w:p>
    <w:p w14:paraId="20F25F8C">
      <w:pPr>
        <w:ind w:firstLine="482" w:firstLineChars="200"/>
        <w:rPr>
          <w:rFonts w:hint="eastAsia" w:ascii="宋体" w:hAnsi="宋体" w:cs="宋体"/>
          <w:b/>
          <w:sz w:val="24"/>
          <w:szCs w:val="24"/>
          <w:lang w:val="en-US" w:eastAsia="zh-CN"/>
        </w:rPr>
      </w:pPr>
    </w:p>
    <w:p w14:paraId="6CDBAC4F">
      <w:pPr>
        <w:ind w:firstLine="482" w:firstLineChars="200"/>
        <w:rPr>
          <w:rFonts w:hint="eastAsia" w:ascii="宋体" w:hAnsi="宋体" w:cs="宋体"/>
          <w:b/>
          <w:sz w:val="24"/>
          <w:szCs w:val="24"/>
          <w:lang w:val="en-US" w:eastAsia="zh-CN"/>
        </w:rPr>
      </w:pPr>
    </w:p>
    <w:p w14:paraId="3892162E">
      <w:pPr>
        <w:ind w:firstLine="482" w:firstLineChars="200"/>
        <w:rPr>
          <w:rFonts w:hint="eastAsia" w:ascii="宋体" w:hAnsi="宋体" w:cs="宋体"/>
          <w:b/>
          <w:sz w:val="24"/>
          <w:szCs w:val="24"/>
          <w:lang w:val="en-US" w:eastAsia="zh-CN"/>
        </w:rPr>
      </w:pPr>
    </w:p>
    <w:p w14:paraId="786D1A52">
      <w:pPr>
        <w:ind w:firstLine="482" w:firstLineChars="200"/>
        <w:rPr>
          <w:rFonts w:hint="eastAsia" w:ascii="宋体" w:hAnsi="宋体" w:cs="宋体"/>
          <w:b/>
          <w:sz w:val="24"/>
          <w:szCs w:val="24"/>
          <w:lang w:val="en-US" w:eastAsia="zh-CN"/>
        </w:rPr>
      </w:pPr>
    </w:p>
    <w:p w14:paraId="6774BD83">
      <w:pPr>
        <w:pStyle w:val="16"/>
        <w:rPr>
          <w:rFonts w:hint="eastAsia" w:ascii="宋体" w:hAnsi="宋体" w:cs="宋体"/>
          <w:b/>
          <w:sz w:val="24"/>
          <w:szCs w:val="24"/>
          <w:lang w:val="en-US" w:eastAsia="zh-CN"/>
        </w:rPr>
      </w:pPr>
    </w:p>
    <w:p w14:paraId="5CC60D38">
      <w:pPr>
        <w:rPr>
          <w:rFonts w:hint="eastAsia" w:ascii="宋体" w:hAnsi="宋体" w:cs="宋体"/>
          <w:b/>
          <w:sz w:val="24"/>
          <w:szCs w:val="24"/>
          <w:lang w:val="en-US" w:eastAsia="zh-CN"/>
        </w:rPr>
      </w:pPr>
    </w:p>
    <w:p w14:paraId="4855B608">
      <w:pPr>
        <w:pStyle w:val="16"/>
        <w:rPr>
          <w:rFonts w:hint="eastAsia" w:ascii="宋体" w:hAnsi="宋体" w:cs="宋体"/>
          <w:b/>
          <w:sz w:val="24"/>
          <w:szCs w:val="24"/>
          <w:lang w:val="en-US" w:eastAsia="zh-CN"/>
        </w:rPr>
      </w:pPr>
    </w:p>
    <w:p w14:paraId="56C08946">
      <w:pPr>
        <w:rPr>
          <w:rFonts w:hint="eastAsia" w:ascii="宋体" w:hAnsi="宋体" w:cs="宋体"/>
          <w:b/>
          <w:sz w:val="24"/>
          <w:szCs w:val="24"/>
          <w:lang w:val="en-US" w:eastAsia="zh-CN"/>
        </w:rPr>
      </w:pPr>
    </w:p>
    <w:p w14:paraId="17107D7A">
      <w:pPr>
        <w:pStyle w:val="16"/>
        <w:rPr>
          <w:rFonts w:hint="eastAsia" w:ascii="宋体" w:hAnsi="宋体" w:cs="宋体"/>
          <w:b/>
          <w:sz w:val="24"/>
          <w:szCs w:val="24"/>
          <w:lang w:val="en-US" w:eastAsia="zh-CN"/>
        </w:rPr>
      </w:pPr>
    </w:p>
    <w:p w14:paraId="26A39FD8">
      <w:pPr>
        <w:rPr>
          <w:rFonts w:hint="eastAsia" w:ascii="宋体" w:hAnsi="宋体" w:cs="宋体"/>
          <w:b/>
          <w:sz w:val="24"/>
          <w:szCs w:val="24"/>
          <w:lang w:val="en-US" w:eastAsia="zh-CN"/>
        </w:rPr>
      </w:pPr>
    </w:p>
    <w:p w14:paraId="7CDC48B9">
      <w:pPr>
        <w:pStyle w:val="16"/>
        <w:rPr>
          <w:rFonts w:hint="eastAsia" w:ascii="宋体" w:hAnsi="宋体" w:cs="宋体"/>
          <w:b/>
          <w:sz w:val="24"/>
          <w:szCs w:val="24"/>
          <w:lang w:val="en-US" w:eastAsia="zh-CN"/>
        </w:rPr>
      </w:pPr>
    </w:p>
    <w:p w14:paraId="1E102A71">
      <w:pPr>
        <w:rPr>
          <w:rFonts w:hint="eastAsia" w:ascii="宋体" w:hAnsi="宋体" w:cs="宋体"/>
          <w:b/>
          <w:sz w:val="24"/>
          <w:szCs w:val="24"/>
          <w:lang w:val="en-US" w:eastAsia="zh-CN"/>
        </w:rPr>
      </w:pPr>
    </w:p>
    <w:p w14:paraId="0C2AEF95">
      <w:pPr>
        <w:keepNext w:val="0"/>
        <w:keepLines w:val="0"/>
        <w:pageBreakBefore w:val="0"/>
        <w:widowControl w:val="0"/>
        <w:kinsoku/>
        <w:wordWrap/>
        <w:overflowPunct/>
        <w:topLinePunct w:val="0"/>
        <w:autoSpaceDE/>
        <w:autoSpaceDN/>
        <w:bidi w:val="0"/>
        <w:spacing w:line="400" w:lineRule="exact"/>
        <w:jc w:val="both"/>
        <w:textAlignment w:val="auto"/>
        <w:rPr>
          <w:rFonts w:hint="eastAsia" w:ascii="宋体" w:hAnsi="宋体" w:eastAsia="宋体" w:cs="宋体"/>
          <w:b/>
          <w:sz w:val="24"/>
          <w:szCs w:val="24"/>
          <w:lang w:val="en-US" w:eastAsia="zh-CN"/>
        </w:rPr>
      </w:pPr>
    </w:p>
    <w:p w14:paraId="18FC7A31">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宋体" w:hAnsi="宋体" w:eastAsia="宋体" w:cs="宋体"/>
          <w:b/>
          <w:sz w:val="24"/>
          <w:szCs w:val="24"/>
          <w:lang w:val="en-US" w:eastAsia="zh-CN"/>
        </w:rPr>
      </w:pPr>
    </w:p>
    <w:p w14:paraId="0D1301D7">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宋体" w:hAnsi="宋体" w:eastAsia="宋体" w:cs="宋体"/>
          <w:b/>
          <w:sz w:val="24"/>
          <w:szCs w:val="24"/>
          <w:lang w:val="en-US" w:eastAsia="zh-CN"/>
        </w:rPr>
      </w:pPr>
    </w:p>
    <w:p w14:paraId="4667450E">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宋体" w:hAnsi="宋体" w:eastAsia="宋体" w:cs="宋体"/>
          <w:b/>
          <w:sz w:val="24"/>
          <w:szCs w:val="24"/>
          <w:lang w:val="en-US" w:eastAsia="zh-CN"/>
        </w:rPr>
      </w:pPr>
    </w:p>
    <w:p w14:paraId="3A7BD240">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rPr>
      </w:pPr>
      <w:r>
        <w:rPr>
          <w:rFonts w:hint="eastAsia" w:ascii="宋体" w:hAnsi="宋体" w:eastAsia="宋体" w:cs="宋体"/>
          <w:b/>
          <w:sz w:val="24"/>
          <w:szCs w:val="24"/>
          <w:lang w:val="en-US" w:eastAsia="zh-CN"/>
        </w:rPr>
        <w:t>商务要求</w:t>
      </w:r>
      <w:bookmarkEnd w:id="16"/>
      <w:bookmarkEnd w:id="17"/>
      <w:bookmarkEnd w:id="18"/>
    </w:p>
    <w:p w14:paraId="1E41BDF4">
      <w:pPr>
        <w:keepNext w:val="0"/>
        <w:keepLines w:val="0"/>
        <w:pageBreakBefore w:val="0"/>
        <w:widowControl/>
        <w:suppressLineNumbers w:val="0"/>
        <w:kinsoku/>
        <w:wordWrap/>
        <w:overflowPunct/>
        <w:topLinePunct w:val="0"/>
        <w:autoSpaceDE/>
        <w:autoSpaceDN/>
        <w:bidi w:val="0"/>
        <w:adjustRightInd/>
        <w:snapToGrid/>
        <w:spacing w:line="600" w:lineRule="exact"/>
        <w:jc w:val="left"/>
        <w:textAlignment w:val="auto"/>
        <w:rPr>
          <w:rFonts w:hint="eastAsia" w:ascii="宋体" w:hAnsi="宋体" w:eastAsia="宋体" w:cs="宋体"/>
          <w:sz w:val="24"/>
          <w:szCs w:val="24"/>
        </w:rPr>
      </w:pPr>
      <w:r>
        <w:rPr>
          <w:rFonts w:hint="eastAsia" w:ascii="宋体" w:hAnsi="宋体" w:eastAsia="宋体" w:cs="宋体"/>
          <w:b/>
          <w:bCs/>
          <w:color w:val="000000"/>
          <w:kern w:val="0"/>
          <w:sz w:val="24"/>
          <w:szCs w:val="24"/>
          <w:lang w:val="en-US" w:eastAsia="zh-CN" w:bidi="ar"/>
        </w:rPr>
        <w:t xml:space="preserve">一、交货期、交货地点及质保期： </w:t>
      </w:r>
    </w:p>
    <w:p w14:paraId="3EAFE937">
      <w:pPr>
        <w:keepNext w:val="0"/>
        <w:keepLines w:val="0"/>
        <w:pageBreakBefore w:val="0"/>
        <w:widowControl/>
        <w:suppressLineNumbers w:val="0"/>
        <w:kinsoku/>
        <w:wordWrap/>
        <w:overflowPunct/>
        <w:topLinePunct w:val="0"/>
        <w:autoSpaceDE/>
        <w:autoSpaceDN/>
        <w:bidi w:val="0"/>
        <w:adjustRightInd/>
        <w:snapToGrid/>
        <w:spacing w:line="60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1. 交货期：合同签订之日起</w:t>
      </w:r>
      <w:r>
        <w:rPr>
          <w:rFonts w:hint="eastAsia" w:ascii="宋体" w:hAnsi="宋体" w:cs="宋体"/>
          <w:color w:val="000000"/>
          <w:kern w:val="0"/>
          <w:sz w:val="24"/>
          <w:szCs w:val="24"/>
          <w:lang w:val="en-US" w:eastAsia="zh-CN" w:bidi="ar"/>
        </w:rPr>
        <w:t>7</w:t>
      </w:r>
      <w:r>
        <w:rPr>
          <w:rFonts w:hint="eastAsia" w:ascii="宋体" w:hAnsi="宋体" w:eastAsia="宋体" w:cs="宋体"/>
          <w:color w:val="000000"/>
          <w:kern w:val="0"/>
          <w:sz w:val="24"/>
          <w:szCs w:val="24"/>
          <w:lang w:val="en-US" w:eastAsia="zh-CN" w:bidi="ar"/>
        </w:rPr>
        <w:t xml:space="preserve">日历天内（具体服务起止日期可随合同签订时 </w:t>
      </w:r>
    </w:p>
    <w:p w14:paraId="628DD386">
      <w:pPr>
        <w:keepNext w:val="0"/>
        <w:keepLines w:val="0"/>
        <w:pageBreakBefore w:val="0"/>
        <w:widowControl/>
        <w:suppressLineNumbers w:val="0"/>
        <w:kinsoku/>
        <w:wordWrap/>
        <w:overflowPunct/>
        <w:topLinePunct w:val="0"/>
        <w:autoSpaceDE/>
        <w:autoSpaceDN/>
        <w:bidi w:val="0"/>
        <w:adjustRightInd/>
        <w:snapToGrid/>
        <w:spacing w:line="600" w:lineRule="exact"/>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间相应顺延）安装完成。 </w:t>
      </w:r>
    </w:p>
    <w:p w14:paraId="39828692">
      <w:pPr>
        <w:keepNext w:val="0"/>
        <w:keepLines w:val="0"/>
        <w:pageBreakBefore w:val="0"/>
        <w:widowControl/>
        <w:suppressLineNumbers w:val="0"/>
        <w:kinsoku/>
        <w:wordWrap/>
        <w:overflowPunct/>
        <w:topLinePunct w:val="0"/>
        <w:autoSpaceDE/>
        <w:autoSpaceDN/>
        <w:bidi w:val="0"/>
        <w:adjustRightInd/>
        <w:snapToGrid/>
        <w:spacing w:line="60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2. 交货地点：采购人指定地点。 </w:t>
      </w:r>
    </w:p>
    <w:p w14:paraId="392466DC">
      <w:pPr>
        <w:keepNext w:val="0"/>
        <w:keepLines w:val="0"/>
        <w:pageBreakBefore w:val="0"/>
        <w:widowControl/>
        <w:suppressLineNumbers w:val="0"/>
        <w:kinsoku/>
        <w:wordWrap/>
        <w:overflowPunct/>
        <w:topLinePunct w:val="0"/>
        <w:autoSpaceDE/>
        <w:autoSpaceDN/>
        <w:bidi w:val="0"/>
        <w:adjustRightInd/>
        <w:snapToGrid/>
        <w:spacing w:line="60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3. 质保期：质保期为项目验收合格之日起 12 个月。 </w:t>
      </w:r>
    </w:p>
    <w:p w14:paraId="3C2B75C2">
      <w:pPr>
        <w:keepNext w:val="0"/>
        <w:keepLines w:val="0"/>
        <w:pageBreakBefore w:val="0"/>
        <w:widowControl/>
        <w:suppressLineNumbers w:val="0"/>
        <w:kinsoku/>
        <w:wordWrap/>
        <w:overflowPunct/>
        <w:topLinePunct w:val="0"/>
        <w:autoSpaceDE/>
        <w:autoSpaceDN/>
        <w:bidi w:val="0"/>
        <w:adjustRightInd/>
        <w:snapToGrid/>
        <w:spacing w:line="600" w:lineRule="exact"/>
        <w:jc w:val="left"/>
        <w:textAlignment w:val="auto"/>
        <w:rPr>
          <w:rFonts w:hint="eastAsia" w:ascii="宋体" w:hAnsi="宋体" w:eastAsia="宋体" w:cs="宋体"/>
          <w:sz w:val="24"/>
          <w:szCs w:val="24"/>
        </w:rPr>
      </w:pPr>
      <w:r>
        <w:rPr>
          <w:rFonts w:hint="eastAsia" w:ascii="宋体" w:hAnsi="宋体" w:eastAsia="宋体" w:cs="宋体"/>
          <w:b/>
          <w:bCs/>
          <w:color w:val="000000"/>
          <w:kern w:val="0"/>
          <w:sz w:val="24"/>
          <w:szCs w:val="24"/>
          <w:lang w:val="en-US" w:eastAsia="zh-CN" w:bidi="ar"/>
        </w:rPr>
        <w:t xml:space="preserve">二、包装、运输要求： </w:t>
      </w:r>
    </w:p>
    <w:p w14:paraId="05C5A991">
      <w:pPr>
        <w:keepNext w:val="0"/>
        <w:keepLines w:val="0"/>
        <w:pageBreakBefore w:val="0"/>
        <w:widowControl/>
        <w:suppressLineNumbers w:val="0"/>
        <w:kinsoku/>
        <w:wordWrap/>
        <w:overflowPunct/>
        <w:topLinePunct w:val="0"/>
        <w:autoSpaceDE/>
        <w:autoSpaceDN/>
        <w:bidi w:val="0"/>
        <w:adjustRightInd/>
        <w:snapToGrid/>
        <w:spacing w:line="60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1.包装：应采取防潮、防晒、防腐蚀、防震动及防止其它损坏的必要措施。中 </w:t>
      </w:r>
    </w:p>
    <w:p w14:paraId="01168542">
      <w:pPr>
        <w:keepNext w:val="0"/>
        <w:keepLines w:val="0"/>
        <w:pageBreakBefore w:val="0"/>
        <w:widowControl/>
        <w:suppressLineNumbers w:val="0"/>
        <w:kinsoku/>
        <w:wordWrap/>
        <w:overflowPunct/>
        <w:topLinePunct w:val="0"/>
        <w:autoSpaceDE/>
        <w:autoSpaceDN/>
        <w:bidi w:val="0"/>
        <w:adjustRightInd/>
        <w:snapToGrid/>
        <w:spacing w:line="600" w:lineRule="exact"/>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标人应承担由于其包装或防护措施不妥而引起的货物锈蚀、损坏和丢失等任何损失 </w:t>
      </w:r>
    </w:p>
    <w:p w14:paraId="2DC60E01">
      <w:pPr>
        <w:keepNext w:val="0"/>
        <w:keepLines w:val="0"/>
        <w:pageBreakBefore w:val="0"/>
        <w:widowControl/>
        <w:suppressLineNumbers w:val="0"/>
        <w:kinsoku/>
        <w:wordWrap/>
        <w:overflowPunct/>
        <w:topLinePunct w:val="0"/>
        <w:autoSpaceDE/>
        <w:autoSpaceDN/>
        <w:bidi w:val="0"/>
        <w:adjustRightInd/>
        <w:snapToGrid/>
        <w:spacing w:line="600" w:lineRule="exact"/>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造成的责任或费用。 </w:t>
      </w:r>
    </w:p>
    <w:p w14:paraId="22611E18">
      <w:pPr>
        <w:keepNext w:val="0"/>
        <w:keepLines w:val="0"/>
        <w:pageBreakBefore w:val="0"/>
        <w:widowControl/>
        <w:suppressLineNumbers w:val="0"/>
        <w:kinsoku/>
        <w:wordWrap/>
        <w:overflowPunct/>
        <w:topLinePunct w:val="0"/>
        <w:autoSpaceDE/>
        <w:autoSpaceDN/>
        <w:bidi w:val="0"/>
        <w:adjustRightInd/>
        <w:snapToGrid/>
        <w:spacing w:line="60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2.运输：选择运输风险小、运费低、距离短的运输路线。运杂费一次包死在总 </w:t>
      </w:r>
    </w:p>
    <w:p w14:paraId="2337B5C1">
      <w:pPr>
        <w:keepNext w:val="0"/>
        <w:keepLines w:val="0"/>
        <w:pageBreakBefore w:val="0"/>
        <w:widowControl/>
        <w:suppressLineNumbers w:val="0"/>
        <w:kinsoku/>
        <w:wordWrap/>
        <w:overflowPunct/>
        <w:topLinePunct w:val="0"/>
        <w:autoSpaceDE/>
        <w:autoSpaceDN/>
        <w:bidi w:val="0"/>
        <w:adjustRightInd/>
        <w:snapToGrid/>
        <w:spacing w:line="600" w:lineRule="exact"/>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价内，包括生产厂到现场所需的装卸、运输（含保险费）、现场保管费等费用。 </w:t>
      </w:r>
    </w:p>
    <w:p w14:paraId="4753AC21">
      <w:pPr>
        <w:keepNext w:val="0"/>
        <w:keepLines w:val="0"/>
        <w:pageBreakBefore w:val="0"/>
        <w:widowControl/>
        <w:suppressLineNumbers w:val="0"/>
        <w:kinsoku/>
        <w:wordWrap/>
        <w:overflowPunct/>
        <w:topLinePunct w:val="0"/>
        <w:autoSpaceDE/>
        <w:autoSpaceDN/>
        <w:bidi w:val="0"/>
        <w:adjustRightInd/>
        <w:snapToGrid/>
        <w:spacing w:line="600" w:lineRule="exact"/>
        <w:jc w:val="left"/>
        <w:textAlignment w:val="auto"/>
        <w:rPr>
          <w:rFonts w:hint="eastAsia" w:ascii="宋体" w:hAnsi="宋体" w:eastAsia="宋体" w:cs="宋体"/>
          <w:sz w:val="24"/>
          <w:szCs w:val="24"/>
        </w:rPr>
      </w:pPr>
      <w:r>
        <w:rPr>
          <w:rFonts w:hint="eastAsia" w:ascii="宋体" w:hAnsi="宋体" w:eastAsia="宋体" w:cs="宋体"/>
          <w:b/>
          <w:bCs/>
          <w:color w:val="000000"/>
          <w:kern w:val="0"/>
          <w:sz w:val="24"/>
          <w:szCs w:val="24"/>
          <w:lang w:val="en-US" w:eastAsia="zh-CN" w:bidi="ar"/>
        </w:rPr>
        <w:t xml:space="preserve">三、付款方式： </w:t>
      </w:r>
    </w:p>
    <w:p w14:paraId="1C3C5277">
      <w:pPr>
        <w:keepNext w:val="0"/>
        <w:keepLines w:val="0"/>
        <w:pageBreakBefore w:val="0"/>
        <w:widowControl/>
        <w:suppressLineNumbers w:val="0"/>
        <w:kinsoku/>
        <w:wordWrap/>
        <w:overflowPunct/>
        <w:topLinePunct w:val="0"/>
        <w:autoSpaceDE/>
        <w:autoSpaceDN/>
        <w:bidi w:val="0"/>
        <w:adjustRightInd/>
        <w:snapToGrid/>
        <w:spacing w:line="60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1.合同款的支付： </w:t>
      </w:r>
    </w:p>
    <w:p w14:paraId="569A39D4">
      <w:pPr>
        <w:keepNext w:val="0"/>
        <w:keepLines w:val="0"/>
        <w:pageBreakBefore w:val="0"/>
        <w:widowControl/>
        <w:suppressLineNumbers w:val="0"/>
        <w:kinsoku/>
        <w:wordWrap/>
        <w:overflowPunct/>
        <w:topLinePunct w:val="0"/>
        <w:autoSpaceDE/>
        <w:autoSpaceDN/>
        <w:bidi w:val="0"/>
        <w:adjustRightInd/>
        <w:snapToGrid/>
        <w:spacing w:line="60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签订合同之日起预付 40 %，剩余</w:t>
      </w:r>
      <w:r>
        <w:rPr>
          <w:rFonts w:hint="eastAsia" w:ascii="宋体" w:hAnsi="宋体" w:cs="宋体"/>
          <w:color w:val="000000"/>
          <w:kern w:val="0"/>
          <w:sz w:val="24"/>
          <w:szCs w:val="24"/>
          <w:lang w:val="en-US" w:eastAsia="zh-CN" w:bidi="ar"/>
        </w:rPr>
        <w:t>60</w:t>
      </w:r>
      <w:r>
        <w:rPr>
          <w:rFonts w:hint="eastAsia" w:ascii="宋体" w:hAnsi="宋体" w:eastAsia="宋体" w:cs="宋体"/>
          <w:color w:val="000000"/>
          <w:kern w:val="0"/>
          <w:sz w:val="24"/>
          <w:szCs w:val="24"/>
          <w:lang w:val="en-US" w:eastAsia="zh-CN" w:bidi="ar"/>
        </w:rPr>
        <w:t xml:space="preserve"> %经甲方验收合格后支付。付款前供应商需开具发票，货物全部完成通过甲方验收，并提供相关资料后，乙方应向甲方提供正规发票及转账账号，甲方通过转账方式予以支付结算（以中标后签订的合同为准）。 </w:t>
      </w:r>
    </w:p>
    <w:p w14:paraId="17F80BD9">
      <w:pPr>
        <w:keepNext w:val="0"/>
        <w:keepLines w:val="0"/>
        <w:pageBreakBefore w:val="0"/>
        <w:widowControl/>
        <w:suppressLineNumbers w:val="0"/>
        <w:kinsoku/>
        <w:wordWrap/>
        <w:overflowPunct/>
        <w:topLinePunct w:val="0"/>
        <w:autoSpaceDE/>
        <w:autoSpaceDN/>
        <w:bidi w:val="0"/>
        <w:adjustRightInd/>
        <w:snapToGrid/>
        <w:spacing w:line="60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2.结算方式 </w:t>
      </w:r>
    </w:p>
    <w:p w14:paraId="05DE99B6">
      <w:pPr>
        <w:keepNext w:val="0"/>
        <w:keepLines w:val="0"/>
        <w:pageBreakBefore w:val="0"/>
        <w:widowControl/>
        <w:suppressLineNumbers w:val="0"/>
        <w:kinsoku/>
        <w:wordWrap/>
        <w:overflowPunct/>
        <w:topLinePunct w:val="0"/>
        <w:autoSpaceDE/>
        <w:autoSpaceDN/>
        <w:bidi w:val="0"/>
        <w:adjustRightInd/>
        <w:snapToGrid/>
        <w:spacing w:line="60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2.1 凡因中标人投标漏项、误报等导致的费用差异均由中标人自行承担，且必 </w:t>
      </w:r>
    </w:p>
    <w:p w14:paraId="222F0EAA">
      <w:pPr>
        <w:keepNext w:val="0"/>
        <w:keepLines w:val="0"/>
        <w:pageBreakBefore w:val="0"/>
        <w:widowControl/>
        <w:suppressLineNumbers w:val="0"/>
        <w:kinsoku/>
        <w:wordWrap/>
        <w:overflowPunct/>
        <w:topLinePunct w:val="0"/>
        <w:autoSpaceDE/>
        <w:autoSpaceDN/>
        <w:bidi w:val="0"/>
        <w:adjustRightInd/>
        <w:snapToGrid/>
        <w:spacing w:line="600" w:lineRule="exact"/>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须按合同约定继续履行此部分合同内容，结算时不予调整。 </w:t>
      </w:r>
    </w:p>
    <w:p w14:paraId="79A07FE5">
      <w:pPr>
        <w:keepNext w:val="0"/>
        <w:keepLines w:val="0"/>
        <w:pageBreakBefore w:val="0"/>
        <w:widowControl/>
        <w:suppressLineNumbers w:val="0"/>
        <w:kinsoku/>
        <w:wordWrap/>
        <w:overflowPunct/>
        <w:topLinePunct w:val="0"/>
        <w:autoSpaceDE/>
        <w:autoSpaceDN/>
        <w:bidi w:val="0"/>
        <w:adjustRightInd/>
        <w:snapToGrid/>
        <w:spacing w:line="60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2.2 有关部门验收合格后，中标人凭政府采购验收单、合同、中标通知书及发 </w:t>
      </w:r>
    </w:p>
    <w:p w14:paraId="35C427DC">
      <w:pPr>
        <w:keepNext w:val="0"/>
        <w:keepLines w:val="0"/>
        <w:pageBreakBefore w:val="0"/>
        <w:widowControl/>
        <w:suppressLineNumbers w:val="0"/>
        <w:kinsoku/>
        <w:wordWrap/>
        <w:overflowPunct/>
        <w:topLinePunct w:val="0"/>
        <w:autoSpaceDE/>
        <w:autoSpaceDN/>
        <w:bidi w:val="0"/>
        <w:adjustRightInd/>
        <w:snapToGrid/>
        <w:spacing w:line="600" w:lineRule="exact"/>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票原件等相关手续到采购人处办理结算手续。 </w:t>
      </w:r>
    </w:p>
    <w:p w14:paraId="02B407B3">
      <w:pPr>
        <w:keepNext w:val="0"/>
        <w:keepLines w:val="0"/>
        <w:pageBreakBefore w:val="0"/>
        <w:widowControl/>
        <w:suppressLineNumbers w:val="0"/>
        <w:kinsoku/>
        <w:wordWrap/>
        <w:overflowPunct/>
        <w:topLinePunct w:val="0"/>
        <w:autoSpaceDE/>
        <w:autoSpaceDN/>
        <w:bidi w:val="0"/>
        <w:adjustRightInd/>
        <w:snapToGrid/>
        <w:spacing w:line="60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3.支付方式：银行转账。 </w:t>
      </w:r>
    </w:p>
    <w:p w14:paraId="6CE3EF65">
      <w:pPr>
        <w:keepNext w:val="0"/>
        <w:keepLines w:val="0"/>
        <w:pageBreakBefore w:val="0"/>
        <w:widowControl/>
        <w:suppressLineNumbers w:val="0"/>
        <w:kinsoku/>
        <w:wordWrap/>
        <w:overflowPunct/>
        <w:topLinePunct w:val="0"/>
        <w:autoSpaceDE/>
        <w:autoSpaceDN/>
        <w:bidi w:val="0"/>
        <w:adjustRightInd/>
        <w:snapToGrid/>
        <w:spacing w:line="600" w:lineRule="exact"/>
        <w:jc w:val="left"/>
        <w:textAlignment w:val="auto"/>
        <w:rPr>
          <w:rFonts w:hint="eastAsia" w:ascii="宋体" w:hAnsi="宋体" w:eastAsia="宋体" w:cs="宋体"/>
          <w:sz w:val="24"/>
          <w:szCs w:val="24"/>
        </w:rPr>
      </w:pPr>
      <w:r>
        <w:rPr>
          <w:rFonts w:hint="eastAsia" w:ascii="宋体" w:hAnsi="宋体" w:eastAsia="宋体" w:cs="宋体"/>
          <w:b/>
          <w:bCs/>
          <w:color w:val="000000"/>
          <w:kern w:val="0"/>
          <w:sz w:val="24"/>
          <w:szCs w:val="24"/>
          <w:lang w:val="en-US" w:eastAsia="zh-CN" w:bidi="ar"/>
        </w:rPr>
        <w:t xml:space="preserve">四、验收: </w:t>
      </w:r>
    </w:p>
    <w:p w14:paraId="2690DE9A">
      <w:pPr>
        <w:keepNext w:val="0"/>
        <w:keepLines w:val="0"/>
        <w:pageBreakBefore w:val="0"/>
        <w:widowControl/>
        <w:suppressLineNumbers w:val="0"/>
        <w:kinsoku/>
        <w:wordWrap/>
        <w:overflowPunct/>
        <w:topLinePunct w:val="0"/>
        <w:autoSpaceDE/>
        <w:autoSpaceDN/>
        <w:bidi w:val="0"/>
        <w:adjustRightInd/>
        <w:snapToGrid/>
        <w:spacing w:line="60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在发货前，乙方应对货物的质量、规格、数量等进行准确而全面的检验，并出 </w:t>
      </w:r>
    </w:p>
    <w:p w14:paraId="595F9034">
      <w:pPr>
        <w:keepNext w:val="0"/>
        <w:keepLines w:val="0"/>
        <w:pageBreakBefore w:val="0"/>
        <w:widowControl/>
        <w:suppressLineNumbers w:val="0"/>
        <w:kinsoku/>
        <w:wordWrap/>
        <w:overflowPunct/>
        <w:topLinePunct w:val="0"/>
        <w:autoSpaceDE/>
        <w:autoSpaceDN/>
        <w:bidi w:val="0"/>
        <w:adjustRightInd/>
        <w:snapToGrid/>
        <w:spacing w:line="600" w:lineRule="exact"/>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具产品生产产地证明材料（加盖公章），如果货物达不到国家的质量及企业标准， </w:t>
      </w:r>
    </w:p>
    <w:p w14:paraId="49BC8BD7">
      <w:pPr>
        <w:keepNext w:val="0"/>
        <w:keepLines w:val="0"/>
        <w:pageBreakBefore w:val="0"/>
        <w:widowControl/>
        <w:suppressLineNumbers w:val="0"/>
        <w:kinsoku/>
        <w:wordWrap/>
        <w:overflowPunct/>
        <w:topLinePunct w:val="0"/>
        <w:autoSpaceDE/>
        <w:autoSpaceDN/>
        <w:bidi w:val="0"/>
        <w:adjustRightInd/>
        <w:snapToGrid/>
        <w:spacing w:line="600" w:lineRule="exact"/>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甲方有权拒绝接收。 </w:t>
      </w:r>
    </w:p>
    <w:p w14:paraId="459A69E5">
      <w:pPr>
        <w:keepNext w:val="0"/>
        <w:keepLines w:val="0"/>
        <w:pageBreakBefore w:val="0"/>
        <w:widowControl/>
        <w:numPr>
          <w:ilvl w:val="0"/>
          <w:numId w:val="16"/>
        </w:numPr>
        <w:suppressLineNumbers w:val="0"/>
        <w:kinsoku/>
        <w:wordWrap/>
        <w:overflowPunct/>
        <w:topLinePunct w:val="0"/>
        <w:autoSpaceDE/>
        <w:autoSpaceDN/>
        <w:bidi w:val="0"/>
        <w:adjustRightInd/>
        <w:snapToGrid/>
        <w:spacing w:line="600" w:lineRule="exact"/>
        <w:jc w:val="left"/>
        <w:textAlignment w:val="auto"/>
        <w:rPr>
          <w:rFonts w:hint="eastAsia" w:ascii="宋体" w:hAnsi="宋体" w:eastAsia="宋体" w:cs="宋体"/>
          <w:b/>
          <w:bCs/>
          <w:color w:val="000000"/>
          <w:kern w:val="0"/>
          <w:sz w:val="24"/>
          <w:szCs w:val="24"/>
          <w:lang w:val="en-US" w:eastAsia="zh-CN" w:bidi="ar"/>
        </w:rPr>
      </w:pPr>
      <w:r>
        <w:rPr>
          <w:rFonts w:hint="eastAsia" w:ascii="宋体" w:hAnsi="宋体" w:eastAsia="宋体" w:cs="宋体"/>
          <w:b/>
          <w:bCs/>
          <w:color w:val="000000"/>
          <w:kern w:val="0"/>
          <w:sz w:val="24"/>
          <w:szCs w:val="24"/>
          <w:lang w:val="en-US" w:eastAsia="zh-CN" w:bidi="ar"/>
        </w:rPr>
        <w:t xml:space="preserve">质量保证 </w:t>
      </w:r>
    </w:p>
    <w:p w14:paraId="4EF53030">
      <w:pPr>
        <w:keepNext w:val="0"/>
        <w:keepLines w:val="0"/>
        <w:pageBreakBefore w:val="0"/>
        <w:widowControl/>
        <w:numPr>
          <w:ilvl w:val="0"/>
          <w:numId w:val="0"/>
        </w:numPr>
        <w:suppressLineNumbers w:val="0"/>
        <w:kinsoku/>
        <w:wordWrap/>
        <w:overflowPunct/>
        <w:topLinePunct w:val="0"/>
        <w:autoSpaceDE/>
        <w:autoSpaceDN/>
        <w:bidi w:val="0"/>
        <w:adjustRightInd/>
        <w:snapToGrid/>
        <w:spacing w:line="600" w:lineRule="exact"/>
        <w:ind w:firstLine="480" w:firstLineChars="200"/>
        <w:jc w:val="left"/>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1.乙方提供的所有货物的技术规格和参数、指标等于或者优于招标文件，投标文件技术规格和参数、指标要求。</w:t>
      </w:r>
    </w:p>
    <w:p w14:paraId="2CB86108">
      <w:pPr>
        <w:keepNext w:val="0"/>
        <w:keepLines w:val="0"/>
        <w:pageBreakBefore w:val="0"/>
        <w:widowControl/>
        <w:suppressLineNumbers w:val="0"/>
        <w:kinsoku/>
        <w:wordWrap/>
        <w:overflowPunct/>
        <w:topLinePunct w:val="0"/>
        <w:autoSpaceDE/>
        <w:autoSpaceDN/>
        <w:bidi w:val="0"/>
        <w:adjustRightInd/>
        <w:snapToGrid/>
        <w:spacing w:line="600" w:lineRule="exact"/>
        <w:jc w:val="left"/>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 xml:space="preserve">    2.乙方提供的产品及配套产品必须符合国家有关质量标准、规范和环保要求。</w:t>
      </w:r>
    </w:p>
    <w:p w14:paraId="651224A2">
      <w:pPr>
        <w:keepNext w:val="0"/>
        <w:keepLines w:val="0"/>
        <w:pageBreakBefore w:val="0"/>
        <w:widowControl/>
        <w:suppressLineNumbers w:val="0"/>
        <w:kinsoku/>
        <w:wordWrap/>
        <w:overflowPunct/>
        <w:topLinePunct w:val="0"/>
        <w:autoSpaceDE/>
        <w:autoSpaceDN/>
        <w:bidi w:val="0"/>
        <w:adjustRightInd/>
        <w:snapToGrid/>
        <w:spacing w:line="600" w:lineRule="exact"/>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    3.乙方提供的产品及配套产品必须能按国家标准供应、检测、调试，确保产品技术指标满足使用要求。 </w:t>
      </w:r>
    </w:p>
    <w:p w14:paraId="07C0057C">
      <w:pPr>
        <w:keepNext w:val="0"/>
        <w:keepLines w:val="0"/>
        <w:pageBreakBefore w:val="0"/>
        <w:widowControl/>
        <w:suppressLineNumbers w:val="0"/>
        <w:kinsoku/>
        <w:wordWrap/>
        <w:overflowPunct/>
        <w:topLinePunct w:val="0"/>
        <w:autoSpaceDE/>
        <w:autoSpaceDN/>
        <w:bidi w:val="0"/>
        <w:adjustRightInd/>
        <w:snapToGrid/>
        <w:spacing w:line="600" w:lineRule="exact"/>
        <w:jc w:val="left"/>
        <w:textAlignment w:val="auto"/>
        <w:rPr>
          <w:rFonts w:hint="eastAsia" w:ascii="宋体" w:hAnsi="宋体" w:eastAsia="宋体" w:cs="宋体"/>
          <w:sz w:val="24"/>
          <w:szCs w:val="24"/>
        </w:rPr>
      </w:pPr>
      <w:r>
        <w:rPr>
          <w:rFonts w:hint="eastAsia" w:ascii="宋体" w:hAnsi="宋体" w:eastAsia="宋体" w:cs="宋体"/>
          <w:b/>
          <w:bCs/>
          <w:color w:val="000000"/>
          <w:kern w:val="0"/>
          <w:sz w:val="24"/>
          <w:szCs w:val="24"/>
          <w:lang w:val="en-US" w:eastAsia="zh-CN" w:bidi="ar"/>
        </w:rPr>
        <w:t xml:space="preserve">六、合同实施： </w:t>
      </w:r>
    </w:p>
    <w:p w14:paraId="3C777D53">
      <w:pPr>
        <w:keepNext w:val="0"/>
        <w:keepLines w:val="0"/>
        <w:pageBreakBefore w:val="0"/>
        <w:widowControl/>
        <w:suppressLineNumbers w:val="0"/>
        <w:kinsoku/>
        <w:wordWrap/>
        <w:overflowPunct/>
        <w:topLinePunct w:val="0"/>
        <w:autoSpaceDE/>
        <w:autoSpaceDN/>
        <w:bidi w:val="0"/>
        <w:adjustRightInd/>
        <w:snapToGrid/>
        <w:spacing w:line="60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1.中标人应在合同签订后 5 个日历日内安排人员（项目组成人员简历表所列） </w:t>
      </w:r>
    </w:p>
    <w:p w14:paraId="3928D305">
      <w:pPr>
        <w:keepNext w:val="0"/>
        <w:keepLines w:val="0"/>
        <w:pageBreakBefore w:val="0"/>
        <w:widowControl/>
        <w:suppressLineNumbers w:val="0"/>
        <w:kinsoku/>
        <w:wordWrap/>
        <w:overflowPunct/>
        <w:topLinePunct w:val="0"/>
        <w:autoSpaceDE/>
        <w:autoSpaceDN/>
        <w:bidi w:val="0"/>
        <w:adjustRightInd/>
        <w:snapToGrid/>
        <w:spacing w:line="600" w:lineRule="exact"/>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与使用单位就送货等工作进行安排、部署。 </w:t>
      </w:r>
    </w:p>
    <w:p w14:paraId="7DA86CB0">
      <w:pPr>
        <w:keepNext w:val="0"/>
        <w:keepLines w:val="0"/>
        <w:pageBreakBefore w:val="0"/>
        <w:widowControl/>
        <w:suppressLineNumbers w:val="0"/>
        <w:kinsoku/>
        <w:wordWrap/>
        <w:overflowPunct/>
        <w:topLinePunct w:val="0"/>
        <w:autoSpaceDE/>
        <w:autoSpaceDN/>
        <w:bidi w:val="0"/>
        <w:adjustRightInd/>
        <w:snapToGrid/>
        <w:spacing w:line="60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2.若未能在交货期内完成合同规定的义务，由此对采购人造成的延误和一切损 </w:t>
      </w:r>
    </w:p>
    <w:p w14:paraId="443DF394">
      <w:pPr>
        <w:keepNext w:val="0"/>
        <w:keepLines w:val="0"/>
        <w:pageBreakBefore w:val="0"/>
        <w:widowControl/>
        <w:suppressLineNumbers w:val="0"/>
        <w:kinsoku/>
        <w:wordWrap/>
        <w:overflowPunct/>
        <w:topLinePunct w:val="0"/>
        <w:autoSpaceDE/>
        <w:autoSpaceDN/>
        <w:bidi w:val="0"/>
        <w:adjustRightInd/>
        <w:snapToGrid/>
        <w:spacing w:line="600" w:lineRule="exact"/>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失，由中标人承担和赔偿。 </w:t>
      </w:r>
    </w:p>
    <w:p w14:paraId="39F7715E">
      <w:pPr>
        <w:keepNext w:val="0"/>
        <w:keepLines w:val="0"/>
        <w:pageBreakBefore w:val="0"/>
        <w:widowControl/>
        <w:suppressLineNumbers w:val="0"/>
        <w:kinsoku/>
        <w:wordWrap/>
        <w:overflowPunct/>
        <w:topLinePunct w:val="0"/>
        <w:autoSpaceDE/>
        <w:autoSpaceDN/>
        <w:bidi w:val="0"/>
        <w:adjustRightInd/>
        <w:snapToGrid/>
        <w:spacing w:line="60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3.合同一经签订，不得擅自变更、中止或者终止合同。对确需变更、调整或者 </w:t>
      </w:r>
    </w:p>
    <w:p w14:paraId="49E2DC88">
      <w:pPr>
        <w:keepNext w:val="0"/>
        <w:keepLines w:val="0"/>
        <w:pageBreakBefore w:val="0"/>
        <w:widowControl/>
        <w:suppressLineNumbers w:val="0"/>
        <w:kinsoku/>
        <w:wordWrap/>
        <w:overflowPunct/>
        <w:topLinePunct w:val="0"/>
        <w:autoSpaceDE/>
        <w:autoSpaceDN/>
        <w:bidi w:val="0"/>
        <w:adjustRightInd/>
        <w:snapToGrid/>
        <w:spacing w:line="600" w:lineRule="exact"/>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中止、终止合同的，由双方协商解决。 </w:t>
      </w:r>
    </w:p>
    <w:p w14:paraId="52F6B5DD">
      <w:pPr>
        <w:keepNext w:val="0"/>
        <w:keepLines w:val="0"/>
        <w:pageBreakBefore w:val="0"/>
        <w:widowControl/>
        <w:suppressLineNumbers w:val="0"/>
        <w:kinsoku/>
        <w:wordWrap/>
        <w:overflowPunct/>
        <w:topLinePunct w:val="0"/>
        <w:autoSpaceDE/>
        <w:autoSpaceDN/>
        <w:bidi w:val="0"/>
        <w:adjustRightInd/>
        <w:snapToGrid/>
        <w:spacing w:line="60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4.如发生合同纠纷，采购人、中标人双方协商解决；协商不成时，可提请政府 </w:t>
      </w:r>
    </w:p>
    <w:p w14:paraId="1669EC25">
      <w:pPr>
        <w:keepNext w:val="0"/>
        <w:keepLines w:val="0"/>
        <w:pageBreakBefore w:val="0"/>
        <w:widowControl/>
        <w:suppressLineNumbers w:val="0"/>
        <w:kinsoku/>
        <w:wordWrap/>
        <w:overflowPunct/>
        <w:topLinePunct w:val="0"/>
        <w:autoSpaceDE/>
        <w:autoSpaceDN/>
        <w:bidi w:val="0"/>
        <w:adjustRightInd/>
        <w:snapToGrid/>
        <w:spacing w:line="600" w:lineRule="exact"/>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采购管理部门调解；调解不成，双方约定向</w:t>
      </w:r>
      <w:r>
        <w:rPr>
          <w:rFonts w:hint="eastAsia" w:ascii="宋体" w:hAnsi="宋体" w:eastAsia="宋体" w:cs="宋体"/>
          <w:color w:val="333333"/>
          <w:kern w:val="0"/>
          <w:sz w:val="24"/>
          <w:szCs w:val="24"/>
          <w:lang w:val="en-US" w:eastAsia="zh-CN" w:bidi="ar"/>
        </w:rPr>
        <w:t>采购人</w:t>
      </w:r>
      <w:r>
        <w:rPr>
          <w:rFonts w:hint="eastAsia" w:ascii="宋体" w:hAnsi="宋体" w:eastAsia="宋体" w:cs="宋体"/>
          <w:color w:val="000000"/>
          <w:kern w:val="0"/>
          <w:sz w:val="24"/>
          <w:szCs w:val="24"/>
          <w:lang w:val="en-US" w:eastAsia="zh-CN" w:bidi="ar"/>
        </w:rPr>
        <w:t xml:space="preserve">所在地人民法院提起诉讼。 </w:t>
      </w:r>
    </w:p>
    <w:p w14:paraId="15EBB0A5">
      <w:pPr>
        <w:keepNext w:val="0"/>
        <w:keepLines w:val="0"/>
        <w:pageBreakBefore w:val="0"/>
        <w:widowControl/>
        <w:suppressLineNumbers w:val="0"/>
        <w:kinsoku/>
        <w:wordWrap/>
        <w:overflowPunct/>
        <w:topLinePunct w:val="0"/>
        <w:autoSpaceDE/>
        <w:autoSpaceDN/>
        <w:bidi w:val="0"/>
        <w:adjustRightInd/>
        <w:snapToGrid/>
        <w:spacing w:line="600" w:lineRule="exact"/>
        <w:jc w:val="left"/>
        <w:textAlignment w:val="auto"/>
        <w:rPr>
          <w:rFonts w:hint="eastAsia" w:ascii="宋体" w:hAnsi="宋体" w:eastAsia="宋体" w:cs="宋体"/>
          <w:sz w:val="24"/>
          <w:szCs w:val="24"/>
        </w:rPr>
      </w:pPr>
      <w:r>
        <w:rPr>
          <w:rFonts w:hint="eastAsia" w:ascii="宋体" w:hAnsi="宋体" w:eastAsia="宋体" w:cs="宋体"/>
          <w:b/>
          <w:bCs/>
          <w:color w:val="000000"/>
          <w:kern w:val="0"/>
          <w:sz w:val="24"/>
          <w:szCs w:val="24"/>
          <w:lang w:val="en-US" w:eastAsia="zh-CN" w:bidi="ar"/>
        </w:rPr>
        <w:t>注：商务要求为实质性要求，不得负偏离。</w:t>
      </w:r>
    </w:p>
    <w:p w14:paraId="1553F299">
      <w:pPr>
        <w:pStyle w:val="58"/>
        <w:rPr>
          <w:rFonts w:hint="eastAsia"/>
        </w:rPr>
      </w:pPr>
    </w:p>
    <w:p w14:paraId="2200181F">
      <w:pPr>
        <w:rPr>
          <w:rFonts w:hint="eastAsia"/>
        </w:rPr>
      </w:pPr>
    </w:p>
    <w:p w14:paraId="45A79DE2">
      <w:pPr>
        <w:bidi w:val="0"/>
        <w:rPr>
          <w:rFonts w:hint="eastAsia" w:ascii="Times New Roman" w:hAnsi="Times New Roman" w:eastAsia="宋体" w:cs="Times New Roman"/>
          <w:kern w:val="2"/>
          <w:sz w:val="21"/>
          <w:szCs w:val="24"/>
          <w:lang w:val="en-US" w:eastAsia="zh-CN" w:bidi="ar-SA"/>
        </w:rPr>
      </w:pPr>
    </w:p>
    <w:p w14:paraId="7732F1B7">
      <w:pPr>
        <w:bidi w:val="0"/>
        <w:rPr>
          <w:rFonts w:hint="eastAsia"/>
          <w:lang w:val="en-US" w:eastAsia="zh-CN"/>
        </w:rPr>
      </w:pPr>
    </w:p>
    <w:p w14:paraId="4E7BD367">
      <w:pPr>
        <w:bidi w:val="0"/>
        <w:rPr>
          <w:rFonts w:hint="eastAsia"/>
          <w:lang w:val="en-US" w:eastAsia="zh-CN"/>
        </w:rPr>
      </w:pPr>
    </w:p>
    <w:p w14:paraId="0651EB06">
      <w:pPr>
        <w:bidi w:val="0"/>
        <w:rPr>
          <w:rFonts w:hint="eastAsia"/>
          <w:lang w:val="en-US" w:eastAsia="zh-CN"/>
        </w:rPr>
      </w:pPr>
    </w:p>
    <w:p w14:paraId="5823C0C0">
      <w:pPr>
        <w:bidi w:val="0"/>
        <w:rPr>
          <w:rFonts w:hint="eastAsia"/>
          <w:lang w:val="en-US" w:eastAsia="zh-CN"/>
        </w:rPr>
      </w:pPr>
    </w:p>
    <w:p w14:paraId="219EE443">
      <w:pPr>
        <w:bidi w:val="0"/>
        <w:rPr>
          <w:rFonts w:hint="eastAsia"/>
          <w:lang w:val="en-US" w:eastAsia="zh-CN"/>
        </w:rPr>
      </w:pPr>
    </w:p>
    <w:p w14:paraId="3AC9D6BC">
      <w:pPr>
        <w:pStyle w:val="2"/>
        <w:numPr>
          <w:ilvl w:val="0"/>
          <w:numId w:val="0"/>
        </w:numPr>
        <w:tabs>
          <w:tab w:val="clear" w:pos="324"/>
        </w:tabs>
        <w:ind w:leftChars="0"/>
        <w:jc w:val="both"/>
        <w:rPr>
          <w:rFonts w:hint="eastAsia" w:ascii="宋体" w:hAnsi="宋体" w:eastAsia="宋体" w:cs="宋体"/>
          <w:b/>
          <w:bCs/>
          <w:color w:val="auto"/>
          <w:sz w:val="36"/>
          <w:szCs w:val="36"/>
          <w:highlight w:val="none"/>
          <w:lang w:eastAsia="zh-CN"/>
        </w:rPr>
      </w:pPr>
    </w:p>
    <w:p w14:paraId="076E9EA3">
      <w:pPr>
        <w:pStyle w:val="2"/>
        <w:numPr>
          <w:ilvl w:val="0"/>
          <w:numId w:val="0"/>
        </w:numPr>
        <w:tabs>
          <w:tab w:val="clear" w:pos="324"/>
        </w:tabs>
        <w:ind w:leftChars="0"/>
        <w:jc w:val="center"/>
        <w:rPr>
          <w:rFonts w:hint="eastAsia" w:ascii="宋体" w:hAnsi="宋体" w:eastAsia="宋体" w:cs="宋体"/>
          <w:b/>
          <w:bCs/>
          <w:color w:val="auto"/>
          <w:sz w:val="36"/>
          <w:szCs w:val="36"/>
          <w:highlight w:val="none"/>
          <w:lang w:eastAsia="zh-CN"/>
        </w:rPr>
      </w:pPr>
    </w:p>
    <w:p w14:paraId="0BBF8269">
      <w:pPr>
        <w:rPr>
          <w:rFonts w:hint="eastAsia" w:ascii="宋体" w:hAnsi="宋体" w:eastAsia="宋体" w:cs="宋体"/>
          <w:b/>
          <w:bCs/>
          <w:color w:val="auto"/>
          <w:sz w:val="36"/>
          <w:szCs w:val="36"/>
          <w:highlight w:val="none"/>
          <w:lang w:eastAsia="zh-CN"/>
        </w:rPr>
      </w:pPr>
    </w:p>
    <w:p w14:paraId="65323433">
      <w:pPr>
        <w:pStyle w:val="5"/>
        <w:numPr>
          <w:ilvl w:val="0"/>
          <w:numId w:val="0"/>
        </w:numPr>
        <w:ind w:leftChars="0"/>
        <w:jc w:val="both"/>
        <w:rPr>
          <w:rFonts w:hint="eastAsia"/>
          <w:lang w:eastAsia="zh-CN"/>
        </w:rPr>
      </w:pPr>
    </w:p>
    <w:p w14:paraId="20151CC6">
      <w:pPr>
        <w:pStyle w:val="2"/>
        <w:numPr>
          <w:ilvl w:val="0"/>
          <w:numId w:val="0"/>
        </w:numPr>
        <w:tabs>
          <w:tab w:val="clear" w:pos="324"/>
        </w:tabs>
        <w:ind w:leftChars="0"/>
        <w:jc w:val="center"/>
        <w:rPr>
          <w:rFonts w:hint="eastAsia" w:ascii="宋体" w:hAnsi="宋体" w:eastAsia="宋体" w:cs="宋体"/>
          <w:b/>
          <w:bCs/>
          <w:color w:val="auto"/>
          <w:sz w:val="36"/>
          <w:szCs w:val="36"/>
          <w:highlight w:val="none"/>
          <w:lang w:eastAsia="zh-CN"/>
        </w:rPr>
      </w:pPr>
    </w:p>
    <w:p w14:paraId="54FD2937">
      <w:pPr>
        <w:rPr>
          <w:rFonts w:hint="eastAsia" w:ascii="宋体" w:hAnsi="宋体" w:eastAsia="宋体" w:cs="宋体"/>
          <w:b/>
          <w:bCs/>
          <w:color w:val="auto"/>
          <w:sz w:val="36"/>
          <w:szCs w:val="36"/>
          <w:highlight w:val="none"/>
          <w:lang w:eastAsia="zh-CN"/>
        </w:rPr>
      </w:pPr>
    </w:p>
    <w:p w14:paraId="0FF4A04A">
      <w:pPr>
        <w:rPr>
          <w:rFonts w:hint="eastAsia" w:ascii="宋体" w:hAnsi="宋体" w:eastAsia="宋体" w:cs="宋体"/>
          <w:b/>
          <w:bCs/>
          <w:color w:val="auto"/>
          <w:sz w:val="36"/>
          <w:szCs w:val="36"/>
          <w:highlight w:val="none"/>
          <w:lang w:eastAsia="zh-CN"/>
        </w:rPr>
      </w:pPr>
    </w:p>
    <w:p w14:paraId="7C382E56">
      <w:pPr>
        <w:pStyle w:val="2"/>
        <w:numPr>
          <w:ilvl w:val="0"/>
          <w:numId w:val="0"/>
        </w:numPr>
        <w:tabs>
          <w:tab w:val="clear" w:pos="324"/>
        </w:tabs>
        <w:ind w:leftChars="0"/>
        <w:jc w:val="center"/>
        <w:rPr>
          <w:rFonts w:hint="eastAsia" w:ascii="宋体" w:hAnsi="宋体" w:eastAsia="宋体" w:cs="宋体"/>
          <w:b/>
          <w:bCs/>
          <w:color w:val="auto"/>
          <w:sz w:val="36"/>
          <w:szCs w:val="36"/>
          <w:highlight w:val="none"/>
          <w:lang w:eastAsia="zh-CN"/>
        </w:rPr>
      </w:pPr>
      <w:r>
        <w:rPr>
          <w:rFonts w:hint="eastAsia" w:ascii="宋体" w:hAnsi="宋体" w:eastAsia="宋体" w:cs="宋体"/>
          <w:b/>
          <w:bCs/>
          <w:color w:val="auto"/>
          <w:sz w:val="36"/>
          <w:szCs w:val="36"/>
          <w:highlight w:val="none"/>
          <w:lang w:eastAsia="zh-CN"/>
        </w:rPr>
        <w:t>第五章</w:t>
      </w:r>
      <w:r>
        <w:rPr>
          <w:rFonts w:hint="eastAsia" w:ascii="宋体" w:hAnsi="宋体" w:eastAsia="宋体" w:cs="宋体"/>
          <w:b/>
          <w:bCs/>
          <w:color w:val="auto"/>
          <w:sz w:val="36"/>
          <w:szCs w:val="36"/>
          <w:highlight w:val="none"/>
          <w:lang w:val="en-US" w:eastAsia="zh-CN"/>
        </w:rPr>
        <w:t xml:space="preserve">  </w:t>
      </w:r>
      <w:r>
        <w:rPr>
          <w:rFonts w:hint="eastAsia" w:ascii="宋体" w:hAnsi="宋体" w:eastAsia="宋体" w:cs="宋体"/>
          <w:b/>
          <w:bCs/>
          <w:color w:val="auto"/>
          <w:sz w:val="36"/>
          <w:szCs w:val="36"/>
          <w:highlight w:val="none"/>
          <w:lang w:eastAsia="zh-CN"/>
        </w:rPr>
        <w:t>主要合同条款</w:t>
      </w:r>
    </w:p>
    <w:p w14:paraId="65CB2D69">
      <w:pPr>
        <w:pStyle w:val="58"/>
        <w:rPr>
          <w:rFonts w:hint="eastAsia"/>
          <w:lang w:val="en-US" w:eastAsia="zh-CN"/>
        </w:rPr>
      </w:pPr>
    </w:p>
    <w:p w14:paraId="6328E62E">
      <w:pPr>
        <w:rPr>
          <w:rFonts w:hint="eastAsia"/>
          <w:lang w:val="en-US" w:eastAsia="zh-CN"/>
        </w:rPr>
      </w:pPr>
    </w:p>
    <w:p w14:paraId="4AC5EE95">
      <w:pPr>
        <w:pStyle w:val="39"/>
        <w:rPr>
          <w:rFonts w:hint="eastAsia"/>
          <w:lang w:val="en-US" w:eastAsia="zh-CN"/>
        </w:rPr>
      </w:pPr>
    </w:p>
    <w:p w14:paraId="7B6AC513">
      <w:pPr>
        <w:pStyle w:val="16"/>
        <w:rPr>
          <w:rFonts w:hint="eastAsia"/>
          <w:lang w:val="en-US" w:eastAsia="zh-CN"/>
        </w:rPr>
      </w:pPr>
    </w:p>
    <w:p w14:paraId="26B703D3">
      <w:pPr>
        <w:pStyle w:val="58"/>
        <w:rPr>
          <w:rFonts w:hint="eastAsia"/>
          <w:lang w:val="en-US" w:eastAsia="zh-CN"/>
        </w:rPr>
      </w:pPr>
    </w:p>
    <w:p w14:paraId="016ED74A">
      <w:pPr>
        <w:rPr>
          <w:rFonts w:hint="eastAsia"/>
          <w:lang w:val="en-US" w:eastAsia="zh-CN"/>
        </w:rPr>
      </w:pPr>
    </w:p>
    <w:p w14:paraId="70376E08">
      <w:pPr>
        <w:pStyle w:val="39"/>
        <w:rPr>
          <w:rFonts w:hint="eastAsia"/>
          <w:lang w:val="en-US" w:eastAsia="zh-CN"/>
        </w:rPr>
      </w:pPr>
    </w:p>
    <w:p w14:paraId="10DECC76">
      <w:pPr>
        <w:pStyle w:val="16"/>
        <w:rPr>
          <w:rFonts w:hint="eastAsia"/>
          <w:lang w:val="en-US" w:eastAsia="zh-CN"/>
        </w:rPr>
      </w:pPr>
    </w:p>
    <w:p w14:paraId="2EE57F39">
      <w:pPr>
        <w:pStyle w:val="58"/>
        <w:rPr>
          <w:rFonts w:hint="eastAsia"/>
          <w:lang w:val="en-US" w:eastAsia="zh-CN"/>
        </w:rPr>
      </w:pPr>
    </w:p>
    <w:p w14:paraId="57FEAFB6">
      <w:pPr>
        <w:rPr>
          <w:rFonts w:hint="eastAsia"/>
          <w:lang w:val="en-US" w:eastAsia="zh-CN"/>
        </w:rPr>
      </w:pPr>
    </w:p>
    <w:p w14:paraId="4C1D9A8F">
      <w:pPr>
        <w:pStyle w:val="39"/>
        <w:rPr>
          <w:rFonts w:hint="eastAsia"/>
          <w:lang w:val="en-US" w:eastAsia="zh-CN"/>
        </w:rPr>
      </w:pPr>
    </w:p>
    <w:p w14:paraId="1C5846BA">
      <w:pPr>
        <w:pStyle w:val="16"/>
        <w:rPr>
          <w:rFonts w:hint="eastAsia"/>
          <w:lang w:val="en-US" w:eastAsia="zh-CN"/>
        </w:rPr>
      </w:pPr>
    </w:p>
    <w:p w14:paraId="2D723E07">
      <w:pPr>
        <w:pStyle w:val="58"/>
        <w:rPr>
          <w:rFonts w:hint="eastAsia"/>
          <w:lang w:val="en-US" w:eastAsia="zh-CN"/>
        </w:rPr>
      </w:pPr>
    </w:p>
    <w:p w14:paraId="71195666">
      <w:pPr>
        <w:rPr>
          <w:rFonts w:hint="eastAsia"/>
          <w:lang w:val="en-US" w:eastAsia="zh-CN"/>
        </w:rPr>
      </w:pPr>
    </w:p>
    <w:p w14:paraId="1863F700">
      <w:pPr>
        <w:rPr>
          <w:rFonts w:hint="eastAsia"/>
          <w:lang w:val="en-US" w:eastAsia="zh-CN"/>
        </w:rPr>
      </w:pPr>
    </w:p>
    <w:p w14:paraId="3011655D">
      <w:pPr>
        <w:rPr>
          <w:rFonts w:hint="eastAsia"/>
          <w:lang w:val="en-US" w:eastAsia="zh-CN"/>
        </w:rPr>
      </w:pPr>
    </w:p>
    <w:p w14:paraId="28649F9F">
      <w:pPr>
        <w:rPr>
          <w:rFonts w:hint="eastAsia"/>
          <w:lang w:val="en-US" w:eastAsia="zh-CN"/>
        </w:rPr>
      </w:pPr>
    </w:p>
    <w:p w14:paraId="50714595">
      <w:pPr>
        <w:rPr>
          <w:rFonts w:hint="eastAsia"/>
          <w:lang w:val="en-US" w:eastAsia="zh-CN"/>
        </w:rPr>
      </w:pPr>
    </w:p>
    <w:p w14:paraId="5B3E3CC4">
      <w:pPr>
        <w:rPr>
          <w:rFonts w:hint="eastAsia"/>
          <w:lang w:val="en-US" w:eastAsia="zh-CN"/>
        </w:rPr>
      </w:pPr>
    </w:p>
    <w:p w14:paraId="4547AD3D">
      <w:pPr>
        <w:rPr>
          <w:rFonts w:hint="eastAsia"/>
          <w:lang w:val="en-US" w:eastAsia="zh-CN"/>
        </w:rPr>
      </w:pPr>
    </w:p>
    <w:p w14:paraId="71B2532C">
      <w:pPr>
        <w:pStyle w:val="58"/>
        <w:rPr>
          <w:rFonts w:hint="eastAsia"/>
          <w:lang w:val="en-US" w:eastAsia="zh-CN"/>
        </w:rPr>
      </w:pPr>
    </w:p>
    <w:p w14:paraId="21242FB2">
      <w:pPr>
        <w:rPr>
          <w:rFonts w:hint="eastAsia" w:ascii="宋体" w:hAnsi="宋体" w:eastAsia="宋体" w:cs="宋体"/>
          <w:b/>
          <w:bCs/>
          <w:sz w:val="36"/>
          <w:szCs w:val="36"/>
          <w:highlight w:val="none"/>
        </w:rPr>
      </w:pPr>
      <w:bookmarkStart w:id="19" w:name="_Toc17681"/>
    </w:p>
    <w:p w14:paraId="161878C9">
      <w:pPr>
        <w:spacing w:line="440" w:lineRule="exact"/>
        <w:jc w:val="left"/>
        <w:rPr>
          <w:rFonts w:hint="eastAsia" w:ascii="宋体" w:hAnsi="宋体" w:eastAsia="宋体" w:cs="宋体"/>
          <w:b/>
          <w:bCs/>
          <w:sz w:val="24"/>
          <w:szCs w:val="24"/>
          <w:lang w:eastAsia="zh-CN"/>
        </w:rPr>
        <w:sectPr>
          <w:headerReference r:id="rId5" w:type="default"/>
          <w:footerReference r:id="rId6" w:type="default"/>
          <w:pgSz w:w="11906" w:h="16838"/>
          <w:pgMar w:top="1440" w:right="1417" w:bottom="1440" w:left="1417" w:header="851" w:footer="992" w:gutter="0"/>
          <w:pgNumType w:fmt="decimal"/>
          <w:cols w:space="720" w:num="1"/>
          <w:docGrid w:type="lines" w:linePitch="312" w:charSpace="0"/>
        </w:sectPr>
      </w:pPr>
      <w:bookmarkStart w:id="20" w:name="_Toc31274"/>
    </w:p>
    <w:bookmarkEnd w:id="20"/>
    <w:p w14:paraId="36A6A2F0">
      <w:pPr>
        <w:keepNext w:val="0"/>
        <w:keepLines w:val="0"/>
        <w:pageBreakBefore w:val="0"/>
        <w:widowControl w:val="0"/>
        <w:kinsoku/>
        <w:wordWrap/>
        <w:overflowPunct/>
        <w:topLinePunct w:val="0"/>
        <w:autoSpaceDE/>
        <w:autoSpaceDN/>
        <w:bidi w:val="0"/>
        <w:adjustRightInd/>
        <w:snapToGrid/>
        <w:spacing w:line="400" w:lineRule="exact"/>
        <w:ind w:left="0" w:leftChars="0"/>
        <w:jc w:val="center"/>
        <w:textAlignment w:val="auto"/>
        <w:rPr>
          <w:rFonts w:hint="eastAsia" w:ascii="宋体" w:hAnsi="宋体" w:eastAsia="宋体" w:cs="宋体"/>
          <w:b/>
          <w:bCs/>
          <w:sz w:val="40"/>
          <w:szCs w:val="40"/>
          <w:lang w:eastAsia="zh-CN"/>
        </w:rPr>
      </w:pPr>
      <w:r>
        <w:rPr>
          <w:rFonts w:hint="eastAsia" w:ascii="宋体" w:hAnsi="宋体" w:eastAsia="宋体" w:cs="宋体"/>
          <w:b/>
          <w:bCs/>
          <w:sz w:val="40"/>
          <w:szCs w:val="40"/>
          <w:lang w:eastAsia="zh-CN"/>
        </w:rPr>
        <w:t>拟签订</w:t>
      </w:r>
      <w:r>
        <w:rPr>
          <w:rFonts w:hint="eastAsia" w:ascii="宋体" w:hAnsi="宋体" w:eastAsia="宋体" w:cs="宋体"/>
          <w:b/>
          <w:bCs/>
          <w:sz w:val="40"/>
          <w:szCs w:val="40"/>
        </w:rPr>
        <w:t>合同</w:t>
      </w:r>
      <w:r>
        <w:rPr>
          <w:rFonts w:hint="eastAsia" w:ascii="宋体" w:hAnsi="宋体" w:eastAsia="宋体" w:cs="宋体"/>
          <w:b/>
          <w:bCs/>
          <w:sz w:val="40"/>
          <w:szCs w:val="40"/>
          <w:lang w:eastAsia="zh-CN"/>
        </w:rPr>
        <w:t>主要条款</w:t>
      </w:r>
    </w:p>
    <w:p w14:paraId="33146B72">
      <w:pPr>
        <w:pStyle w:val="17"/>
        <w:keepNext w:val="0"/>
        <w:keepLines w:val="0"/>
        <w:pageBreakBefore w:val="0"/>
        <w:widowControl w:val="0"/>
        <w:kinsoku/>
        <w:overflowPunct/>
        <w:topLinePunct w:val="0"/>
        <w:bidi w:val="0"/>
        <w:snapToGrid/>
        <w:spacing w:line="400" w:lineRule="exact"/>
        <w:ind w:left="0" w:leftChars="0" w:firstLine="0" w:firstLineChars="0"/>
        <w:textAlignment w:val="auto"/>
        <w:rPr>
          <w:rFonts w:hint="eastAsia" w:ascii="宋体" w:hAnsi="宋体" w:eastAsia="宋体" w:cs="宋体"/>
          <w:sz w:val="24"/>
          <w:szCs w:val="24"/>
          <w:lang w:eastAsia="zh-CN"/>
        </w:rPr>
      </w:pPr>
    </w:p>
    <w:p w14:paraId="3288D09E">
      <w:pPr>
        <w:keepNext w:val="0"/>
        <w:keepLines w:val="0"/>
        <w:pageBreakBefore w:val="0"/>
        <w:widowControl w:val="0"/>
        <w:kinsoku/>
        <w:overflowPunct/>
        <w:topLinePunct w:val="0"/>
        <w:bidi w:val="0"/>
        <w:snapToGrid/>
        <w:spacing w:line="40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t>甲方（委托方）：</w:t>
      </w:r>
      <w:r>
        <w:rPr>
          <w:rFonts w:hint="eastAsia" w:ascii="宋体" w:hAnsi="宋体" w:eastAsia="宋体" w:cs="宋体"/>
          <w:b/>
          <w:bCs/>
          <w:sz w:val="24"/>
          <w:szCs w:val="24"/>
          <w:u w:val="single"/>
          <w:lang w:val="en-US" w:eastAsia="zh-CN"/>
        </w:rPr>
        <w:t xml:space="preserve">                                       </w:t>
      </w:r>
      <w:r>
        <w:rPr>
          <w:rFonts w:hint="eastAsia" w:ascii="宋体" w:hAnsi="宋体" w:eastAsia="宋体" w:cs="宋体"/>
          <w:b/>
          <w:bCs/>
          <w:sz w:val="24"/>
          <w:szCs w:val="24"/>
          <w:lang w:val="en-US" w:eastAsia="zh-CN"/>
        </w:rPr>
        <w:t xml:space="preserve"> </w:t>
      </w:r>
      <w:r>
        <w:rPr>
          <w:rFonts w:hint="eastAsia" w:ascii="宋体" w:hAnsi="宋体" w:eastAsia="宋体" w:cs="宋体"/>
          <w:b/>
          <w:bCs/>
          <w:sz w:val="24"/>
          <w:szCs w:val="24"/>
        </w:rPr>
        <w:t xml:space="preserve"> </w:t>
      </w:r>
    </w:p>
    <w:p w14:paraId="2B1BDDB8">
      <w:pPr>
        <w:keepNext w:val="0"/>
        <w:keepLines w:val="0"/>
        <w:pageBreakBefore w:val="0"/>
        <w:widowControl w:val="0"/>
        <w:kinsoku/>
        <w:overflowPunct/>
        <w:topLinePunct w:val="0"/>
        <w:bidi w:val="0"/>
        <w:snapToGrid/>
        <w:spacing w:line="400" w:lineRule="exact"/>
        <w:textAlignment w:val="auto"/>
        <w:rPr>
          <w:rFonts w:hint="eastAsia" w:ascii="宋体" w:hAnsi="宋体" w:eastAsia="宋体" w:cs="宋体"/>
          <w:b/>
          <w:sz w:val="24"/>
          <w:szCs w:val="24"/>
          <w:u w:val="single"/>
          <w:lang w:val="en-US" w:eastAsia="zh-CN"/>
        </w:rPr>
      </w:pPr>
      <w:r>
        <w:rPr>
          <w:rFonts w:hint="eastAsia" w:ascii="宋体" w:hAnsi="宋体" w:eastAsia="宋体" w:cs="宋体"/>
          <w:b/>
          <w:bCs/>
          <w:sz w:val="24"/>
          <w:szCs w:val="24"/>
        </w:rPr>
        <w:t>乙方（受托方）：</w:t>
      </w:r>
      <w:r>
        <w:rPr>
          <w:rFonts w:hint="eastAsia" w:ascii="宋体" w:hAnsi="宋体" w:eastAsia="宋体" w:cs="宋体"/>
          <w:b/>
          <w:sz w:val="24"/>
          <w:szCs w:val="24"/>
          <w:u w:val="single"/>
          <w:lang w:val="en-US" w:eastAsia="zh-CN"/>
        </w:rPr>
        <w:t xml:space="preserve">                                       </w:t>
      </w:r>
    </w:p>
    <w:p w14:paraId="2D2C6C3B">
      <w:pPr>
        <w:keepNext w:val="0"/>
        <w:keepLines w:val="0"/>
        <w:pageBreakBefore w:val="0"/>
        <w:widowControl w:val="0"/>
        <w:numPr>
          <w:ilvl w:val="0"/>
          <w:numId w:val="0"/>
        </w:numPr>
        <w:kinsoku/>
        <w:overflowPunct/>
        <w:topLinePunct w:val="0"/>
        <w:bidi w:val="0"/>
        <w:snapToGrid/>
        <w:spacing w:line="400" w:lineRule="exact"/>
        <w:ind w:firstLine="482" w:firstLineChars="200"/>
        <w:textAlignment w:val="auto"/>
        <w:rPr>
          <w:rFonts w:hint="eastAsia" w:ascii="宋体" w:hAnsi="宋体" w:eastAsia="宋体" w:cs="宋体"/>
          <w:b/>
          <w:sz w:val="24"/>
          <w:szCs w:val="24"/>
          <w:lang w:val="en-US" w:eastAsia="zh-CN"/>
        </w:rPr>
      </w:pPr>
    </w:p>
    <w:p w14:paraId="11E28298">
      <w:pPr>
        <w:keepNext w:val="0"/>
        <w:keepLines w:val="0"/>
        <w:pageBreakBefore w:val="0"/>
        <w:widowControl w:val="0"/>
        <w:numPr>
          <w:ilvl w:val="0"/>
          <w:numId w:val="0"/>
        </w:numPr>
        <w:kinsoku/>
        <w:overflowPunct/>
        <w:topLinePunct w:val="0"/>
        <w:bidi w:val="0"/>
        <w:snapToGrid/>
        <w:spacing w:line="400" w:lineRule="exact"/>
        <w:ind w:firstLine="480" w:firstLineChars="200"/>
        <w:textAlignment w:val="auto"/>
        <w:rPr>
          <w:rFonts w:hint="eastAsia" w:ascii="宋体" w:hAnsi="宋体" w:eastAsia="宋体" w:cs="宋体"/>
          <w:sz w:val="20"/>
          <w:szCs w:val="22"/>
          <w:lang w:val="en-US" w:eastAsia="zh-CN"/>
        </w:rPr>
      </w:pPr>
      <w:r>
        <w:rPr>
          <w:rFonts w:hint="eastAsia" w:ascii="宋体" w:hAnsi="宋体" w:eastAsia="宋体" w:cs="宋体"/>
          <w:b w:val="0"/>
          <w:bCs/>
          <w:sz w:val="24"/>
          <w:szCs w:val="24"/>
          <w:lang w:val="en-US" w:eastAsia="zh-CN"/>
        </w:rPr>
        <w:t>根据《中华人民共和国民法典》《中华人民共和国政府采购法》等相关法律，以及采购项目结果，确定乙方为成交（中标）人。现经甲乙双方协商一致，签订本合同。</w:t>
      </w:r>
    </w:p>
    <w:p w14:paraId="71F8F1E6">
      <w:pPr>
        <w:keepNext w:val="0"/>
        <w:keepLines w:val="0"/>
        <w:pageBreakBefore w:val="0"/>
        <w:widowControl w:val="0"/>
        <w:numPr>
          <w:ilvl w:val="0"/>
          <w:numId w:val="0"/>
        </w:numPr>
        <w:kinsoku/>
        <w:overflowPunct/>
        <w:topLinePunct w:val="0"/>
        <w:bidi w:val="0"/>
        <w:snapToGrid/>
        <w:spacing w:line="400" w:lineRule="exact"/>
        <w:ind w:firstLine="482" w:firstLineChars="200"/>
        <w:textAlignment w:val="auto"/>
        <w:rPr>
          <w:rFonts w:hint="eastAsia" w:ascii="宋体" w:hAnsi="宋体" w:eastAsia="宋体" w:cs="宋体"/>
          <w:sz w:val="24"/>
          <w:szCs w:val="24"/>
          <w:u w:val="single"/>
          <w:lang w:val="en-US" w:eastAsia="zh-CN"/>
        </w:rPr>
      </w:pPr>
      <w:r>
        <w:rPr>
          <w:rFonts w:hint="eastAsia" w:ascii="宋体" w:hAnsi="宋体" w:eastAsia="宋体" w:cs="宋体"/>
          <w:b/>
          <w:sz w:val="24"/>
          <w:szCs w:val="24"/>
          <w:lang w:val="en-US" w:eastAsia="zh-CN"/>
        </w:rPr>
        <w:t>一、</w:t>
      </w:r>
      <w:r>
        <w:rPr>
          <w:rFonts w:hint="eastAsia" w:ascii="宋体" w:hAnsi="宋体" w:eastAsia="宋体" w:cs="宋体"/>
          <w:b/>
          <w:sz w:val="24"/>
          <w:szCs w:val="24"/>
        </w:rPr>
        <w:t>项目名称</w:t>
      </w:r>
      <w:r>
        <w:rPr>
          <w:rFonts w:hint="eastAsia" w:ascii="宋体" w:hAnsi="宋体" w:eastAsia="宋体" w:cs="宋体"/>
          <w:b/>
          <w:sz w:val="24"/>
          <w:szCs w:val="24"/>
          <w:lang w:eastAsia="zh-CN"/>
        </w:rPr>
        <w:t>：</w:t>
      </w:r>
      <w:r>
        <w:rPr>
          <w:rFonts w:hint="eastAsia" w:ascii="宋体" w:hAnsi="宋体" w:eastAsia="宋体" w:cs="宋体"/>
          <w:sz w:val="24"/>
          <w:szCs w:val="24"/>
          <w:u w:val="single"/>
          <w:lang w:val="en-US" w:eastAsia="zh-CN"/>
        </w:rPr>
        <w:t xml:space="preserve">                        </w:t>
      </w:r>
    </w:p>
    <w:p w14:paraId="4E45E74E">
      <w:pPr>
        <w:keepNext w:val="0"/>
        <w:keepLines w:val="0"/>
        <w:pageBreakBefore w:val="0"/>
        <w:widowControl w:val="0"/>
        <w:numPr>
          <w:ilvl w:val="0"/>
          <w:numId w:val="0"/>
        </w:numPr>
        <w:kinsoku/>
        <w:overflowPunct/>
        <w:topLinePunct w:val="0"/>
        <w:bidi w:val="0"/>
        <w:snapToGrid/>
        <w:spacing w:line="400" w:lineRule="exact"/>
        <w:ind w:firstLine="482" w:firstLineChars="200"/>
        <w:textAlignment w:val="auto"/>
        <w:rPr>
          <w:rFonts w:hint="eastAsia" w:ascii="宋体" w:hAnsi="宋体" w:eastAsia="宋体" w:cs="宋体"/>
          <w:b/>
          <w:sz w:val="24"/>
          <w:szCs w:val="24"/>
          <w:lang w:eastAsia="zh-CN"/>
        </w:rPr>
      </w:pPr>
      <w:r>
        <w:rPr>
          <w:rFonts w:hint="eastAsia" w:ascii="宋体" w:hAnsi="宋体" w:eastAsia="宋体" w:cs="宋体"/>
          <w:b/>
          <w:sz w:val="24"/>
          <w:szCs w:val="24"/>
          <w:lang w:eastAsia="zh-CN"/>
        </w:rPr>
        <w:t>二、合同标的</w:t>
      </w:r>
    </w:p>
    <w:p w14:paraId="20478958">
      <w:pPr>
        <w:keepNext w:val="0"/>
        <w:keepLines w:val="0"/>
        <w:pageBreakBefore w:val="0"/>
        <w:widowControl w:val="0"/>
        <w:numPr>
          <w:ilvl w:val="0"/>
          <w:numId w:val="0"/>
        </w:numPr>
        <w:kinsoku/>
        <w:overflowPunct/>
        <w:topLinePunct w:val="0"/>
        <w:bidi w:val="0"/>
        <w:snapToGrid/>
        <w:spacing w:line="400" w:lineRule="exact"/>
        <w:ind w:firstLine="480" w:firstLineChars="200"/>
        <w:textAlignment w:val="auto"/>
        <w:rPr>
          <w:rFonts w:hint="eastAsia" w:ascii="宋体" w:hAnsi="宋体" w:eastAsia="宋体" w:cs="宋体"/>
          <w:sz w:val="24"/>
          <w:szCs w:val="24"/>
          <w:u w:val="single"/>
          <w:lang w:val="en-US" w:eastAsia="zh-CN"/>
        </w:rPr>
      </w:pPr>
      <w:r>
        <w:rPr>
          <w:rFonts w:hint="eastAsia" w:ascii="宋体" w:hAnsi="宋体" w:eastAsia="宋体" w:cs="宋体"/>
          <w:sz w:val="24"/>
          <w:szCs w:val="24"/>
          <w:lang w:val="en-US" w:eastAsia="zh-CN"/>
        </w:rPr>
        <w:t>1.标的的明细清单：</w:t>
      </w:r>
      <w:r>
        <w:rPr>
          <w:rFonts w:hint="eastAsia" w:ascii="宋体" w:hAnsi="宋体" w:eastAsia="宋体" w:cs="宋体"/>
          <w:sz w:val="24"/>
          <w:szCs w:val="24"/>
          <w:u w:val="single"/>
          <w:lang w:val="en-US" w:eastAsia="zh-CN"/>
        </w:rPr>
        <w:t xml:space="preserve">                        </w:t>
      </w:r>
    </w:p>
    <w:p w14:paraId="237BEA5B">
      <w:pPr>
        <w:keepNext w:val="0"/>
        <w:keepLines w:val="0"/>
        <w:pageBreakBefore w:val="0"/>
        <w:widowControl w:val="0"/>
        <w:kinsoku/>
        <w:overflowPunct/>
        <w:topLinePunct w:val="0"/>
        <w:bidi w:val="0"/>
        <w:snapToGrid/>
        <w:spacing w:line="400" w:lineRule="exact"/>
        <w:ind w:firstLine="480" w:firstLineChars="200"/>
        <w:textAlignment w:val="auto"/>
        <w:rPr>
          <w:rFonts w:hint="eastAsia" w:ascii="宋体" w:hAnsi="宋体" w:eastAsia="宋体" w:cs="宋体"/>
          <w:color w:val="auto"/>
          <w:kern w:val="2"/>
          <w:sz w:val="24"/>
          <w:szCs w:val="24"/>
          <w:u w:val="none"/>
          <w:lang w:val="en-US" w:eastAsia="zh-CN" w:bidi="ar-SA"/>
        </w:rPr>
      </w:pPr>
      <w:r>
        <w:rPr>
          <w:rFonts w:hint="eastAsia" w:ascii="宋体" w:hAnsi="宋体" w:eastAsia="宋体" w:cs="宋体"/>
          <w:sz w:val="24"/>
          <w:szCs w:val="24"/>
          <w:u w:val="none"/>
          <w:lang w:val="en-US" w:eastAsia="zh-CN"/>
        </w:rPr>
        <w:t>2.上述合同金额为一次性包干总价，不受市场价格的变化和影响，在合同不发生变更时作为付款结算的依据。</w:t>
      </w:r>
      <w:r>
        <w:rPr>
          <w:rFonts w:hint="eastAsia" w:ascii="宋体" w:hAnsi="宋体" w:eastAsia="宋体" w:cs="宋体"/>
          <w:sz w:val="20"/>
          <w:szCs w:val="22"/>
          <w:lang w:val="en-US" w:eastAsia="zh-CN"/>
        </w:rPr>
        <w:t xml:space="preserve">   </w:t>
      </w:r>
      <w:r>
        <w:rPr>
          <w:rFonts w:hint="eastAsia" w:ascii="宋体" w:hAnsi="宋体" w:eastAsia="宋体" w:cs="宋体"/>
          <w:color w:val="auto"/>
          <w:kern w:val="2"/>
          <w:sz w:val="24"/>
          <w:szCs w:val="24"/>
          <w:u w:val="none"/>
          <w:lang w:val="en-US" w:eastAsia="zh-CN" w:bidi="ar-SA"/>
        </w:rPr>
        <w:t xml:space="preserve"> </w:t>
      </w:r>
    </w:p>
    <w:p w14:paraId="737C23EA">
      <w:pPr>
        <w:pStyle w:val="18"/>
        <w:keepNext w:val="0"/>
        <w:keepLines w:val="0"/>
        <w:pageBreakBefore w:val="0"/>
        <w:widowControl w:val="0"/>
        <w:kinsoku/>
        <w:wordWrap/>
        <w:overflowPunct/>
        <w:topLinePunct w:val="0"/>
        <w:autoSpaceDE w:val="0"/>
        <w:autoSpaceDN w:val="0"/>
        <w:bidi w:val="0"/>
        <w:adjustRightInd w:val="0"/>
        <w:snapToGrid/>
        <w:spacing w:line="400" w:lineRule="exact"/>
        <w:ind w:firstLine="480" w:firstLineChars="200"/>
        <w:textAlignment w:val="auto"/>
        <w:rPr>
          <w:rFonts w:hint="eastAsia" w:ascii="宋体" w:hAnsi="宋体" w:eastAsia="宋体" w:cs="宋体"/>
          <w:color w:val="auto"/>
          <w:kern w:val="2"/>
          <w:sz w:val="24"/>
          <w:szCs w:val="24"/>
          <w:u w:val="none"/>
          <w:lang w:val="en-US" w:eastAsia="zh-CN" w:bidi="ar-SA"/>
        </w:rPr>
      </w:pPr>
      <w:r>
        <w:rPr>
          <w:rFonts w:hint="eastAsia" w:ascii="宋体" w:hAnsi="宋体" w:eastAsia="宋体" w:cs="宋体"/>
          <w:color w:val="auto"/>
          <w:kern w:val="2"/>
          <w:sz w:val="24"/>
          <w:szCs w:val="24"/>
          <w:u w:val="none"/>
          <w:lang w:val="en-US" w:eastAsia="zh-CN" w:bidi="ar-SA"/>
        </w:rPr>
        <w:t>3.该包干总价为乙方按照合同约定完成合同全部义务后所使用的总价，包括但不限于货物费、包装费、运杂费、工程费、材料费、全部税费、安装调试费等相关费用，除本合同明确约定的费用外，甲方无需支付任何额外费用和承担任何额外义务。</w:t>
      </w:r>
    </w:p>
    <w:p w14:paraId="16DEE3C9">
      <w:pPr>
        <w:pStyle w:val="18"/>
        <w:keepNext w:val="0"/>
        <w:keepLines w:val="0"/>
        <w:pageBreakBefore w:val="0"/>
        <w:widowControl w:val="0"/>
        <w:kinsoku/>
        <w:wordWrap/>
        <w:overflowPunct/>
        <w:topLinePunct w:val="0"/>
        <w:autoSpaceDE w:val="0"/>
        <w:autoSpaceDN w:val="0"/>
        <w:bidi w:val="0"/>
        <w:adjustRightInd w:val="0"/>
        <w:snapToGrid/>
        <w:spacing w:line="400" w:lineRule="exact"/>
        <w:textAlignment w:val="auto"/>
        <w:rPr>
          <w:rFonts w:hint="eastAsia" w:ascii="宋体" w:hAnsi="宋体" w:eastAsia="宋体" w:cs="宋体"/>
          <w:b/>
          <w:color w:val="auto"/>
          <w:kern w:val="2"/>
          <w:sz w:val="24"/>
          <w:szCs w:val="24"/>
          <w:lang w:val="en-US" w:eastAsia="zh-CN" w:bidi="ar-SA"/>
        </w:rPr>
      </w:pPr>
      <w:r>
        <w:rPr>
          <w:rFonts w:hint="eastAsia" w:ascii="宋体" w:hAnsi="宋体" w:eastAsia="宋体" w:cs="宋体"/>
          <w:color w:val="auto"/>
          <w:kern w:val="2"/>
          <w:sz w:val="24"/>
          <w:szCs w:val="24"/>
          <w:u w:val="none"/>
          <w:lang w:val="en-US" w:eastAsia="zh-CN" w:bidi="ar-SA"/>
        </w:rPr>
        <w:t xml:space="preserve">    </w:t>
      </w:r>
      <w:r>
        <w:rPr>
          <w:rFonts w:hint="eastAsia" w:ascii="宋体" w:hAnsi="宋体" w:eastAsia="宋体" w:cs="宋体"/>
          <w:b/>
          <w:color w:val="auto"/>
          <w:kern w:val="2"/>
          <w:sz w:val="24"/>
          <w:szCs w:val="24"/>
          <w:lang w:val="en-US" w:eastAsia="zh-CN" w:bidi="ar-SA"/>
        </w:rPr>
        <w:t>三、货物质量</w:t>
      </w:r>
    </w:p>
    <w:p w14:paraId="6E7CFF2E">
      <w:pPr>
        <w:pStyle w:val="18"/>
        <w:keepNext w:val="0"/>
        <w:keepLines w:val="0"/>
        <w:pageBreakBefore w:val="0"/>
        <w:widowControl w:val="0"/>
        <w:kinsoku/>
        <w:wordWrap/>
        <w:overflowPunct/>
        <w:topLinePunct w:val="0"/>
        <w:autoSpaceDE w:val="0"/>
        <w:autoSpaceDN w:val="0"/>
        <w:bidi w:val="0"/>
        <w:adjustRightInd w:val="0"/>
        <w:snapToGrid/>
        <w:spacing w:line="400" w:lineRule="exact"/>
        <w:textAlignment w:val="auto"/>
        <w:rPr>
          <w:rFonts w:hint="eastAsia" w:ascii="宋体" w:hAnsi="宋体" w:eastAsia="宋体" w:cs="宋体"/>
          <w:color w:val="auto"/>
          <w:kern w:val="2"/>
          <w:sz w:val="24"/>
          <w:szCs w:val="24"/>
          <w:u w:val="none"/>
          <w:lang w:val="en-US" w:eastAsia="zh-CN" w:bidi="ar-SA"/>
        </w:rPr>
      </w:pPr>
      <w:r>
        <w:rPr>
          <w:rFonts w:hint="eastAsia" w:ascii="宋体" w:hAnsi="宋体" w:eastAsia="宋体" w:cs="宋体"/>
          <w:b/>
          <w:color w:val="auto"/>
          <w:kern w:val="2"/>
          <w:sz w:val="24"/>
          <w:szCs w:val="24"/>
          <w:lang w:val="en-US" w:eastAsia="zh-CN" w:bidi="ar-SA"/>
        </w:rPr>
        <w:t xml:space="preserve"> </w:t>
      </w:r>
      <w:r>
        <w:rPr>
          <w:rFonts w:hint="eastAsia" w:ascii="宋体" w:hAnsi="宋体" w:eastAsia="宋体" w:cs="宋体"/>
          <w:color w:val="auto"/>
          <w:kern w:val="2"/>
          <w:sz w:val="24"/>
          <w:szCs w:val="24"/>
          <w:u w:val="none"/>
          <w:lang w:val="en-US" w:eastAsia="zh-CN" w:bidi="ar-SA"/>
        </w:rPr>
        <w:t xml:space="preserve">   1.乙方提供的所有货物的技术规格和参数、指标等于或者优于招标文件，投标文件技术规格和参数、指标要求。</w:t>
      </w:r>
    </w:p>
    <w:p w14:paraId="217E894F">
      <w:pPr>
        <w:pStyle w:val="18"/>
        <w:keepNext w:val="0"/>
        <w:keepLines w:val="0"/>
        <w:pageBreakBefore w:val="0"/>
        <w:widowControl w:val="0"/>
        <w:kinsoku/>
        <w:wordWrap/>
        <w:overflowPunct/>
        <w:topLinePunct w:val="0"/>
        <w:autoSpaceDE w:val="0"/>
        <w:autoSpaceDN w:val="0"/>
        <w:bidi w:val="0"/>
        <w:adjustRightInd w:val="0"/>
        <w:snapToGrid/>
        <w:spacing w:line="400" w:lineRule="exact"/>
        <w:textAlignment w:val="auto"/>
        <w:rPr>
          <w:rFonts w:hint="eastAsia" w:ascii="宋体" w:hAnsi="宋体" w:eastAsia="宋体" w:cs="宋体"/>
          <w:color w:val="auto"/>
          <w:kern w:val="2"/>
          <w:sz w:val="24"/>
          <w:szCs w:val="24"/>
          <w:u w:val="none"/>
          <w:lang w:val="en-US" w:eastAsia="zh-CN" w:bidi="ar-SA"/>
        </w:rPr>
      </w:pPr>
      <w:r>
        <w:rPr>
          <w:rFonts w:hint="eastAsia" w:ascii="宋体" w:hAnsi="宋体" w:eastAsia="宋体" w:cs="宋体"/>
          <w:color w:val="auto"/>
          <w:kern w:val="2"/>
          <w:sz w:val="24"/>
          <w:szCs w:val="24"/>
          <w:u w:val="none"/>
          <w:lang w:val="en-US" w:eastAsia="zh-CN" w:bidi="ar-SA"/>
        </w:rPr>
        <w:t xml:space="preserve">    2.乙方提供的产品及配套产品必须符合国家有关质量标准、规范和环保要求。</w:t>
      </w:r>
    </w:p>
    <w:p w14:paraId="2B4285CE">
      <w:pPr>
        <w:pStyle w:val="18"/>
        <w:keepNext w:val="0"/>
        <w:keepLines w:val="0"/>
        <w:pageBreakBefore w:val="0"/>
        <w:widowControl w:val="0"/>
        <w:kinsoku/>
        <w:wordWrap/>
        <w:overflowPunct/>
        <w:topLinePunct w:val="0"/>
        <w:autoSpaceDE w:val="0"/>
        <w:autoSpaceDN w:val="0"/>
        <w:bidi w:val="0"/>
        <w:adjustRightInd w:val="0"/>
        <w:snapToGrid/>
        <w:spacing w:line="400" w:lineRule="exact"/>
        <w:textAlignment w:val="auto"/>
        <w:rPr>
          <w:rFonts w:hint="eastAsia" w:ascii="宋体" w:hAnsi="宋体" w:eastAsia="宋体" w:cs="宋体"/>
          <w:color w:val="auto"/>
          <w:kern w:val="2"/>
          <w:sz w:val="24"/>
          <w:szCs w:val="24"/>
          <w:u w:val="none"/>
          <w:lang w:val="en-US" w:eastAsia="zh-CN" w:bidi="ar-SA"/>
        </w:rPr>
      </w:pPr>
      <w:r>
        <w:rPr>
          <w:rFonts w:hint="eastAsia" w:ascii="宋体" w:hAnsi="宋体" w:eastAsia="宋体" w:cs="宋体"/>
          <w:color w:val="auto"/>
          <w:kern w:val="2"/>
          <w:sz w:val="24"/>
          <w:szCs w:val="24"/>
          <w:u w:val="none"/>
          <w:lang w:val="en-US" w:eastAsia="zh-CN" w:bidi="ar-SA"/>
        </w:rPr>
        <w:t xml:space="preserve">    3.乙方提供的产品及配套产品必须能按国家标准供应、检测、调试，确保产品技术指标满足使用要求。</w:t>
      </w:r>
    </w:p>
    <w:p w14:paraId="4CD3CA6B">
      <w:pPr>
        <w:pStyle w:val="18"/>
        <w:keepNext w:val="0"/>
        <w:keepLines w:val="0"/>
        <w:pageBreakBefore w:val="0"/>
        <w:widowControl w:val="0"/>
        <w:kinsoku/>
        <w:wordWrap/>
        <w:overflowPunct/>
        <w:topLinePunct w:val="0"/>
        <w:autoSpaceDE w:val="0"/>
        <w:autoSpaceDN w:val="0"/>
        <w:bidi w:val="0"/>
        <w:adjustRightInd w:val="0"/>
        <w:snapToGrid/>
        <w:spacing w:line="400" w:lineRule="exact"/>
        <w:textAlignment w:val="auto"/>
        <w:rPr>
          <w:rFonts w:hint="eastAsia" w:ascii="宋体" w:hAnsi="宋体" w:eastAsia="宋体" w:cs="宋体"/>
          <w:color w:val="auto"/>
          <w:kern w:val="2"/>
          <w:sz w:val="24"/>
          <w:szCs w:val="24"/>
          <w:u w:val="none"/>
          <w:lang w:val="en-US" w:eastAsia="zh-CN" w:bidi="ar-SA"/>
        </w:rPr>
      </w:pPr>
      <w:r>
        <w:rPr>
          <w:rFonts w:hint="eastAsia" w:ascii="宋体" w:hAnsi="宋体" w:eastAsia="宋体" w:cs="宋体"/>
          <w:color w:val="auto"/>
          <w:kern w:val="2"/>
          <w:sz w:val="24"/>
          <w:szCs w:val="24"/>
          <w:u w:val="none"/>
          <w:lang w:val="en-US" w:eastAsia="zh-CN" w:bidi="ar-SA"/>
        </w:rPr>
        <w:t xml:space="preserve">    </w:t>
      </w:r>
      <w:r>
        <w:rPr>
          <w:rFonts w:hint="eastAsia" w:ascii="宋体" w:hAnsi="宋体" w:eastAsia="宋体" w:cs="宋体"/>
          <w:b/>
          <w:color w:val="auto"/>
          <w:kern w:val="2"/>
          <w:sz w:val="24"/>
          <w:szCs w:val="24"/>
          <w:lang w:val="en-US" w:eastAsia="zh-CN" w:bidi="ar-SA"/>
        </w:rPr>
        <w:t>四、交货时间及交货地点</w:t>
      </w:r>
    </w:p>
    <w:p w14:paraId="02637D47">
      <w:pPr>
        <w:pStyle w:val="18"/>
        <w:keepNext w:val="0"/>
        <w:keepLines w:val="0"/>
        <w:pageBreakBefore w:val="0"/>
        <w:widowControl w:val="0"/>
        <w:kinsoku/>
        <w:wordWrap/>
        <w:overflowPunct/>
        <w:topLinePunct w:val="0"/>
        <w:autoSpaceDE w:val="0"/>
        <w:autoSpaceDN w:val="0"/>
        <w:bidi w:val="0"/>
        <w:adjustRightInd w:val="0"/>
        <w:snapToGrid/>
        <w:spacing w:line="400" w:lineRule="exact"/>
        <w:ind w:firstLine="240" w:firstLineChars="100"/>
        <w:textAlignment w:val="auto"/>
        <w:rPr>
          <w:rFonts w:hint="eastAsia" w:ascii="宋体" w:hAnsi="宋体" w:eastAsia="宋体" w:cs="宋体"/>
          <w:sz w:val="24"/>
          <w:szCs w:val="24"/>
          <w:u w:val="none"/>
          <w:lang w:val="en-US" w:eastAsia="zh-CN"/>
        </w:rPr>
      </w:pPr>
      <w:r>
        <w:rPr>
          <w:rFonts w:hint="eastAsia" w:ascii="宋体" w:hAnsi="宋体" w:eastAsia="宋体" w:cs="宋体"/>
          <w:color w:val="auto"/>
          <w:kern w:val="2"/>
          <w:sz w:val="24"/>
          <w:szCs w:val="24"/>
          <w:u w:val="none"/>
          <w:lang w:val="en-US" w:eastAsia="zh-CN" w:bidi="ar-SA"/>
        </w:rPr>
        <w:t xml:space="preserve">  1.交货地点：</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lang w:val="en-US" w:eastAsia="zh-CN"/>
        </w:rPr>
        <w:t xml:space="preserve"> 。乙方要提供整套合格产品，切实做好安全防护相关工作，并安排卸货和安装所需工具及人员。</w:t>
      </w:r>
    </w:p>
    <w:p w14:paraId="4C393DA2">
      <w:pPr>
        <w:pStyle w:val="18"/>
        <w:keepNext w:val="0"/>
        <w:keepLines w:val="0"/>
        <w:pageBreakBefore w:val="0"/>
        <w:widowControl w:val="0"/>
        <w:kinsoku/>
        <w:wordWrap/>
        <w:overflowPunct/>
        <w:topLinePunct w:val="0"/>
        <w:autoSpaceDE w:val="0"/>
        <w:autoSpaceDN w:val="0"/>
        <w:bidi w:val="0"/>
        <w:adjustRightInd w:val="0"/>
        <w:snapToGrid/>
        <w:spacing w:line="400" w:lineRule="exact"/>
        <w:ind w:firstLine="560"/>
        <w:textAlignment w:val="auto"/>
        <w:rPr>
          <w:rFonts w:hint="eastAsia" w:ascii="宋体" w:hAnsi="宋体" w:eastAsia="宋体" w:cs="宋体"/>
          <w:sz w:val="24"/>
          <w:szCs w:val="24"/>
          <w:u w:val="none"/>
          <w:lang w:val="en-US" w:eastAsia="zh-CN"/>
        </w:rPr>
      </w:pPr>
      <w:r>
        <w:rPr>
          <w:rFonts w:hint="eastAsia" w:ascii="宋体" w:hAnsi="宋体" w:eastAsia="宋体" w:cs="宋体"/>
          <w:sz w:val="24"/>
          <w:szCs w:val="24"/>
          <w:u w:val="none"/>
          <w:lang w:val="en-US" w:eastAsia="zh-CN"/>
        </w:rPr>
        <w:t>2.交货日期：合同签订后</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lang w:val="en-US" w:eastAsia="zh-CN"/>
        </w:rPr>
        <w:t>个日历日内，乙方负责将产品运输到交货（安装）地点，并安装验收标准和验收程序完成产品的安装、调试和验收工作。乙方交货时须保证产品包装完好，安装调试及验收时产品外观无划痕、产品质量完好。</w:t>
      </w:r>
    </w:p>
    <w:p w14:paraId="3158F5AD">
      <w:pPr>
        <w:pStyle w:val="18"/>
        <w:keepNext w:val="0"/>
        <w:keepLines w:val="0"/>
        <w:pageBreakBefore w:val="0"/>
        <w:widowControl w:val="0"/>
        <w:kinsoku/>
        <w:wordWrap/>
        <w:overflowPunct/>
        <w:topLinePunct w:val="0"/>
        <w:autoSpaceDE w:val="0"/>
        <w:autoSpaceDN w:val="0"/>
        <w:bidi w:val="0"/>
        <w:adjustRightInd w:val="0"/>
        <w:snapToGrid/>
        <w:spacing w:line="400" w:lineRule="exact"/>
        <w:ind w:firstLine="482" w:firstLineChars="200"/>
        <w:textAlignment w:val="auto"/>
        <w:rPr>
          <w:rFonts w:hint="eastAsia" w:ascii="宋体" w:hAnsi="宋体" w:eastAsia="宋体" w:cs="宋体"/>
          <w:b/>
          <w:color w:val="auto"/>
          <w:kern w:val="2"/>
          <w:sz w:val="24"/>
          <w:szCs w:val="24"/>
          <w:lang w:val="en-US" w:eastAsia="zh-CN" w:bidi="ar-SA"/>
        </w:rPr>
      </w:pPr>
      <w:r>
        <w:rPr>
          <w:rFonts w:hint="eastAsia" w:ascii="宋体" w:hAnsi="宋体" w:eastAsia="宋体" w:cs="宋体"/>
          <w:b/>
          <w:color w:val="auto"/>
          <w:kern w:val="2"/>
          <w:sz w:val="24"/>
          <w:szCs w:val="24"/>
          <w:lang w:val="en-US" w:eastAsia="zh-CN" w:bidi="ar-SA"/>
        </w:rPr>
        <w:t>五、货物交付及验收</w:t>
      </w:r>
    </w:p>
    <w:p w14:paraId="54465EA3">
      <w:pPr>
        <w:pStyle w:val="18"/>
        <w:keepNext w:val="0"/>
        <w:keepLines w:val="0"/>
        <w:pageBreakBefore w:val="0"/>
        <w:widowControl w:val="0"/>
        <w:kinsoku/>
        <w:wordWrap/>
        <w:overflowPunct/>
        <w:topLinePunct w:val="0"/>
        <w:autoSpaceDE w:val="0"/>
        <w:autoSpaceDN w:val="0"/>
        <w:bidi w:val="0"/>
        <w:adjustRightInd w:val="0"/>
        <w:snapToGrid/>
        <w:spacing w:line="400" w:lineRule="exact"/>
        <w:ind w:firstLine="560"/>
        <w:textAlignment w:val="auto"/>
        <w:rPr>
          <w:rFonts w:hint="eastAsia" w:ascii="宋体" w:hAnsi="宋体" w:eastAsia="宋体" w:cs="宋体"/>
          <w:sz w:val="24"/>
          <w:szCs w:val="24"/>
          <w:u w:val="none"/>
          <w:lang w:val="en-US" w:eastAsia="zh-CN"/>
        </w:rPr>
      </w:pPr>
      <w:r>
        <w:rPr>
          <w:rFonts w:hint="eastAsia" w:ascii="宋体" w:hAnsi="宋体" w:eastAsia="宋体" w:cs="宋体"/>
          <w:sz w:val="24"/>
          <w:szCs w:val="24"/>
          <w:u w:val="none"/>
          <w:lang w:val="en-US" w:eastAsia="zh-CN"/>
        </w:rPr>
        <w:t>1.乙方应严格按照《标的明细清单》所确定的产品名称、型号与规格、场地、数量及配套内容进行供货，并按时将货物运送到合同指定的地点，负责货物的安装与调试，达到正常使用，质保期内负责指导产品的操作使用和保养维修，做好售后服务工作。</w:t>
      </w:r>
    </w:p>
    <w:p w14:paraId="26C19361">
      <w:pPr>
        <w:pStyle w:val="18"/>
        <w:keepNext w:val="0"/>
        <w:keepLines w:val="0"/>
        <w:pageBreakBefore w:val="0"/>
        <w:widowControl w:val="0"/>
        <w:kinsoku/>
        <w:wordWrap/>
        <w:overflowPunct/>
        <w:topLinePunct w:val="0"/>
        <w:autoSpaceDE w:val="0"/>
        <w:autoSpaceDN w:val="0"/>
        <w:bidi w:val="0"/>
        <w:adjustRightInd w:val="0"/>
        <w:snapToGrid/>
        <w:spacing w:line="400" w:lineRule="exact"/>
        <w:ind w:firstLine="560"/>
        <w:textAlignment w:val="auto"/>
        <w:rPr>
          <w:rFonts w:hint="eastAsia" w:ascii="宋体" w:hAnsi="宋体" w:eastAsia="宋体" w:cs="宋体"/>
          <w:sz w:val="24"/>
          <w:szCs w:val="24"/>
          <w:u w:val="none"/>
          <w:lang w:val="en-US" w:eastAsia="zh-CN"/>
        </w:rPr>
      </w:pPr>
      <w:r>
        <w:rPr>
          <w:rFonts w:hint="eastAsia" w:ascii="宋体" w:hAnsi="宋体" w:eastAsia="宋体" w:cs="宋体"/>
          <w:sz w:val="24"/>
          <w:szCs w:val="24"/>
          <w:u w:val="none"/>
          <w:lang w:val="en-US" w:eastAsia="zh-CN"/>
        </w:rPr>
        <w:t>2.乙方须保证所提供的货物经正确安装、正常运转和保养，在其使用寿命期限内须具有符合质量要求和产品说明书的性能。在产品质量保证期之内，乙方须对由于设计、工艺或材料的缺陷发生的任何不足故障负责，并免费予以改进或更换。</w:t>
      </w:r>
    </w:p>
    <w:p w14:paraId="40431B2F">
      <w:pPr>
        <w:pStyle w:val="18"/>
        <w:keepNext w:val="0"/>
        <w:keepLines w:val="0"/>
        <w:pageBreakBefore w:val="0"/>
        <w:widowControl w:val="0"/>
        <w:kinsoku/>
        <w:wordWrap/>
        <w:overflowPunct/>
        <w:topLinePunct w:val="0"/>
        <w:autoSpaceDE w:val="0"/>
        <w:autoSpaceDN w:val="0"/>
        <w:bidi w:val="0"/>
        <w:adjustRightInd w:val="0"/>
        <w:snapToGrid/>
        <w:spacing w:line="400" w:lineRule="exact"/>
        <w:ind w:firstLine="560"/>
        <w:textAlignment w:val="auto"/>
        <w:rPr>
          <w:rFonts w:hint="eastAsia" w:ascii="宋体" w:hAnsi="宋体" w:eastAsia="宋体" w:cs="宋体"/>
          <w:sz w:val="24"/>
          <w:szCs w:val="24"/>
          <w:u w:val="none"/>
          <w:lang w:val="en-US" w:eastAsia="zh-CN"/>
        </w:rPr>
      </w:pPr>
      <w:r>
        <w:rPr>
          <w:rFonts w:hint="eastAsia" w:ascii="宋体" w:hAnsi="宋体" w:eastAsia="宋体" w:cs="宋体"/>
          <w:sz w:val="24"/>
          <w:szCs w:val="24"/>
          <w:u w:val="none"/>
          <w:lang w:val="en-US" w:eastAsia="zh-CN"/>
        </w:rPr>
        <w:t>3.根据甲方按检验标准自己检验或委托有相关资质的质检机构的检验结果，发现货物的数量、质量、规格与合同不符；或在质保期内，证实货物存在缺陷，包括潜在的缺陷或使用不符合要求的材料等，接到甲方通知后，乙方应及时免费更换或修理破损货物。</w:t>
      </w:r>
    </w:p>
    <w:p w14:paraId="12C0E125">
      <w:pPr>
        <w:pStyle w:val="18"/>
        <w:keepNext w:val="0"/>
        <w:keepLines w:val="0"/>
        <w:pageBreakBefore w:val="0"/>
        <w:widowControl w:val="0"/>
        <w:kinsoku/>
        <w:wordWrap/>
        <w:overflowPunct/>
        <w:topLinePunct w:val="0"/>
        <w:autoSpaceDE w:val="0"/>
        <w:autoSpaceDN w:val="0"/>
        <w:bidi w:val="0"/>
        <w:adjustRightInd w:val="0"/>
        <w:snapToGrid/>
        <w:spacing w:line="400" w:lineRule="exact"/>
        <w:ind w:firstLine="560"/>
        <w:textAlignment w:val="auto"/>
        <w:rPr>
          <w:rFonts w:hint="eastAsia" w:ascii="宋体" w:hAnsi="宋体" w:eastAsia="宋体" w:cs="宋体"/>
          <w:sz w:val="24"/>
          <w:szCs w:val="24"/>
          <w:u w:val="single"/>
          <w:lang w:val="en-US" w:eastAsia="zh-CN"/>
        </w:rPr>
      </w:pPr>
      <w:r>
        <w:rPr>
          <w:rFonts w:hint="eastAsia" w:ascii="宋体" w:hAnsi="宋体" w:eastAsia="宋体" w:cs="宋体"/>
          <w:sz w:val="24"/>
          <w:szCs w:val="24"/>
          <w:u w:val="none"/>
          <w:lang w:val="en-US" w:eastAsia="zh-CN"/>
        </w:rPr>
        <w:t>4.验收方法及标准：</w:t>
      </w:r>
      <w:r>
        <w:rPr>
          <w:rFonts w:hint="eastAsia" w:ascii="宋体" w:hAnsi="宋体" w:eastAsia="宋体" w:cs="宋体"/>
          <w:sz w:val="24"/>
          <w:szCs w:val="24"/>
          <w:u w:val="single"/>
          <w:lang w:val="en-US" w:eastAsia="zh-CN"/>
        </w:rPr>
        <w:t xml:space="preserve">           </w:t>
      </w:r>
    </w:p>
    <w:p w14:paraId="7B3A4CB6">
      <w:pPr>
        <w:keepNext w:val="0"/>
        <w:keepLines w:val="0"/>
        <w:pageBreakBefore w:val="0"/>
        <w:widowControl w:val="0"/>
        <w:kinsoku/>
        <w:overflowPunct/>
        <w:topLinePunct w:val="0"/>
        <w:bidi w:val="0"/>
        <w:snapToGrid/>
        <w:spacing w:line="400" w:lineRule="exact"/>
        <w:ind w:firstLine="482" w:firstLineChars="200"/>
        <w:textAlignment w:val="auto"/>
        <w:rPr>
          <w:rFonts w:hint="eastAsia" w:ascii="宋体" w:hAnsi="宋体" w:eastAsia="宋体" w:cs="宋体"/>
          <w:b/>
          <w:sz w:val="24"/>
          <w:szCs w:val="24"/>
        </w:rPr>
      </w:pPr>
      <w:r>
        <w:rPr>
          <w:rFonts w:hint="eastAsia" w:ascii="宋体" w:hAnsi="宋体" w:eastAsia="宋体" w:cs="宋体"/>
          <w:b/>
          <w:sz w:val="24"/>
          <w:szCs w:val="24"/>
          <w:lang w:eastAsia="zh-CN"/>
        </w:rPr>
        <w:t>六</w:t>
      </w:r>
      <w:r>
        <w:rPr>
          <w:rFonts w:hint="eastAsia" w:ascii="宋体" w:hAnsi="宋体" w:eastAsia="宋体" w:cs="宋体"/>
          <w:b/>
          <w:sz w:val="24"/>
          <w:szCs w:val="24"/>
        </w:rPr>
        <w:t>、</w:t>
      </w:r>
      <w:r>
        <w:rPr>
          <w:rFonts w:hint="eastAsia" w:ascii="宋体" w:hAnsi="宋体" w:eastAsia="宋体" w:cs="宋体"/>
          <w:b/>
          <w:sz w:val="24"/>
          <w:szCs w:val="24"/>
          <w:lang w:eastAsia="zh-CN"/>
        </w:rPr>
        <w:t>合同</w:t>
      </w:r>
      <w:r>
        <w:rPr>
          <w:rFonts w:hint="eastAsia" w:ascii="宋体" w:hAnsi="宋体" w:eastAsia="宋体" w:cs="宋体"/>
          <w:b/>
          <w:sz w:val="24"/>
          <w:szCs w:val="24"/>
        </w:rPr>
        <w:t>价款及其支付方式</w:t>
      </w:r>
    </w:p>
    <w:p w14:paraId="3F1F5B96">
      <w:pPr>
        <w:keepNext w:val="0"/>
        <w:keepLines w:val="0"/>
        <w:pageBreakBefore w:val="0"/>
        <w:widowControl w:val="0"/>
        <w:kinsoku/>
        <w:wordWrap w:val="0"/>
        <w:overflowPunct/>
        <w:topLinePunct w:val="0"/>
        <w:bidi w:val="0"/>
        <w:snapToGrid/>
        <w:spacing w:line="400" w:lineRule="exact"/>
        <w:ind w:left="540" w:leftChars="257"/>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eastAsia="宋体" w:cs="宋体"/>
          <w:sz w:val="24"/>
          <w:szCs w:val="24"/>
        </w:rPr>
        <w:t>本合同总价为人民币（大写）</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（小写）￥</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w:t>
      </w:r>
    </w:p>
    <w:p w14:paraId="6F14A42D">
      <w:pPr>
        <w:keepNext w:val="0"/>
        <w:keepLines w:val="0"/>
        <w:pageBreakBefore w:val="0"/>
        <w:widowControl w:val="0"/>
        <w:kinsoku/>
        <w:overflowPunct/>
        <w:topLinePunct w:val="0"/>
        <w:bidi w:val="0"/>
        <w:snapToGrid/>
        <w:spacing w:line="400" w:lineRule="exact"/>
        <w:ind w:firstLine="480" w:firstLineChars="200"/>
        <w:textAlignment w:val="auto"/>
        <w:rPr>
          <w:rFonts w:hint="eastAsia" w:ascii="宋体" w:hAnsi="宋体" w:eastAsia="宋体" w:cs="宋体"/>
          <w:sz w:val="24"/>
          <w:szCs w:val="24"/>
          <w:u w:val="none"/>
        </w:rPr>
      </w:pPr>
      <w:r>
        <w:rPr>
          <w:rFonts w:hint="eastAsia" w:ascii="宋体" w:hAnsi="宋体" w:eastAsia="宋体" w:cs="宋体"/>
          <w:sz w:val="24"/>
          <w:szCs w:val="24"/>
        </w:rPr>
        <w:t>2</w:t>
      </w:r>
      <w:r>
        <w:rPr>
          <w:rFonts w:hint="eastAsia" w:ascii="宋体" w:hAnsi="宋体" w:eastAsia="宋体" w:cs="宋体"/>
          <w:sz w:val="24"/>
          <w:szCs w:val="24"/>
          <w:lang w:val="en-US" w:eastAsia="zh-CN"/>
        </w:rPr>
        <w:t>.</w:t>
      </w:r>
      <w:r>
        <w:rPr>
          <w:rFonts w:hint="eastAsia" w:ascii="宋体" w:hAnsi="宋体" w:eastAsia="宋体" w:cs="宋体"/>
          <w:sz w:val="24"/>
          <w:szCs w:val="24"/>
        </w:rPr>
        <w:t>支付方式：</w:t>
      </w:r>
      <w:r>
        <w:rPr>
          <w:rFonts w:hint="eastAsia" w:ascii="宋体" w:hAnsi="宋体" w:eastAsia="宋体" w:cs="宋体"/>
          <w:sz w:val="24"/>
          <w:szCs w:val="24"/>
          <w:lang w:eastAsia="zh-CN"/>
        </w:rPr>
        <w:t xml:space="preserve">签订合同之日起预付 40 %，剩余 </w:t>
      </w:r>
      <w:r>
        <w:rPr>
          <w:rFonts w:hint="eastAsia" w:ascii="宋体" w:hAnsi="宋体" w:cs="宋体"/>
          <w:sz w:val="24"/>
          <w:szCs w:val="24"/>
          <w:lang w:val="en-US" w:eastAsia="zh-CN"/>
        </w:rPr>
        <w:t>60</w:t>
      </w:r>
      <w:r>
        <w:rPr>
          <w:rFonts w:hint="eastAsia" w:ascii="宋体" w:hAnsi="宋体" w:eastAsia="宋体" w:cs="宋体"/>
          <w:sz w:val="24"/>
          <w:szCs w:val="24"/>
          <w:lang w:eastAsia="zh-CN"/>
        </w:rPr>
        <w:t xml:space="preserve"> %经甲方验收合格后支付。付款前供应商需开具发票，货物全部完成通过甲方验收，并提供相关资料后，乙方应向甲方提供正规发票及转账账号，甲方通过转账方式予以支付结算（以中标后签订的合同为准）。</w:t>
      </w:r>
    </w:p>
    <w:p w14:paraId="06915929">
      <w:pPr>
        <w:keepNext w:val="0"/>
        <w:keepLines w:val="0"/>
        <w:pageBreakBefore w:val="0"/>
        <w:widowControl w:val="0"/>
        <w:kinsoku/>
        <w:overflowPunct/>
        <w:topLinePunct w:val="0"/>
        <w:bidi w:val="0"/>
        <w:snapToGrid/>
        <w:spacing w:line="400" w:lineRule="exact"/>
        <w:ind w:firstLine="482" w:firstLineChars="200"/>
        <w:textAlignment w:val="auto"/>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七、质量保证期及售后服务</w:t>
      </w:r>
    </w:p>
    <w:p w14:paraId="13091644">
      <w:pPr>
        <w:pStyle w:val="18"/>
        <w:keepNext w:val="0"/>
        <w:keepLines w:val="0"/>
        <w:pageBreakBefore w:val="0"/>
        <w:widowControl w:val="0"/>
        <w:kinsoku/>
        <w:wordWrap/>
        <w:overflowPunct/>
        <w:topLinePunct w:val="0"/>
        <w:autoSpaceDE w:val="0"/>
        <w:autoSpaceDN w:val="0"/>
        <w:bidi w:val="0"/>
        <w:adjustRightInd w:val="0"/>
        <w:snapToGrid/>
        <w:spacing w:line="400" w:lineRule="exact"/>
        <w:ind w:firstLine="560"/>
        <w:textAlignment w:val="auto"/>
        <w:rPr>
          <w:rFonts w:hint="eastAsia" w:ascii="宋体" w:hAnsi="宋体" w:eastAsia="宋体" w:cs="宋体"/>
          <w:sz w:val="24"/>
          <w:szCs w:val="24"/>
          <w:u w:val="none"/>
          <w:lang w:val="en-US" w:eastAsia="zh-CN"/>
        </w:rPr>
      </w:pPr>
      <w:r>
        <w:rPr>
          <w:rFonts w:hint="eastAsia" w:ascii="宋体" w:hAnsi="宋体" w:eastAsia="宋体" w:cs="宋体"/>
          <w:sz w:val="24"/>
          <w:szCs w:val="24"/>
          <w:u w:val="none"/>
          <w:lang w:val="en-US" w:eastAsia="zh-CN"/>
        </w:rPr>
        <w:t>1.产品质量保证期为甲方最终产品验收合同后</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lang w:val="en-US" w:eastAsia="zh-CN"/>
        </w:rPr>
        <w:t>年内，质保期内乙方免费维修，包括产品的零配件及需要返厂维修产生的一切费用。</w:t>
      </w:r>
    </w:p>
    <w:p w14:paraId="7C4D6727">
      <w:pPr>
        <w:pStyle w:val="18"/>
        <w:keepNext w:val="0"/>
        <w:keepLines w:val="0"/>
        <w:pageBreakBefore w:val="0"/>
        <w:widowControl w:val="0"/>
        <w:kinsoku/>
        <w:wordWrap/>
        <w:overflowPunct/>
        <w:topLinePunct w:val="0"/>
        <w:autoSpaceDE w:val="0"/>
        <w:autoSpaceDN w:val="0"/>
        <w:bidi w:val="0"/>
        <w:adjustRightInd w:val="0"/>
        <w:snapToGrid/>
        <w:spacing w:line="400" w:lineRule="exact"/>
        <w:ind w:firstLine="480" w:firstLineChars="200"/>
        <w:textAlignment w:val="auto"/>
        <w:rPr>
          <w:rFonts w:hint="eastAsia" w:ascii="宋体" w:hAnsi="宋体" w:eastAsia="宋体" w:cs="宋体"/>
          <w:sz w:val="24"/>
          <w:szCs w:val="24"/>
          <w:u w:val="none"/>
          <w:lang w:val="en-US" w:eastAsia="zh-CN"/>
        </w:rPr>
      </w:pPr>
      <w:r>
        <w:rPr>
          <w:rFonts w:hint="eastAsia" w:ascii="宋体" w:hAnsi="宋体" w:eastAsia="宋体" w:cs="宋体"/>
          <w:sz w:val="24"/>
          <w:szCs w:val="24"/>
          <w:u w:val="none"/>
          <w:lang w:val="en-US" w:eastAsia="zh-CN"/>
        </w:rPr>
        <w:t>2.质保期内乙方对甲方提出的服务响应不得超出</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lang w:val="en-US" w:eastAsia="zh-CN"/>
        </w:rPr>
        <w:t>小时。</w:t>
      </w:r>
    </w:p>
    <w:p w14:paraId="0227A3A7">
      <w:pPr>
        <w:pStyle w:val="18"/>
        <w:keepNext w:val="0"/>
        <w:keepLines w:val="0"/>
        <w:pageBreakBefore w:val="0"/>
        <w:widowControl w:val="0"/>
        <w:kinsoku/>
        <w:wordWrap/>
        <w:overflowPunct/>
        <w:topLinePunct w:val="0"/>
        <w:autoSpaceDE w:val="0"/>
        <w:autoSpaceDN w:val="0"/>
        <w:bidi w:val="0"/>
        <w:adjustRightInd w:val="0"/>
        <w:snapToGrid/>
        <w:spacing w:line="400" w:lineRule="exact"/>
        <w:ind w:firstLine="560"/>
        <w:textAlignment w:val="auto"/>
        <w:rPr>
          <w:rFonts w:hint="eastAsia" w:ascii="宋体" w:hAnsi="宋体" w:eastAsia="宋体" w:cs="宋体"/>
          <w:b/>
          <w:color w:val="auto"/>
          <w:kern w:val="2"/>
          <w:sz w:val="24"/>
          <w:szCs w:val="24"/>
          <w:lang w:val="en-US" w:eastAsia="zh-CN" w:bidi="ar-SA"/>
        </w:rPr>
      </w:pPr>
      <w:r>
        <w:rPr>
          <w:rFonts w:hint="eastAsia" w:ascii="宋体" w:hAnsi="宋体" w:eastAsia="宋体" w:cs="宋体"/>
          <w:b/>
          <w:color w:val="auto"/>
          <w:kern w:val="2"/>
          <w:sz w:val="24"/>
          <w:szCs w:val="24"/>
          <w:lang w:val="en-US" w:eastAsia="zh-CN" w:bidi="ar-SA"/>
        </w:rPr>
        <w:t>八、违约责任</w:t>
      </w:r>
    </w:p>
    <w:p w14:paraId="184703AA">
      <w:pPr>
        <w:pStyle w:val="18"/>
        <w:keepNext w:val="0"/>
        <w:keepLines w:val="0"/>
        <w:pageBreakBefore w:val="0"/>
        <w:widowControl w:val="0"/>
        <w:kinsoku/>
        <w:wordWrap/>
        <w:overflowPunct/>
        <w:topLinePunct w:val="0"/>
        <w:autoSpaceDE w:val="0"/>
        <w:autoSpaceDN w:val="0"/>
        <w:bidi w:val="0"/>
        <w:adjustRightInd w:val="0"/>
        <w:snapToGrid/>
        <w:spacing w:line="400" w:lineRule="exact"/>
        <w:ind w:firstLine="560"/>
        <w:textAlignment w:val="auto"/>
        <w:rPr>
          <w:rFonts w:hint="eastAsia" w:ascii="宋体" w:hAnsi="宋体" w:eastAsia="宋体" w:cs="宋体"/>
          <w:sz w:val="24"/>
          <w:szCs w:val="24"/>
          <w:u w:val="none"/>
          <w:lang w:val="en-US" w:eastAsia="zh-CN"/>
        </w:rPr>
      </w:pPr>
      <w:r>
        <w:rPr>
          <w:rFonts w:hint="eastAsia" w:ascii="宋体" w:hAnsi="宋体" w:eastAsia="宋体" w:cs="宋体"/>
          <w:sz w:val="24"/>
          <w:szCs w:val="24"/>
          <w:u w:val="none"/>
          <w:lang w:val="en-US" w:eastAsia="zh-CN"/>
        </w:rPr>
        <w:t>1.乙方产品若不符合国家标准、行业内控标准或技术标准，甲方有权退货，乙方应退还全部货款。</w:t>
      </w:r>
    </w:p>
    <w:p w14:paraId="34D346D4">
      <w:pPr>
        <w:pStyle w:val="18"/>
        <w:keepNext w:val="0"/>
        <w:keepLines w:val="0"/>
        <w:pageBreakBefore w:val="0"/>
        <w:widowControl w:val="0"/>
        <w:kinsoku/>
        <w:wordWrap/>
        <w:overflowPunct/>
        <w:topLinePunct w:val="0"/>
        <w:autoSpaceDE w:val="0"/>
        <w:autoSpaceDN w:val="0"/>
        <w:bidi w:val="0"/>
        <w:adjustRightInd w:val="0"/>
        <w:snapToGrid/>
        <w:spacing w:line="400" w:lineRule="exact"/>
        <w:ind w:firstLine="560"/>
        <w:textAlignment w:val="auto"/>
        <w:rPr>
          <w:rFonts w:hint="eastAsia" w:ascii="宋体" w:hAnsi="宋体" w:eastAsia="宋体" w:cs="宋体"/>
          <w:sz w:val="24"/>
          <w:szCs w:val="24"/>
          <w:u w:val="none"/>
          <w:lang w:val="en-US" w:eastAsia="zh-CN"/>
        </w:rPr>
      </w:pPr>
      <w:r>
        <w:rPr>
          <w:rFonts w:hint="eastAsia" w:ascii="宋体" w:hAnsi="宋体" w:eastAsia="宋体" w:cs="宋体"/>
          <w:sz w:val="24"/>
          <w:szCs w:val="24"/>
          <w:u w:val="none"/>
          <w:lang w:val="en-US" w:eastAsia="zh-CN"/>
        </w:rPr>
        <w:t>2.在合同约定的供货期内乙方未全部按时交货，每逾期一日，承担合同总金额</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w:t>
      </w:r>
      <w:r>
        <w:rPr>
          <w:rFonts w:hint="eastAsia" w:ascii="宋体" w:hAnsi="宋体" w:eastAsia="宋体" w:cs="宋体"/>
          <w:sz w:val="24"/>
          <w:szCs w:val="24"/>
          <w:u w:val="none"/>
          <w:lang w:val="en-US" w:eastAsia="zh-CN"/>
        </w:rPr>
        <w:t>的违约金。</w:t>
      </w:r>
    </w:p>
    <w:p w14:paraId="240BD98F">
      <w:pPr>
        <w:keepNext w:val="0"/>
        <w:keepLines w:val="0"/>
        <w:pageBreakBefore w:val="0"/>
        <w:widowControl w:val="0"/>
        <w:kinsoku/>
        <w:overflowPunct/>
        <w:topLinePunct w:val="0"/>
        <w:bidi w:val="0"/>
        <w:snapToGrid/>
        <w:spacing w:line="400" w:lineRule="exact"/>
        <w:ind w:firstLine="482" w:firstLineChars="200"/>
        <w:textAlignment w:val="auto"/>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九、争方解决办法</w:t>
      </w:r>
    </w:p>
    <w:p w14:paraId="7D1A8558">
      <w:pPr>
        <w:keepNext w:val="0"/>
        <w:keepLines w:val="0"/>
        <w:pageBreakBefore w:val="0"/>
        <w:widowControl w:val="0"/>
        <w:kinsoku/>
        <w:overflowPunct/>
        <w:topLinePunct w:val="0"/>
        <w:bidi w:val="0"/>
        <w:snapToGrid/>
        <w:spacing w:line="400" w:lineRule="exact"/>
        <w:ind w:firstLine="480" w:firstLineChars="200"/>
        <w:textAlignment w:val="auto"/>
        <w:rPr>
          <w:rFonts w:hint="eastAsia" w:ascii="宋体" w:hAnsi="宋体" w:eastAsia="宋体" w:cs="宋体"/>
          <w:sz w:val="24"/>
          <w:szCs w:val="24"/>
          <w:u w:val="none"/>
          <w:lang w:eastAsia="zh-CN"/>
        </w:rPr>
      </w:pPr>
      <w:r>
        <w:rPr>
          <w:rFonts w:hint="eastAsia" w:ascii="宋体" w:hAnsi="宋体" w:eastAsia="宋体" w:cs="宋体"/>
          <w:sz w:val="24"/>
          <w:szCs w:val="24"/>
          <w:u w:val="none"/>
          <w:lang w:val="en-US" w:eastAsia="zh-CN"/>
        </w:rPr>
        <w:t>在合同履行过程中如双方发生争议，首先应协商解决，如协商不成，任何一方可向甲方所在地人民法院提起诉讼。</w:t>
      </w:r>
    </w:p>
    <w:p w14:paraId="6026CCF2">
      <w:pPr>
        <w:keepNext w:val="0"/>
        <w:keepLines w:val="0"/>
        <w:pageBreakBefore w:val="0"/>
        <w:widowControl w:val="0"/>
        <w:kinsoku/>
        <w:overflowPunct/>
        <w:topLinePunct w:val="0"/>
        <w:bidi w:val="0"/>
        <w:snapToGrid/>
        <w:spacing w:line="400" w:lineRule="exact"/>
        <w:ind w:firstLine="482" w:firstLineChars="200"/>
        <w:textAlignment w:val="auto"/>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十、其他</w:t>
      </w:r>
    </w:p>
    <w:p w14:paraId="1B4C1D44">
      <w:pPr>
        <w:keepNext w:val="0"/>
        <w:keepLines w:val="0"/>
        <w:pageBreakBefore w:val="0"/>
        <w:widowControl w:val="0"/>
        <w:kinsoku/>
        <w:overflowPunct/>
        <w:topLinePunct w:val="0"/>
        <w:bidi w:val="0"/>
        <w:snapToGrid/>
        <w:spacing w:line="40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eastAsia="宋体" w:cs="宋体"/>
          <w:sz w:val="24"/>
          <w:szCs w:val="24"/>
        </w:rPr>
        <w:t>本合同签订后，甲乙双方经协商达成一致，可以书面形式对本合同进行补充或者修改。上述书面文件经双方签字盖章后，作为本合同的组成部分，与本合同具有同等法律效力。</w:t>
      </w:r>
    </w:p>
    <w:p w14:paraId="78C740A3">
      <w:pPr>
        <w:keepNext w:val="0"/>
        <w:keepLines w:val="0"/>
        <w:pageBreakBefore w:val="0"/>
        <w:widowControl w:val="0"/>
        <w:kinsoku/>
        <w:overflowPunct/>
        <w:topLinePunct w:val="0"/>
        <w:bidi w:val="0"/>
        <w:snapToGrid/>
        <w:spacing w:line="400" w:lineRule="exact"/>
        <w:ind w:left="480" w:hanging="480" w:hangingChars="200"/>
        <w:textAlignment w:val="auto"/>
        <w:rPr>
          <w:rFonts w:hint="eastAsia" w:ascii="宋体" w:hAnsi="宋体" w:eastAsia="宋体" w:cs="宋体"/>
          <w:kern w:val="0"/>
          <w:sz w:val="24"/>
          <w:szCs w:val="24"/>
        </w:rPr>
      </w:pP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kern w:val="0"/>
          <w:sz w:val="24"/>
          <w:szCs w:val="24"/>
          <w:lang w:val="en-US" w:eastAsia="zh-CN"/>
        </w:rPr>
        <w:t>2.</w:t>
      </w:r>
      <w:r>
        <w:rPr>
          <w:rFonts w:hint="eastAsia" w:ascii="宋体" w:hAnsi="宋体" w:eastAsia="宋体" w:cs="宋体"/>
          <w:kern w:val="0"/>
          <w:sz w:val="24"/>
          <w:szCs w:val="24"/>
        </w:rPr>
        <w:t>本合同自甲乙双方盖章之日起生效，一式</w:t>
      </w:r>
      <w:r>
        <w:rPr>
          <w:rFonts w:hint="eastAsia" w:ascii="宋体" w:hAnsi="宋体" w:eastAsia="宋体" w:cs="宋体"/>
          <w:kern w:val="0"/>
          <w:sz w:val="24"/>
          <w:szCs w:val="24"/>
          <w:lang w:eastAsia="zh-CN"/>
        </w:rPr>
        <w:t>贰</w:t>
      </w:r>
      <w:r>
        <w:rPr>
          <w:rFonts w:hint="eastAsia" w:ascii="宋体" w:hAnsi="宋体" w:eastAsia="宋体" w:cs="宋体"/>
          <w:kern w:val="0"/>
          <w:sz w:val="24"/>
          <w:szCs w:val="24"/>
        </w:rPr>
        <w:t>份，双方各执</w:t>
      </w:r>
    </w:p>
    <w:p w14:paraId="7AF2E999">
      <w:pPr>
        <w:keepNext w:val="0"/>
        <w:keepLines w:val="0"/>
        <w:pageBreakBefore w:val="0"/>
        <w:widowControl w:val="0"/>
        <w:kinsoku/>
        <w:overflowPunct/>
        <w:topLinePunct w:val="0"/>
        <w:bidi w:val="0"/>
        <w:snapToGrid/>
        <w:spacing w:line="400" w:lineRule="exact"/>
        <w:ind w:left="480" w:hanging="480" w:hangingChars="200"/>
        <w:textAlignment w:val="auto"/>
        <w:rPr>
          <w:rFonts w:hint="eastAsia" w:ascii="宋体" w:hAnsi="宋体" w:eastAsia="宋体" w:cs="宋体"/>
          <w:sz w:val="28"/>
          <w:szCs w:val="28"/>
          <w:u w:val="none"/>
          <w:lang w:val="en-US" w:eastAsia="zh-CN"/>
        </w:rPr>
      </w:pPr>
      <w:r>
        <w:rPr>
          <w:rFonts w:hint="eastAsia" w:ascii="宋体" w:hAnsi="宋体" w:eastAsia="宋体" w:cs="宋体"/>
          <w:kern w:val="0"/>
          <w:sz w:val="24"/>
          <w:szCs w:val="24"/>
          <w:lang w:eastAsia="zh-CN"/>
        </w:rPr>
        <w:t>壹</w:t>
      </w:r>
      <w:r>
        <w:rPr>
          <w:rFonts w:hint="eastAsia" w:ascii="宋体" w:hAnsi="宋体" w:eastAsia="宋体" w:cs="宋体"/>
          <w:kern w:val="0"/>
          <w:sz w:val="24"/>
          <w:szCs w:val="24"/>
        </w:rPr>
        <w:t>份，并具有同等法律效力。</w:t>
      </w:r>
      <w:r>
        <w:rPr>
          <w:rFonts w:hint="eastAsia" w:ascii="宋体" w:hAnsi="宋体" w:eastAsia="宋体" w:cs="宋体"/>
          <w:sz w:val="28"/>
          <w:szCs w:val="28"/>
          <w:u w:val="none"/>
          <w:lang w:val="en-US" w:eastAsia="zh-CN"/>
        </w:rPr>
        <w:t xml:space="preserve">   </w:t>
      </w:r>
    </w:p>
    <w:p w14:paraId="5BF1F57D">
      <w:pPr>
        <w:keepNext w:val="0"/>
        <w:keepLines w:val="0"/>
        <w:pageBreakBefore w:val="0"/>
        <w:widowControl w:val="0"/>
        <w:kinsoku/>
        <w:overflowPunct/>
        <w:topLinePunct w:val="0"/>
        <w:bidi w:val="0"/>
        <w:snapToGrid/>
        <w:spacing w:line="400" w:lineRule="exact"/>
        <w:ind w:left="480" w:hanging="480" w:hangingChars="200"/>
        <w:textAlignment w:val="auto"/>
        <w:rPr>
          <w:rFonts w:hint="eastAsia" w:ascii="宋体" w:hAnsi="宋体" w:eastAsia="宋体" w:cs="宋体"/>
          <w:kern w:val="0"/>
          <w:sz w:val="24"/>
          <w:szCs w:val="24"/>
          <w:lang w:val="zh-CN"/>
        </w:rPr>
      </w:pPr>
      <w:r>
        <w:rPr>
          <w:rFonts w:hint="eastAsia" w:ascii="宋体" w:hAnsi="宋体" w:eastAsia="宋体" w:cs="宋体"/>
          <w:kern w:val="0"/>
          <w:sz w:val="24"/>
          <w:szCs w:val="24"/>
          <w:lang w:val="zh-CN"/>
        </w:rPr>
        <w:t>甲方：                                 乙方：</w:t>
      </w:r>
    </w:p>
    <w:p w14:paraId="1D0FDE64">
      <w:pPr>
        <w:keepNext w:val="0"/>
        <w:keepLines w:val="0"/>
        <w:pageBreakBefore w:val="0"/>
        <w:widowControl w:val="0"/>
        <w:kinsoku/>
        <w:overflowPunct/>
        <w:topLinePunct w:val="0"/>
        <w:bidi w:val="0"/>
        <w:snapToGrid/>
        <w:spacing w:line="400" w:lineRule="exact"/>
        <w:ind w:left="480" w:hanging="480" w:hangingChars="200"/>
        <w:textAlignment w:val="auto"/>
        <w:rPr>
          <w:rFonts w:hint="eastAsia" w:ascii="宋体" w:hAnsi="宋体" w:eastAsia="宋体" w:cs="宋体"/>
          <w:kern w:val="0"/>
          <w:sz w:val="24"/>
          <w:szCs w:val="24"/>
          <w:lang w:val="zh-CN"/>
        </w:rPr>
      </w:pPr>
      <w:r>
        <w:rPr>
          <w:rFonts w:hint="eastAsia" w:ascii="宋体" w:hAnsi="宋体" w:eastAsia="宋体" w:cs="宋体"/>
          <w:kern w:val="0"/>
          <w:sz w:val="24"/>
          <w:szCs w:val="24"/>
          <w:lang w:val="zh-CN"/>
        </w:rPr>
        <w:t>单位名称(公章)：                       单位名称(公章)：</w:t>
      </w:r>
    </w:p>
    <w:p w14:paraId="37C541BC">
      <w:pPr>
        <w:keepNext w:val="0"/>
        <w:keepLines w:val="0"/>
        <w:pageBreakBefore w:val="0"/>
        <w:widowControl w:val="0"/>
        <w:kinsoku/>
        <w:overflowPunct/>
        <w:topLinePunct w:val="0"/>
        <w:bidi w:val="0"/>
        <w:snapToGrid/>
        <w:spacing w:line="400" w:lineRule="exact"/>
        <w:ind w:left="480" w:hanging="480" w:hangingChars="200"/>
        <w:textAlignment w:val="auto"/>
        <w:rPr>
          <w:rFonts w:hint="eastAsia" w:ascii="宋体" w:hAnsi="宋体" w:eastAsia="宋体" w:cs="宋体"/>
          <w:kern w:val="0"/>
          <w:sz w:val="24"/>
          <w:szCs w:val="24"/>
          <w:lang w:val="zh-CN"/>
        </w:rPr>
      </w:pPr>
      <w:r>
        <w:rPr>
          <w:rFonts w:hint="eastAsia" w:ascii="宋体" w:hAnsi="宋体" w:eastAsia="宋体" w:cs="宋体"/>
          <w:kern w:val="0"/>
          <w:sz w:val="24"/>
          <w:szCs w:val="24"/>
          <w:lang w:val="zh-CN"/>
        </w:rPr>
        <w:t xml:space="preserve">法定代表人或其授权代表（签字）：  </w:t>
      </w:r>
      <w:r>
        <w:rPr>
          <w:rFonts w:hint="eastAsia" w:ascii="宋体" w:hAnsi="宋体" w:eastAsia="宋体" w:cs="宋体"/>
          <w:kern w:val="0"/>
          <w:sz w:val="24"/>
          <w:szCs w:val="24"/>
        </w:rPr>
        <w:t xml:space="preserve">     </w:t>
      </w:r>
      <w:r>
        <w:rPr>
          <w:rFonts w:hint="eastAsia" w:ascii="宋体" w:hAnsi="宋体" w:eastAsia="宋体" w:cs="宋体"/>
          <w:kern w:val="0"/>
          <w:sz w:val="24"/>
          <w:szCs w:val="24"/>
          <w:lang w:val="zh-CN"/>
        </w:rPr>
        <w:t>法定代表人或其授权代表（签字）：</w:t>
      </w:r>
    </w:p>
    <w:p w14:paraId="7C3EF898">
      <w:pPr>
        <w:spacing w:line="420" w:lineRule="exact"/>
        <w:ind w:left="480" w:hanging="480" w:hangingChars="200"/>
        <w:rPr>
          <w:rFonts w:hint="eastAsia" w:ascii="宋体" w:hAnsi="宋体" w:eastAsia="宋体" w:cs="宋体"/>
          <w:kern w:val="0"/>
          <w:sz w:val="24"/>
          <w:szCs w:val="24"/>
          <w:lang w:val="zh-CN"/>
        </w:rPr>
      </w:pPr>
      <w:r>
        <w:rPr>
          <w:rFonts w:hint="eastAsia" w:ascii="宋体" w:hAnsi="宋体" w:eastAsia="宋体" w:cs="宋体"/>
          <w:kern w:val="0"/>
          <w:sz w:val="24"/>
          <w:szCs w:val="24"/>
          <w:lang w:val="zh-CN"/>
        </w:rPr>
        <w:t>联系电话：                             联系电话：</w:t>
      </w:r>
    </w:p>
    <w:p w14:paraId="7B2D06B2">
      <w:pPr>
        <w:spacing w:line="420" w:lineRule="exact"/>
        <w:ind w:left="480" w:hanging="480" w:hangingChars="200"/>
        <w:rPr>
          <w:rFonts w:hint="eastAsia" w:ascii="宋体" w:hAnsi="宋体" w:eastAsia="宋体" w:cs="宋体"/>
          <w:kern w:val="0"/>
          <w:sz w:val="24"/>
          <w:szCs w:val="24"/>
        </w:rPr>
      </w:pPr>
      <w:r>
        <w:rPr>
          <w:rFonts w:hint="eastAsia" w:ascii="宋体" w:hAnsi="宋体" w:eastAsia="宋体" w:cs="宋体"/>
          <w:kern w:val="0"/>
          <w:sz w:val="24"/>
          <w:szCs w:val="24"/>
          <w:lang w:val="zh-CN"/>
        </w:rPr>
        <w:t xml:space="preserve">签订日期：                          </w:t>
      </w:r>
      <w:r>
        <w:rPr>
          <w:rFonts w:hint="eastAsia" w:ascii="宋体" w:hAnsi="宋体" w:eastAsia="宋体" w:cs="宋体"/>
          <w:kern w:val="0"/>
          <w:sz w:val="24"/>
          <w:szCs w:val="24"/>
        </w:rPr>
        <w:t xml:space="preserve">   </w:t>
      </w:r>
      <w:r>
        <w:rPr>
          <w:rFonts w:hint="eastAsia" w:ascii="宋体" w:hAnsi="宋体" w:eastAsia="宋体" w:cs="宋体"/>
          <w:kern w:val="0"/>
          <w:sz w:val="24"/>
          <w:szCs w:val="24"/>
          <w:lang w:val="zh-CN"/>
        </w:rPr>
        <w:t>签订日期：</w:t>
      </w:r>
    </w:p>
    <w:p w14:paraId="0769867C">
      <w:pPr>
        <w:pStyle w:val="16"/>
        <w:tabs>
          <w:tab w:val="left" w:pos="2527"/>
        </w:tabs>
        <w:jc w:val="both"/>
        <w:rPr>
          <w:rFonts w:hint="eastAsia" w:ascii="宋体" w:hAnsi="宋体" w:eastAsia="宋体" w:cs="宋体"/>
          <w:b/>
          <w:bCs/>
          <w:sz w:val="36"/>
          <w:szCs w:val="36"/>
          <w:highlight w:val="none"/>
          <w:lang w:eastAsia="zh-CN"/>
        </w:rPr>
      </w:pPr>
    </w:p>
    <w:p w14:paraId="2A05DB46">
      <w:pPr>
        <w:bidi w:val="0"/>
        <w:rPr>
          <w:rFonts w:hint="eastAsia"/>
          <w:lang w:eastAsia="zh-CN"/>
        </w:rPr>
      </w:pPr>
    </w:p>
    <w:p w14:paraId="11445754">
      <w:pPr>
        <w:rPr>
          <w:rFonts w:hint="eastAsia"/>
        </w:rPr>
        <w:sectPr>
          <w:headerReference r:id="rId7" w:type="default"/>
          <w:footerReference r:id="rId8" w:type="default"/>
          <w:footnotePr>
            <w:numFmt w:val="decimalEnclosedCircleChinese"/>
            <w:numRestart w:val="eachPage"/>
          </w:footnotePr>
          <w:pgSz w:w="11905" w:h="16838"/>
          <w:pgMar w:top="1304" w:right="1236" w:bottom="1304" w:left="1236" w:header="1020" w:footer="680" w:gutter="0"/>
          <w:pgBorders w:zOrder="back">
            <w:top w:val="none" w:sz="0" w:space="0"/>
            <w:left w:val="none" w:sz="0" w:space="0"/>
            <w:bottom w:val="none" w:sz="0" w:space="0"/>
            <w:right w:val="none" w:sz="0" w:space="0"/>
          </w:pgBorders>
          <w:pgNumType w:fmt="decimal"/>
          <w:cols w:space="0" w:num="1"/>
          <w:rtlGutter w:val="0"/>
          <w:docGrid w:type="lines" w:linePitch="319" w:charSpace="0"/>
        </w:sectPr>
      </w:pPr>
    </w:p>
    <w:p w14:paraId="77FD786F">
      <w:pPr>
        <w:pStyle w:val="17"/>
        <w:rPr>
          <w:rFonts w:hint="eastAsia"/>
        </w:rPr>
      </w:pPr>
    </w:p>
    <w:p w14:paraId="23A98C99">
      <w:pPr>
        <w:rPr>
          <w:rFonts w:hint="eastAsia" w:ascii="宋体" w:hAnsi="宋体" w:eastAsia="宋体" w:cs="宋体"/>
          <w:b/>
          <w:bCs/>
          <w:sz w:val="36"/>
          <w:szCs w:val="36"/>
          <w:highlight w:val="none"/>
        </w:rPr>
      </w:pPr>
    </w:p>
    <w:p w14:paraId="4AA60CDB">
      <w:pPr>
        <w:pStyle w:val="39"/>
        <w:rPr>
          <w:rFonts w:hint="eastAsia" w:ascii="宋体" w:hAnsi="宋体" w:eastAsia="宋体" w:cs="宋体"/>
          <w:b/>
          <w:bCs/>
          <w:sz w:val="36"/>
          <w:szCs w:val="36"/>
          <w:highlight w:val="none"/>
        </w:rPr>
      </w:pPr>
    </w:p>
    <w:p w14:paraId="31FECE4B">
      <w:pPr>
        <w:rPr>
          <w:rFonts w:hint="eastAsia" w:ascii="宋体" w:hAnsi="宋体" w:eastAsia="宋体" w:cs="宋体"/>
          <w:b/>
          <w:bCs/>
          <w:sz w:val="36"/>
          <w:szCs w:val="36"/>
          <w:highlight w:val="none"/>
        </w:rPr>
      </w:pPr>
    </w:p>
    <w:p w14:paraId="6B6E7B14">
      <w:pPr>
        <w:rPr>
          <w:rFonts w:hint="eastAsia"/>
        </w:rPr>
      </w:pPr>
    </w:p>
    <w:p w14:paraId="7FC45272">
      <w:pPr>
        <w:rPr>
          <w:rFonts w:hint="eastAsia" w:ascii="宋体" w:hAnsi="宋体" w:eastAsia="宋体" w:cs="宋体"/>
          <w:b/>
          <w:bCs/>
          <w:sz w:val="36"/>
          <w:szCs w:val="36"/>
          <w:highlight w:val="none"/>
        </w:rPr>
      </w:pPr>
    </w:p>
    <w:p w14:paraId="643BBF93">
      <w:pPr>
        <w:pStyle w:val="5"/>
        <w:numPr>
          <w:ilvl w:val="0"/>
          <w:numId w:val="0"/>
        </w:numPr>
        <w:ind w:leftChars="0"/>
        <w:jc w:val="both"/>
        <w:rPr>
          <w:rFonts w:hint="eastAsia"/>
        </w:rPr>
      </w:pPr>
    </w:p>
    <w:p w14:paraId="30E55E16">
      <w:pPr>
        <w:pStyle w:val="38"/>
        <w:ind w:left="0" w:leftChars="0" w:firstLine="0" w:firstLineChars="0"/>
        <w:rPr>
          <w:rFonts w:hint="eastAsia" w:ascii="宋体" w:hAnsi="宋体" w:eastAsia="宋体" w:cs="宋体"/>
          <w:b/>
          <w:bCs/>
          <w:sz w:val="36"/>
          <w:szCs w:val="36"/>
          <w:highlight w:val="none"/>
        </w:rPr>
      </w:pPr>
    </w:p>
    <w:p w14:paraId="752C022C">
      <w:pPr>
        <w:pStyle w:val="2"/>
        <w:numPr>
          <w:ilvl w:val="0"/>
          <w:numId w:val="0"/>
        </w:numPr>
        <w:tabs>
          <w:tab w:val="clear" w:pos="324"/>
        </w:tabs>
        <w:ind w:leftChars="0"/>
        <w:jc w:val="center"/>
        <w:rPr>
          <w:rFonts w:hint="eastAsia" w:ascii="宋体" w:hAnsi="宋体" w:eastAsia="宋体" w:cs="宋体"/>
          <w:b/>
          <w:bCs/>
          <w:sz w:val="36"/>
          <w:szCs w:val="36"/>
          <w:highlight w:val="none"/>
        </w:rPr>
      </w:pPr>
      <w:r>
        <w:rPr>
          <w:rFonts w:hint="eastAsia" w:ascii="宋体" w:hAnsi="宋体" w:eastAsia="宋体" w:cs="宋体"/>
          <w:b/>
          <w:bCs/>
          <w:sz w:val="36"/>
          <w:szCs w:val="36"/>
          <w:highlight w:val="none"/>
        </w:rPr>
        <w:t>第</w:t>
      </w:r>
      <w:r>
        <w:rPr>
          <w:rFonts w:hint="eastAsia" w:ascii="宋体" w:hAnsi="宋体" w:eastAsia="宋体" w:cs="宋体"/>
          <w:b/>
          <w:bCs/>
          <w:sz w:val="36"/>
          <w:szCs w:val="36"/>
          <w:highlight w:val="none"/>
          <w:lang w:eastAsia="zh-CN"/>
        </w:rPr>
        <w:t>六</w:t>
      </w:r>
      <w:r>
        <w:rPr>
          <w:rFonts w:hint="eastAsia" w:ascii="宋体" w:hAnsi="宋体" w:eastAsia="宋体" w:cs="宋体"/>
          <w:b/>
          <w:bCs/>
          <w:sz w:val="36"/>
          <w:szCs w:val="36"/>
          <w:highlight w:val="none"/>
        </w:rPr>
        <w:t>章  投标文件格式</w:t>
      </w:r>
      <w:bookmarkEnd w:id="19"/>
    </w:p>
    <w:p w14:paraId="137C93F7">
      <w:pPr>
        <w:bidi w:val="0"/>
        <w:rPr>
          <w:rFonts w:hint="eastAsia"/>
          <w:highlight w:val="none"/>
        </w:rPr>
      </w:pPr>
    </w:p>
    <w:p w14:paraId="624F7FD1">
      <w:pPr>
        <w:bidi w:val="0"/>
        <w:rPr>
          <w:highlight w:val="none"/>
        </w:rPr>
      </w:pPr>
    </w:p>
    <w:p w14:paraId="31B42E68">
      <w:pPr>
        <w:rPr>
          <w:rFonts w:hint="eastAsia" w:ascii="宋体" w:hAnsi="宋体"/>
          <w:b/>
          <w:sz w:val="36"/>
          <w:szCs w:val="36"/>
          <w:highlight w:val="none"/>
        </w:rPr>
      </w:pPr>
      <w:r>
        <w:rPr>
          <w:rFonts w:hint="eastAsia" w:ascii="宋体" w:hAnsi="宋体"/>
          <w:b/>
          <w:sz w:val="36"/>
          <w:szCs w:val="36"/>
          <w:highlight w:val="none"/>
        </w:rPr>
        <w:br w:type="page"/>
      </w:r>
    </w:p>
    <w:p w14:paraId="22D06FEE">
      <w:pPr>
        <w:spacing w:after="360" w:afterLines="150" w:line="900" w:lineRule="exact"/>
        <w:jc w:val="center"/>
        <w:rPr>
          <w:rFonts w:hint="eastAsia" w:ascii="宋体" w:hAnsi="宋体"/>
          <w:b/>
          <w:sz w:val="36"/>
          <w:szCs w:val="36"/>
          <w:highlight w:val="none"/>
        </w:rPr>
      </w:pPr>
      <w:r>
        <w:rPr>
          <w:color w:val="auto"/>
          <w:sz w:val="36"/>
          <w:highlight w:val="none"/>
        </w:rPr>
        <mc:AlternateContent>
          <mc:Choice Requires="wps">
            <w:drawing>
              <wp:anchor distT="0" distB="0" distL="0" distR="0" simplePos="0" relativeHeight="251659264" behindDoc="0" locked="0" layoutInCell="1" allowOverlap="1">
                <wp:simplePos x="0" y="0"/>
                <wp:positionH relativeFrom="column">
                  <wp:posOffset>-19685</wp:posOffset>
                </wp:positionH>
                <wp:positionV relativeFrom="paragraph">
                  <wp:posOffset>45085</wp:posOffset>
                </wp:positionV>
                <wp:extent cx="1641475" cy="499110"/>
                <wp:effectExtent l="7620" t="7620" r="8255" b="26670"/>
                <wp:wrapNone/>
                <wp:docPr id="1028" name="自选图形 11"/>
                <wp:cNvGraphicFramePr/>
                <a:graphic xmlns:a="http://schemas.openxmlformats.org/drawingml/2006/main">
                  <a:graphicData uri="http://schemas.microsoft.com/office/word/2010/wordprocessingShape">
                    <wps:wsp>
                      <wps:cNvSpPr/>
                      <wps:spPr>
                        <a:xfrm>
                          <a:off x="0" y="0"/>
                          <a:ext cx="1641475" cy="499110"/>
                        </a:xfrm>
                        <a:prstGeom prst="roundRect">
                          <a:avLst>
                            <a:gd name="adj" fmla="val 16667"/>
                          </a:avLst>
                        </a:prstGeom>
                        <a:solidFill>
                          <a:srgbClr val="EEECE1"/>
                        </a:solidFill>
                        <a:ln w="15875" cap="flat" cmpd="sng">
                          <a:solidFill>
                            <a:srgbClr val="000000"/>
                          </a:solidFill>
                          <a:prstDash val="solid"/>
                          <a:round/>
                          <a:headEnd type="none" w="med" len="med"/>
                          <a:tailEnd type="none" w="med" len="med"/>
                        </a:ln>
                      </wps:spPr>
                      <wps:txbx>
                        <w:txbxContent>
                          <w:p w14:paraId="10FA96CD">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9"/>
                              <w:rPr>
                                <w:rFonts w:hint="eastAsia" w:ascii="华文中宋" w:hAnsi="华文中宋" w:eastAsia="华文中宋" w:cs="华文中宋"/>
                                <w:b/>
                                <w:bCs/>
                                <w:sz w:val="36"/>
                                <w:szCs w:val="36"/>
                                <w:lang w:eastAsia="zh-CN"/>
                              </w:rPr>
                            </w:pPr>
                            <w:r>
                              <w:rPr>
                                <w:rFonts w:hint="eastAsia" w:ascii="华文中宋" w:hAnsi="华文中宋" w:eastAsia="华文中宋" w:cs="华文中宋"/>
                                <w:b/>
                                <w:bCs/>
                                <w:sz w:val="36"/>
                                <w:szCs w:val="36"/>
                                <w:lang w:eastAsia="zh-CN"/>
                              </w:rPr>
                              <w:t>政府采购项目</w:t>
                            </w:r>
                          </w:p>
                        </w:txbxContent>
                      </wps:txbx>
                      <wps:bodyPr wrap="square" upright="1"/>
                    </wps:wsp>
                  </a:graphicData>
                </a:graphic>
              </wp:anchor>
            </w:drawing>
          </mc:Choice>
          <mc:Fallback>
            <w:pict>
              <v:roundrect id="自选图形 11" o:spid="_x0000_s1026" o:spt="2" style="position:absolute;left:0pt;margin-left:-1.55pt;margin-top:3.55pt;height:39.3pt;width:129.25pt;z-index:251659264;mso-width-relative:page;mso-height-relative:page;" fillcolor="#EEECE1" filled="t" stroked="t" coordsize="21600,21600" arcsize="0.166666666666667" o:gfxdata="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">
                <v:fill on="t" focussize="0,0"/>
                <v:stroke weight="1.25pt" color="#000000" joinstyle="round"/>
                <v:imagedata o:title=""/>
                <o:lock v:ext="edit" aspectratio="f"/>
                <v:textbox>
                  <w:txbxContent>
                    <w:p w14:paraId="10FA96CD">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9"/>
                        <w:rPr>
                          <w:rFonts w:hint="eastAsia" w:ascii="华文中宋" w:hAnsi="华文中宋" w:eastAsia="华文中宋" w:cs="华文中宋"/>
                          <w:b/>
                          <w:bCs/>
                          <w:sz w:val="36"/>
                          <w:szCs w:val="36"/>
                          <w:lang w:eastAsia="zh-CN"/>
                        </w:rPr>
                      </w:pPr>
                      <w:r>
                        <w:rPr>
                          <w:rFonts w:hint="eastAsia" w:ascii="华文中宋" w:hAnsi="华文中宋" w:eastAsia="华文中宋" w:cs="华文中宋"/>
                          <w:b/>
                          <w:bCs/>
                          <w:sz w:val="36"/>
                          <w:szCs w:val="36"/>
                          <w:lang w:eastAsia="zh-CN"/>
                        </w:rPr>
                        <w:t>政府采购项目</w:t>
                      </w:r>
                    </w:p>
                  </w:txbxContent>
                </v:textbox>
              </v:roundrect>
            </w:pict>
          </mc:Fallback>
        </mc:AlternateContent>
      </w:r>
      <w:r>
        <w:rPr>
          <w:rFonts w:hint="eastAsia" w:ascii="宋体" w:hAnsi="宋体"/>
          <w:b/>
          <w:sz w:val="36"/>
          <w:szCs w:val="36"/>
          <w:highlight w:val="none"/>
        </w:rPr>
        <w:t xml:space="preserve">                                </w:t>
      </w:r>
    </w:p>
    <w:p w14:paraId="75B014C6">
      <w:pPr>
        <w:keepNext w:val="0"/>
        <w:keepLines w:val="0"/>
        <w:pageBreakBefore w:val="0"/>
        <w:widowControl w:val="0"/>
        <w:kinsoku/>
        <w:wordWrap/>
        <w:overflowPunct/>
        <w:topLinePunct w:val="0"/>
        <w:autoSpaceDE/>
        <w:autoSpaceDN/>
        <w:bidi w:val="0"/>
        <w:adjustRightInd/>
        <w:snapToGrid/>
        <w:spacing w:line="360" w:lineRule="auto"/>
        <w:jc w:val="right"/>
        <w:textAlignment w:val="auto"/>
        <w:rPr>
          <w:rFonts w:hint="eastAsia" w:ascii="宋体" w:hAnsi="宋体"/>
          <w:b/>
          <w:color w:val="auto"/>
          <w:sz w:val="36"/>
          <w:szCs w:val="36"/>
          <w:highlight w:val="none"/>
          <w:lang w:val="en-US"/>
        </w:rPr>
      </w:pPr>
      <w:r>
        <w:rPr>
          <w:rFonts w:hint="eastAsia" w:ascii="宋体" w:hAnsi="宋体"/>
          <w:b/>
          <w:sz w:val="36"/>
          <w:szCs w:val="36"/>
          <w:highlight w:val="none"/>
        </w:rPr>
        <w:t>项目编号:</w:t>
      </w:r>
      <w:r>
        <w:rPr>
          <w:rFonts w:hint="eastAsia" w:ascii="宋体" w:hAnsi="宋体"/>
          <w:b/>
          <w:color w:val="auto"/>
          <w:sz w:val="36"/>
          <w:szCs w:val="36"/>
          <w:highlight w:val="none"/>
        </w:rPr>
        <w:t xml:space="preserve"> </w:t>
      </w:r>
      <w:r>
        <w:rPr>
          <w:rFonts w:hint="eastAsia" w:ascii="宋体" w:hAnsi="宋体"/>
          <w:b/>
          <w:color w:val="auto"/>
          <w:sz w:val="36"/>
          <w:szCs w:val="36"/>
          <w:highlight w:val="none"/>
          <w:lang w:eastAsia="zh-CN"/>
        </w:rPr>
        <w:t>RHAKCG-20260730</w:t>
      </w:r>
    </w:p>
    <w:p w14:paraId="303F0C95">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华文中宋" w:hAnsi="华文中宋" w:eastAsia="华文中宋"/>
          <w:b/>
          <w:color w:val="auto"/>
          <w:sz w:val="52"/>
          <w:szCs w:val="52"/>
          <w:highlight w:val="none"/>
          <w:lang w:eastAsia="zh-CN"/>
        </w:rPr>
      </w:pPr>
    </w:p>
    <w:p w14:paraId="4121BB07">
      <w:pPr>
        <w:spacing w:line="360" w:lineRule="auto"/>
        <w:ind w:firstLine="2008" w:firstLineChars="500"/>
        <w:jc w:val="both"/>
        <w:rPr>
          <w:rFonts w:hint="default" w:ascii="华文中宋" w:hAnsi="华文中宋" w:eastAsia="华文中宋"/>
          <w:b/>
          <w:color w:val="auto"/>
          <w:sz w:val="52"/>
          <w:szCs w:val="52"/>
          <w:highlight w:val="none"/>
          <w:u w:val="single"/>
          <w:lang w:val="en-US" w:eastAsia="zh-CN"/>
        </w:rPr>
      </w:pPr>
      <w:r>
        <w:rPr>
          <w:rFonts w:hint="eastAsia" w:ascii="华文中宋" w:hAnsi="华文中宋" w:eastAsia="华文中宋"/>
          <w:b/>
          <w:color w:val="auto"/>
          <w:sz w:val="40"/>
          <w:szCs w:val="40"/>
          <w:highlight w:val="none"/>
          <w:lang w:val="en-US" w:eastAsia="zh-CN"/>
        </w:rPr>
        <w:t>标段名称：</w:t>
      </w:r>
      <w:r>
        <w:rPr>
          <w:rFonts w:hint="eastAsia" w:ascii="华文中宋" w:hAnsi="华文中宋" w:eastAsia="华文中宋"/>
          <w:b/>
          <w:color w:val="auto"/>
          <w:sz w:val="40"/>
          <w:szCs w:val="40"/>
          <w:highlight w:val="none"/>
          <w:u w:val="single"/>
          <w:lang w:val="en-US" w:eastAsia="zh-CN"/>
        </w:rPr>
        <w:t xml:space="preserve">           </w:t>
      </w:r>
    </w:p>
    <w:p w14:paraId="502A1531">
      <w:pPr>
        <w:pStyle w:val="38"/>
        <w:ind w:left="0" w:leftChars="0" w:firstLine="0" w:firstLineChars="0"/>
        <w:rPr>
          <w:rFonts w:hint="eastAsia" w:ascii="宋体" w:hAnsi="宋体" w:eastAsia="宋体"/>
          <w:b/>
          <w:sz w:val="36"/>
          <w:highlight w:val="none"/>
          <w:lang w:eastAsia="zh-CN"/>
        </w:rPr>
      </w:pPr>
    </w:p>
    <w:p w14:paraId="4B9FE639">
      <w:pPr>
        <w:pStyle w:val="38"/>
        <w:rPr>
          <w:rFonts w:hint="eastAsia" w:ascii="宋体" w:hAnsi="宋体" w:eastAsia="宋体"/>
          <w:b/>
          <w:sz w:val="36"/>
          <w:highlight w:val="none"/>
          <w:lang w:eastAsia="zh-CN"/>
        </w:rPr>
      </w:pPr>
    </w:p>
    <w:p w14:paraId="1D9D81DA">
      <w:pPr>
        <w:pStyle w:val="38"/>
        <w:rPr>
          <w:rFonts w:hint="eastAsia" w:ascii="宋体" w:hAnsi="宋体" w:eastAsia="宋体"/>
          <w:b/>
          <w:sz w:val="36"/>
          <w:highlight w:val="none"/>
          <w:lang w:eastAsia="zh-CN"/>
        </w:rPr>
      </w:pPr>
    </w:p>
    <w:p w14:paraId="75A62353">
      <w:pPr>
        <w:pStyle w:val="38"/>
        <w:rPr>
          <w:rFonts w:hint="eastAsia" w:ascii="宋体" w:hAnsi="宋体" w:eastAsia="宋体"/>
          <w:b/>
          <w:sz w:val="36"/>
          <w:highlight w:val="none"/>
          <w:lang w:eastAsia="zh-CN"/>
        </w:rPr>
      </w:pPr>
    </w:p>
    <w:p w14:paraId="7BE6849F">
      <w:pPr>
        <w:spacing w:after="48" w:afterLines="20"/>
        <w:jc w:val="center"/>
        <w:rPr>
          <w:rFonts w:hint="eastAsia" w:ascii="宋体" w:hAnsi="宋体" w:eastAsia="宋体" w:cs="宋体"/>
          <w:b/>
          <w:sz w:val="104"/>
          <w:highlight w:val="none"/>
        </w:rPr>
      </w:pPr>
      <w:r>
        <w:rPr>
          <w:rFonts w:hint="eastAsia" w:ascii="宋体" w:hAnsi="宋体" w:eastAsia="宋体" w:cs="宋体"/>
          <w:b/>
          <w:sz w:val="104"/>
          <w:highlight w:val="none"/>
        </w:rPr>
        <w:t>投标文件</w:t>
      </w:r>
    </w:p>
    <w:p w14:paraId="35F5CDDA">
      <w:pPr>
        <w:rPr>
          <w:rFonts w:hint="eastAsia" w:ascii="宋体" w:hAnsi="宋体" w:cs="宋体"/>
          <w:b/>
          <w:sz w:val="44"/>
          <w:szCs w:val="44"/>
          <w:highlight w:val="none"/>
          <w:u w:val="none"/>
          <w:lang w:val="en-US" w:eastAsia="zh-CN"/>
        </w:rPr>
      </w:pPr>
      <w:r>
        <w:rPr>
          <w:rFonts w:hint="eastAsia" w:ascii="宋体" w:hAnsi="宋体" w:cs="宋体"/>
          <w:b/>
          <w:sz w:val="44"/>
          <w:szCs w:val="44"/>
          <w:highlight w:val="none"/>
          <w:u w:val="none"/>
          <w:lang w:val="en-US" w:eastAsia="zh-CN"/>
        </w:rPr>
        <w:t xml:space="preserve"> </w:t>
      </w:r>
    </w:p>
    <w:p w14:paraId="309FCAFA">
      <w:pPr>
        <w:rPr>
          <w:rFonts w:hint="eastAsia"/>
          <w:sz w:val="30"/>
          <w:highlight w:val="none"/>
        </w:rPr>
      </w:pPr>
      <w:r>
        <w:rPr>
          <w:rFonts w:hint="eastAsia"/>
          <w:sz w:val="30"/>
          <w:highlight w:val="none"/>
        </w:rPr>
        <w:t xml:space="preserve">          </w:t>
      </w:r>
    </w:p>
    <w:p w14:paraId="69004633">
      <w:pPr>
        <w:rPr>
          <w:rFonts w:hint="eastAsia"/>
          <w:sz w:val="30"/>
          <w:highlight w:val="none"/>
        </w:rPr>
      </w:pPr>
    </w:p>
    <w:p w14:paraId="0078DFEA">
      <w:pPr>
        <w:rPr>
          <w:rFonts w:hint="eastAsia"/>
          <w:sz w:val="30"/>
          <w:highlight w:val="none"/>
        </w:rPr>
      </w:pPr>
    </w:p>
    <w:p w14:paraId="470D4031">
      <w:pPr>
        <w:rPr>
          <w:rFonts w:hint="eastAsia"/>
          <w:sz w:val="30"/>
          <w:highlight w:val="none"/>
        </w:rPr>
      </w:pPr>
    </w:p>
    <w:p w14:paraId="740095EA">
      <w:pPr>
        <w:spacing w:after="192" w:afterLines="80"/>
        <w:ind w:firstLine="1506" w:firstLineChars="500"/>
        <w:rPr>
          <w:rFonts w:hint="eastAsia" w:ascii="宋体" w:hAnsi="宋体" w:cs="宋体"/>
          <w:b/>
          <w:bCs/>
          <w:sz w:val="30"/>
          <w:highlight w:val="none"/>
          <w:u w:val="single"/>
        </w:rPr>
      </w:pPr>
      <w:r>
        <w:rPr>
          <w:rFonts w:hint="eastAsia" w:ascii="宋体" w:hAnsi="宋体" w:cs="宋体"/>
          <w:b/>
          <w:bCs/>
          <w:sz w:val="30"/>
          <w:highlight w:val="none"/>
        </w:rPr>
        <w:t>投标人：</w:t>
      </w:r>
      <w:r>
        <w:rPr>
          <w:rFonts w:hint="eastAsia" w:ascii="宋体" w:hAnsi="宋体" w:cs="宋体"/>
          <w:b/>
          <w:bCs/>
          <w:sz w:val="30"/>
          <w:highlight w:val="none"/>
          <w:u w:val="single"/>
        </w:rPr>
        <w:t xml:space="preserve">                           </w:t>
      </w:r>
      <w:r>
        <w:rPr>
          <w:rFonts w:hint="eastAsia" w:ascii="宋体" w:hAnsi="宋体" w:cs="宋体"/>
          <w:b/>
          <w:bCs/>
          <w:sz w:val="30"/>
          <w:highlight w:val="none"/>
        </w:rPr>
        <w:t>（盖章）</w:t>
      </w:r>
    </w:p>
    <w:p w14:paraId="33ED902E">
      <w:pPr>
        <w:ind w:firstLine="1506" w:firstLineChars="500"/>
        <w:rPr>
          <w:rFonts w:hint="eastAsia" w:ascii="宋体" w:hAnsi="宋体" w:cs="宋体"/>
          <w:b/>
          <w:bCs/>
          <w:sz w:val="30"/>
          <w:highlight w:val="none"/>
        </w:rPr>
      </w:pPr>
      <w:r>
        <w:rPr>
          <w:rFonts w:hint="eastAsia" w:ascii="宋体" w:hAnsi="宋体" w:cs="宋体"/>
          <w:b/>
          <w:bCs/>
          <w:sz w:val="30"/>
          <w:highlight w:val="none"/>
        </w:rPr>
        <w:t>法定代表人或其委托代理人：</w:t>
      </w:r>
      <w:r>
        <w:rPr>
          <w:rFonts w:hint="eastAsia" w:ascii="宋体" w:hAnsi="宋体" w:cs="宋体"/>
          <w:b/>
          <w:bCs/>
          <w:sz w:val="30"/>
          <w:highlight w:val="none"/>
          <w:u w:val="single"/>
        </w:rPr>
        <w:t xml:space="preserve">        </w:t>
      </w:r>
      <w:r>
        <w:rPr>
          <w:rFonts w:hint="eastAsia" w:ascii="宋体" w:hAnsi="宋体" w:cs="宋体"/>
          <w:b/>
          <w:bCs/>
          <w:sz w:val="30"/>
          <w:highlight w:val="none"/>
        </w:rPr>
        <w:t>（</w:t>
      </w:r>
      <w:r>
        <w:rPr>
          <w:rFonts w:hint="eastAsia" w:ascii="宋体" w:hAnsi="宋体" w:cs="宋体"/>
          <w:b/>
          <w:bCs/>
          <w:sz w:val="30"/>
          <w:highlight w:val="none"/>
          <w:lang w:eastAsia="zh-CN"/>
        </w:rPr>
        <w:t>盖章或</w:t>
      </w:r>
      <w:r>
        <w:rPr>
          <w:rFonts w:hint="eastAsia" w:ascii="宋体" w:hAnsi="宋体" w:cs="宋体"/>
          <w:b/>
          <w:bCs/>
          <w:sz w:val="30"/>
          <w:highlight w:val="none"/>
        </w:rPr>
        <w:t>签字）</w:t>
      </w:r>
    </w:p>
    <w:p w14:paraId="1BB5E7A8">
      <w:pPr>
        <w:spacing w:before="240" w:beforeLines="100"/>
        <w:jc w:val="center"/>
        <w:rPr>
          <w:rFonts w:hint="eastAsia" w:ascii="宋体" w:hAnsi="宋体" w:cs="宋体"/>
          <w:b/>
          <w:bCs/>
          <w:sz w:val="30"/>
          <w:highlight w:val="none"/>
        </w:rPr>
      </w:pPr>
      <w:r>
        <w:rPr>
          <w:rFonts w:hint="eastAsia" w:ascii="宋体" w:hAnsi="宋体" w:cs="宋体"/>
          <w:b/>
          <w:bCs/>
          <w:sz w:val="30"/>
          <w:highlight w:val="none"/>
        </w:rPr>
        <w:t xml:space="preserve">   </w:t>
      </w:r>
      <w:r>
        <w:rPr>
          <w:rFonts w:hint="eastAsia" w:ascii="宋体" w:hAnsi="宋体" w:cs="宋体"/>
          <w:b/>
          <w:bCs/>
          <w:sz w:val="30"/>
          <w:highlight w:val="none"/>
          <w:u w:val="single"/>
        </w:rPr>
        <w:t xml:space="preserve">        </w:t>
      </w:r>
      <w:r>
        <w:rPr>
          <w:rFonts w:hint="eastAsia" w:ascii="宋体" w:hAnsi="宋体" w:cs="宋体"/>
          <w:b/>
          <w:bCs/>
          <w:sz w:val="30"/>
          <w:highlight w:val="none"/>
        </w:rPr>
        <w:t>年</w:t>
      </w:r>
      <w:r>
        <w:rPr>
          <w:rFonts w:hint="eastAsia" w:ascii="宋体" w:hAnsi="宋体" w:cs="宋体"/>
          <w:b/>
          <w:bCs/>
          <w:sz w:val="30"/>
          <w:highlight w:val="none"/>
          <w:u w:val="single"/>
        </w:rPr>
        <w:t xml:space="preserve">    </w:t>
      </w:r>
      <w:r>
        <w:rPr>
          <w:rFonts w:hint="eastAsia" w:ascii="宋体" w:hAnsi="宋体" w:cs="宋体"/>
          <w:b/>
          <w:bCs/>
          <w:sz w:val="30"/>
          <w:highlight w:val="none"/>
        </w:rPr>
        <w:t>月</w:t>
      </w:r>
      <w:r>
        <w:rPr>
          <w:rFonts w:hint="eastAsia" w:ascii="宋体" w:hAnsi="宋体" w:cs="宋体"/>
          <w:b/>
          <w:bCs/>
          <w:sz w:val="30"/>
          <w:highlight w:val="none"/>
          <w:u w:val="single"/>
        </w:rPr>
        <w:t xml:space="preserve">    </w:t>
      </w:r>
      <w:r>
        <w:rPr>
          <w:rFonts w:hint="eastAsia" w:ascii="宋体" w:hAnsi="宋体" w:cs="宋体"/>
          <w:b/>
          <w:bCs/>
          <w:sz w:val="30"/>
          <w:highlight w:val="none"/>
        </w:rPr>
        <w:t>日</w:t>
      </w:r>
    </w:p>
    <w:p w14:paraId="3889A33C">
      <w:pPr>
        <w:jc w:val="center"/>
        <w:rPr>
          <w:rFonts w:hint="eastAsia" w:ascii="宋体" w:hAnsi="宋体" w:cs="宋体"/>
          <w:b/>
          <w:bCs/>
          <w:sz w:val="30"/>
          <w:highlight w:val="none"/>
        </w:rPr>
      </w:pPr>
      <w:r>
        <w:rPr>
          <w:rFonts w:hint="eastAsia" w:ascii="宋体" w:hAnsi="宋体" w:cs="宋体"/>
          <w:b/>
          <w:bCs/>
          <w:sz w:val="30"/>
          <w:highlight w:val="none"/>
        </w:rPr>
        <w:br w:type="page"/>
      </w:r>
      <w:r>
        <w:rPr>
          <w:rFonts w:hint="eastAsia" w:ascii="宋体" w:hAnsi="宋体" w:cs="宋体"/>
          <w:b/>
          <w:bCs/>
          <w:sz w:val="30"/>
          <w:highlight w:val="none"/>
        </w:rPr>
        <w:t>目    录</w:t>
      </w:r>
    </w:p>
    <w:p w14:paraId="07A33A97">
      <w:pPr>
        <w:spacing w:line="600" w:lineRule="exact"/>
        <w:rPr>
          <w:rFonts w:hint="eastAsia"/>
          <w:sz w:val="24"/>
          <w:highlight w:val="none"/>
        </w:rPr>
      </w:pPr>
    </w:p>
    <w:p w14:paraId="755A83B3">
      <w:pPr>
        <w:spacing w:line="720" w:lineRule="exact"/>
        <w:ind w:firstLine="1680" w:firstLineChars="800"/>
        <w:rPr>
          <w:rFonts w:hint="eastAsia"/>
          <w:color w:val="auto"/>
          <w:szCs w:val="21"/>
          <w:highlight w:val="none"/>
        </w:rPr>
      </w:pPr>
      <w:r>
        <w:rPr>
          <w:rFonts w:hint="eastAsia"/>
          <w:color w:val="auto"/>
          <w:szCs w:val="21"/>
          <w:highlight w:val="none"/>
        </w:rPr>
        <w:t>一、投标函</w:t>
      </w:r>
    </w:p>
    <w:p w14:paraId="726571B5">
      <w:pPr>
        <w:spacing w:line="720" w:lineRule="exact"/>
        <w:ind w:firstLine="1680" w:firstLineChars="800"/>
        <w:rPr>
          <w:rFonts w:hint="eastAsia"/>
          <w:color w:val="auto"/>
          <w:szCs w:val="21"/>
          <w:highlight w:val="none"/>
        </w:rPr>
      </w:pPr>
      <w:r>
        <w:rPr>
          <w:rFonts w:hint="eastAsia"/>
          <w:color w:val="auto"/>
          <w:szCs w:val="21"/>
          <w:highlight w:val="none"/>
        </w:rPr>
        <w:t>二、开标一览表</w:t>
      </w:r>
    </w:p>
    <w:p w14:paraId="4F01FB5D">
      <w:pPr>
        <w:numPr>
          <w:ilvl w:val="0"/>
          <w:numId w:val="0"/>
        </w:numPr>
        <w:spacing w:line="720" w:lineRule="exact"/>
        <w:rPr>
          <w:rFonts w:hint="eastAsia" w:eastAsia="宋体"/>
          <w:highlight w:val="none"/>
          <w:lang w:val="en-US" w:eastAsia="zh-CN"/>
        </w:rPr>
      </w:pPr>
      <w:r>
        <w:rPr>
          <w:rFonts w:hint="eastAsia" w:ascii="宋体" w:hAnsi="宋体"/>
          <w:color w:val="auto"/>
          <w:szCs w:val="21"/>
          <w:highlight w:val="none"/>
          <w:lang w:val="en-US" w:eastAsia="zh-CN"/>
        </w:rPr>
        <w:t xml:space="preserve">                三、</w:t>
      </w:r>
      <w:r>
        <w:rPr>
          <w:rFonts w:hint="eastAsia" w:ascii="宋体" w:hAnsi="宋体"/>
          <w:color w:val="auto"/>
          <w:szCs w:val="21"/>
          <w:highlight w:val="none"/>
        </w:rPr>
        <w:t>资格文</w:t>
      </w:r>
      <w:r>
        <w:rPr>
          <w:rFonts w:hint="eastAsia" w:ascii="宋体" w:hAnsi="宋体"/>
          <w:color w:val="auto"/>
          <w:szCs w:val="21"/>
          <w:highlight w:val="none"/>
          <w:lang w:eastAsia="zh-CN"/>
        </w:rPr>
        <w:t>件</w:t>
      </w:r>
    </w:p>
    <w:p w14:paraId="17E7EBBE">
      <w:pPr>
        <w:numPr>
          <w:ilvl w:val="0"/>
          <w:numId w:val="0"/>
        </w:numPr>
        <w:spacing w:line="720" w:lineRule="exact"/>
        <w:rPr>
          <w:rFonts w:hint="eastAsia" w:ascii="宋体" w:hAnsi="宋体"/>
          <w:color w:val="auto"/>
          <w:szCs w:val="21"/>
          <w:highlight w:val="none"/>
        </w:rPr>
      </w:pPr>
      <w:r>
        <w:rPr>
          <w:rFonts w:hint="eastAsia" w:ascii="宋体" w:hAnsi="宋体"/>
          <w:color w:val="auto"/>
          <w:szCs w:val="21"/>
          <w:highlight w:val="none"/>
          <w:lang w:val="en-US" w:eastAsia="zh-CN"/>
        </w:rPr>
        <w:t xml:space="preserve">                四、投标方案说明书</w:t>
      </w:r>
    </w:p>
    <w:p w14:paraId="6DE1A370">
      <w:pPr>
        <w:numPr>
          <w:ilvl w:val="0"/>
          <w:numId w:val="0"/>
        </w:numPr>
        <w:spacing w:line="720" w:lineRule="exact"/>
        <w:rPr>
          <w:rFonts w:hint="eastAsia" w:ascii="宋体" w:hAnsi="宋体"/>
          <w:color w:val="auto"/>
          <w:szCs w:val="21"/>
          <w:highlight w:val="none"/>
        </w:rPr>
      </w:pPr>
      <w:r>
        <w:rPr>
          <w:rFonts w:hint="eastAsia" w:ascii="宋体" w:hAnsi="宋体"/>
          <w:color w:val="auto"/>
          <w:szCs w:val="21"/>
          <w:highlight w:val="none"/>
          <w:lang w:val="en-US" w:eastAsia="zh-CN"/>
        </w:rPr>
        <w:t xml:space="preserve">                五、</w:t>
      </w:r>
      <w:r>
        <w:rPr>
          <w:rFonts w:hint="eastAsia" w:ascii="宋体" w:hAnsi="宋体"/>
          <w:color w:val="auto"/>
          <w:szCs w:val="21"/>
          <w:highlight w:val="none"/>
        </w:rPr>
        <w:t>投标人认为有必要补充说明的事宜</w:t>
      </w:r>
    </w:p>
    <w:p w14:paraId="26875A9E">
      <w:pPr>
        <w:numPr>
          <w:ilvl w:val="0"/>
          <w:numId w:val="0"/>
        </w:numPr>
        <w:spacing w:line="720" w:lineRule="exact"/>
        <w:rPr>
          <w:rFonts w:hint="eastAsia" w:ascii="宋体" w:hAnsi="宋体"/>
          <w:color w:val="auto"/>
          <w:szCs w:val="21"/>
          <w:highlight w:val="none"/>
        </w:rPr>
      </w:pPr>
      <w:r>
        <w:rPr>
          <w:rFonts w:hint="eastAsia" w:ascii="宋体" w:hAnsi="宋体"/>
          <w:color w:val="auto"/>
          <w:szCs w:val="21"/>
          <w:highlight w:val="none"/>
          <w:lang w:val="en-US" w:eastAsia="zh-CN"/>
        </w:rPr>
        <w:t xml:space="preserve">                六、</w:t>
      </w:r>
      <w:r>
        <w:rPr>
          <w:rFonts w:hint="eastAsia" w:ascii="宋体" w:hAnsi="宋体"/>
          <w:color w:val="auto"/>
          <w:szCs w:val="21"/>
          <w:highlight w:val="none"/>
        </w:rPr>
        <w:t>《拒绝政府采购领域商业贿赂承诺书》</w:t>
      </w:r>
    </w:p>
    <w:p w14:paraId="30ABBAAC">
      <w:pPr>
        <w:bidi w:val="0"/>
        <w:rPr>
          <w:highlight w:val="none"/>
        </w:rPr>
      </w:pPr>
    </w:p>
    <w:p w14:paraId="34655F90">
      <w:pPr>
        <w:bidi w:val="0"/>
        <w:rPr>
          <w:highlight w:val="none"/>
        </w:rPr>
      </w:pPr>
    </w:p>
    <w:p w14:paraId="498040C3">
      <w:pPr>
        <w:bidi w:val="0"/>
        <w:rPr>
          <w:highlight w:val="none"/>
        </w:rPr>
      </w:pPr>
    </w:p>
    <w:p w14:paraId="24F67C25">
      <w:pPr>
        <w:bidi w:val="0"/>
        <w:rPr>
          <w:highlight w:val="none"/>
        </w:rPr>
      </w:pPr>
    </w:p>
    <w:p w14:paraId="76490CB2">
      <w:pPr>
        <w:bidi w:val="0"/>
        <w:rPr>
          <w:highlight w:val="none"/>
        </w:rPr>
      </w:pPr>
    </w:p>
    <w:p w14:paraId="6730B18C">
      <w:pPr>
        <w:bidi w:val="0"/>
        <w:rPr>
          <w:highlight w:val="none"/>
        </w:rPr>
      </w:pPr>
    </w:p>
    <w:p w14:paraId="3213C5D4">
      <w:pPr>
        <w:bidi w:val="0"/>
        <w:rPr>
          <w:highlight w:val="none"/>
        </w:rPr>
      </w:pPr>
    </w:p>
    <w:p w14:paraId="2AD8E73E">
      <w:pPr>
        <w:bidi w:val="0"/>
        <w:rPr>
          <w:highlight w:val="none"/>
        </w:rPr>
      </w:pPr>
    </w:p>
    <w:p w14:paraId="577634A0">
      <w:pPr>
        <w:pStyle w:val="11"/>
        <w:ind w:left="0" w:leftChars="0" w:firstLine="0" w:firstLineChars="0"/>
        <w:rPr>
          <w:rFonts w:ascii="宋体" w:hAnsi="宋体" w:cs="宋体"/>
          <w:b/>
          <w:bCs/>
          <w:color w:val="000000"/>
          <w:sz w:val="36"/>
          <w:szCs w:val="36"/>
          <w:highlight w:val="none"/>
        </w:rPr>
      </w:pPr>
    </w:p>
    <w:p w14:paraId="1A72E073">
      <w:pPr>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0" w:firstLineChars="0"/>
        <w:jc w:val="center"/>
        <w:textAlignment w:val="auto"/>
        <w:outlineLvl w:val="9"/>
        <w:rPr>
          <w:rFonts w:hint="eastAsia" w:ascii="宋体" w:hAnsi="宋体" w:eastAsia="宋体" w:cs="宋体"/>
          <w:b/>
          <w:bCs/>
          <w:color w:val="000000"/>
          <w:sz w:val="36"/>
          <w:szCs w:val="36"/>
          <w:highlight w:val="none"/>
          <w:lang w:eastAsia="zh-CN"/>
        </w:rPr>
      </w:pPr>
    </w:p>
    <w:p w14:paraId="43C861C8">
      <w:pPr>
        <w:pStyle w:val="16"/>
        <w:rPr>
          <w:rFonts w:hint="eastAsia"/>
          <w:highlight w:val="none"/>
          <w:lang w:eastAsia="zh-CN"/>
        </w:rPr>
      </w:pPr>
    </w:p>
    <w:p w14:paraId="582CFAC3">
      <w:pPr>
        <w:pStyle w:val="27"/>
        <w:rPr>
          <w:rFonts w:ascii="宋体" w:hAnsi="宋体" w:cs="宋体"/>
          <w:b/>
          <w:bCs/>
          <w:color w:val="000000"/>
          <w:sz w:val="36"/>
          <w:szCs w:val="36"/>
          <w:highlight w:val="none"/>
        </w:rPr>
      </w:pPr>
    </w:p>
    <w:p w14:paraId="1A1E3276">
      <w:pPr>
        <w:pStyle w:val="27"/>
        <w:rPr>
          <w:rFonts w:ascii="宋体" w:hAnsi="宋体" w:cs="宋体"/>
          <w:b/>
          <w:bCs/>
          <w:color w:val="000000"/>
          <w:sz w:val="36"/>
          <w:szCs w:val="36"/>
          <w:highlight w:val="none"/>
        </w:rPr>
      </w:pPr>
    </w:p>
    <w:p w14:paraId="28F83C95">
      <w:pPr>
        <w:pStyle w:val="27"/>
        <w:rPr>
          <w:rFonts w:ascii="宋体" w:hAnsi="宋体" w:cs="宋体"/>
          <w:b/>
          <w:bCs/>
          <w:color w:val="000000"/>
          <w:sz w:val="36"/>
          <w:szCs w:val="36"/>
          <w:highlight w:val="none"/>
        </w:rPr>
      </w:pPr>
    </w:p>
    <w:p w14:paraId="4CB5203E">
      <w:pPr>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0" w:firstLineChars="0"/>
        <w:jc w:val="center"/>
        <w:textAlignment w:val="auto"/>
        <w:outlineLvl w:val="9"/>
        <w:rPr>
          <w:rFonts w:ascii="宋体" w:hAnsi="宋体" w:cs="宋体"/>
          <w:b/>
          <w:bCs/>
          <w:color w:val="000000"/>
          <w:sz w:val="36"/>
          <w:szCs w:val="36"/>
          <w:highlight w:val="none"/>
        </w:rPr>
      </w:pPr>
    </w:p>
    <w:p w14:paraId="72B8E25D">
      <w:pPr>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0" w:firstLineChars="0"/>
        <w:jc w:val="center"/>
        <w:textAlignment w:val="auto"/>
        <w:outlineLvl w:val="9"/>
        <w:rPr>
          <w:rFonts w:ascii="宋体" w:hAnsi="宋体" w:cs="宋体"/>
          <w:b/>
          <w:bCs/>
          <w:color w:val="000000"/>
          <w:sz w:val="36"/>
          <w:szCs w:val="36"/>
          <w:highlight w:val="none"/>
        </w:rPr>
      </w:pPr>
    </w:p>
    <w:p w14:paraId="3CBB038B">
      <w:pPr>
        <w:pStyle w:val="38"/>
        <w:rPr>
          <w:rFonts w:ascii="宋体" w:hAnsi="宋体" w:cs="宋体"/>
          <w:b/>
          <w:bCs/>
          <w:color w:val="000000"/>
          <w:sz w:val="36"/>
          <w:szCs w:val="36"/>
          <w:highlight w:val="none"/>
        </w:rPr>
      </w:pPr>
    </w:p>
    <w:p w14:paraId="7F137311">
      <w:pPr>
        <w:rPr>
          <w:rFonts w:ascii="宋体" w:hAnsi="宋体" w:cs="宋体"/>
          <w:b/>
          <w:bCs/>
          <w:color w:val="000000"/>
          <w:sz w:val="36"/>
          <w:szCs w:val="36"/>
          <w:highlight w:val="none"/>
        </w:rPr>
      </w:pPr>
      <w:r>
        <w:rPr>
          <w:rFonts w:ascii="宋体" w:hAnsi="宋体" w:cs="宋体"/>
          <w:b/>
          <w:bCs/>
          <w:color w:val="000000"/>
          <w:sz w:val="36"/>
          <w:szCs w:val="36"/>
          <w:highlight w:val="none"/>
        </w:rPr>
        <w:br w:type="page"/>
      </w:r>
    </w:p>
    <w:p w14:paraId="1324D61B">
      <w:pPr>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0" w:firstLineChars="0"/>
        <w:jc w:val="center"/>
        <w:textAlignment w:val="auto"/>
        <w:outlineLvl w:val="9"/>
        <w:rPr>
          <w:rFonts w:ascii="宋体" w:hAnsi="宋体" w:cs="宋体"/>
          <w:b/>
          <w:bCs/>
          <w:color w:val="000000"/>
          <w:sz w:val="36"/>
          <w:szCs w:val="36"/>
          <w:highlight w:val="none"/>
        </w:rPr>
      </w:pPr>
      <w:r>
        <w:rPr>
          <w:rFonts w:ascii="宋体" w:hAnsi="宋体" w:cs="宋体"/>
          <w:b/>
          <w:bCs/>
          <w:color w:val="000000"/>
          <w:sz w:val="36"/>
          <w:szCs w:val="36"/>
          <w:highlight w:val="none"/>
        </w:rPr>
        <w:t>一、投标函</w:t>
      </w:r>
    </w:p>
    <w:p w14:paraId="69D67229">
      <w:pPr>
        <w:pStyle w:val="24"/>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0" w:firstLineChars="0"/>
        <w:jc w:val="both"/>
        <w:textAlignment w:val="auto"/>
        <w:outlineLvl w:val="9"/>
        <w:rPr>
          <w:rFonts w:hint="eastAsia" w:ascii="新宋体" w:hAnsi="新宋体" w:eastAsia="新宋体"/>
          <w:b/>
          <w:bCs/>
          <w:color w:val="auto"/>
          <w:szCs w:val="28"/>
          <w:highlight w:val="none"/>
          <w:lang w:eastAsia="zh-CN"/>
        </w:rPr>
      </w:pPr>
      <w:r>
        <w:rPr>
          <w:rFonts w:hint="eastAsia" w:ascii="新宋体" w:hAnsi="新宋体" w:eastAsia="新宋体"/>
          <w:b/>
          <w:bCs/>
          <w:color w:val="auto"/>
          <w:szCs w:val="28"/>
          <w:highlight w:val="none"/>
        </w:rPr>
        <w:t>致：</w:t>
      </w:r>
      <w:r>
        <w:rPr>
          <w:rFonts w:hint="eastAsia" w:ascii="新宋体" w:hAnsi="新宋体" w:eastAsia="新宋体"/>
          <w:b/>
          <w:bCs/>
          <w:color w:val="auto"/>
          <w:szCs w:val="28"/>
          <w:highlight w:val="none"/>
          <w:lang w:eastAsia="zh-CN"/>
        </w:rPr>
        <w:t>瑞恒项目管理有限公司</w:t>
      </w:r>
    </w:p>
    <w:p w14:paraId="21E6CD8F">
      <w:pPr>
        <w:pStyle w:val="24"/>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420" w:firstLineChars="0"/>
        <w:jc w:val="both"/>
        <w:textAlignment w:val="auto"/>
        <w:outlineLvl w:val="9"/>
        <w:rPr>
          <w:rFonts w:hint="default" w:ascii="Times New Roman" w:hAnsi="Times New Roman" w:eastAsia="新宋体" w:cs="Times New Roman"/>
          <w:bCs/>
          <w:color w:val="auto"/>
          <w:szCs w:val="28"/>
          <w:highlight w:val="none"/>
        </w:rPr>
      </w:pPr>
      <w:r>
        <w:rPr>
          <w:rFonts w:hint="default" w:ascii="Times New Roman" w:hAnsi="Times New Roman" w:eastAsia="新宋体" w:cs="Times New Roman"/>
          <w:bCs/>
          <w:color w:val="auto"/>
          <w:szCs w:val="28"/>
          <w:highlight w:val="none"/>
        </w:rPr>
        <w:t>我方全面研究了</w:t>
      </w:r>
      <w:r>
        <w:rPr>
          <w:rFonts w:hint="eastAsia" w:ascii="Times New Roman" w:hAnsi="Times New Roman" w:eastAsia="新宋体" w:cs="Times New Roman"/>
          <w:bCs/>
          <w:color w:val="auto"/>
          <w:szCs w:val="28"/>
          <w:highlight w:val="none"/>
          <w:lang w:eastAsia="zh-CN"/>
        </w:rPr>
        <w:t>“</w:t>
      </w:r>
      <w:r>
        <w:rPr>
          <w:rFonts w:hint="default" w:ascii="Times New Roman" w:hAnsi="Times New Roman" w:eastAsia="新宋体" w:cs="Times New Roman"/>
          <w:bCs/>
          <w:color w:val="auto"/>
          <w:szCs w:val="28"/>
          <w:highlight w:val="none"/>
          <w:u w:val="single"/>
        </w:rPr>
        <w:t xml:space="preserve">                         </w:t>
      </w:r>
      <w:r>
        <w:rPr>
          <w:rFonts w:hint="eastAsia" w:ascii="Times New Roman" w:hAnsi="Times New Roman" w:eastAsia="新宋体" w:cs="Times New Roman"/>
          <w:bCs/>
          <w:color w:val="auto"/>
          <w:szCs w:val="28"/>
          <w:highlight w:val="none"/>
          <w:lang w:eastAsia="zh-CN"/>
        </w:rPr>
        <w:t>”</w:t>
      </w:r>
      <w:r>
        <w:rPr>
          <w:rFonts w:hint="default" w:ascii="Times New Roman" w:hAnsi="Times New Roman" w:eastAsia="新宋体" w:cs="Times New Roman"/>
          <w:bCs/>
          <w:color w:val="auto"/>
          <w:szCs w:val="28"/>
          <w:highlight w:val="none"/>
        </w:rPr>
        <w:t>采购项目招标文件（</w:t>
      </w:r>
      <w:r>
        <w:rPr>
          <w:rFonts w:hint="eastAsia" w:ascii="Times New Roman" w:hAnsi="Times New Roman" w:eastAsia="新宋体" w:cs="Times New Roman"/>
          <w:bCs/>
          <w:color w:val="auto"/>
          <w:szCs w:val="28"/>
          <w:highlight w:val="none"/>
          <w:lang w:eastAsia="zh-CN"/>
        </w:rPr>
        <w:t>RHAKCG-20260730</w:t>
      </w:r>
      <w:r>
        <w:rPr>
          <w:rFonts w:hint="default" w:ascii="Times New Roman" w:hAnsi="Times New Roman" w:eastAsia="新宋体" w:cs="Times New Roman"/>
          <w:bCs/>
          <w:color w:val="auto"/>
          <w:szCs w:val="28"/>
          <w:highlight w:val="none"/>
        </w:rPr>
        <w:t>）的全部内容，知悉参加投标的风险，我方承诺接受招标文件的全部条款且无任何异议，决定参加贵单位组织的本项目招标。我方正式授权</w:t>
      </w:r>
      <w:r>
        <w:rPr>
          <w:rFonts w:hint="default" w:ascii="Times New Roman" w:hAnsi="Times New Roman" w:eastAsia="新宋体" w:cs="Times New Roman"/>
          <w:bCs/>
          <w:color w:val="auto"/>
          <w:szCs w:val="28"/>
          <w:highlight w:val="none"/>
          <w:u w:val="single"/>
        </w:rPr>
        <w:t>（姓名、职务）</w:t>
      </w:r>
      <w:r>
        <w:rPr>
          <w:rFonts w:hint="default" w:ascii="Times New Roman" w:hAnsi="Times New Roman" w:eastAsia="新宋体" w:cs="Times New Roman"/>
          <w:bCs/>
          <w:color w:val="auto"/>
          <w:szCs w:val="28"/>
          <w:highlight w:val="none"/>
        </w:rPr>
        <w:t>代表我方</w:t>
      </w:r>
      <w:r>
        <w:rPr>
          <w:rFonts w:hint="default" w:ascii="Times New Roman" w:hAnsi="Times New Roman" w:eastAsia="新宋体" w:cs="Times New Roman"/>
          <w:bCs/>
          <w:color w:val="auto"/>
          <w:szCs w:val="28"/>
          <w:highlight w:val="none"/>
          <w:u w:val="single"/>
        </w:rPr>
        <w:t xml:space="preserve">         </w:t>
      </w:r>
      <w:r>
        <w:rPr>
          <w:rFonts w:hint="default" w:ascii="Times New Roman" w:hAnsi="Times New Roman" w:eastAsia="新宋体" w:cs="Times New Roman"/>
          <w:bCs/>
          <w:color w:val="auto"/>
          <w:szCs w:val="28"/>
          <w:highlight w:val="none"/>
        </w:rPr>
        <w:t>（投标单位的名称）全权处理本项目投标的有关事宜。</w:t>
      </w:r>
    </w:p>
    <w:p w14:paraId="149E3145">
      <w:pPr>
        <w:pStyle w:val="24"/>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420" w:firstLineChars="0"/>
        <w:jc w:val="both"/>
        <w:textAlignment w:val="auto"/>
        <w:outlineLvl w:val="9"/>
        <w:rPr>
          <w:rFonts w:hint="default" w:ascii="Times New Roman" w:hAnsi="Times New Roman" w:eastAsia="新宋体" w:cs="Times New Roman"/>
          <w:bCs/>
          <w:color w:val="auto"/>
          <w:szCs w:val="28"/>
          <w:highlight w:val="none"/>
        </w:rPr>
      </w:pPr>
      <w:r>
        <w:rPr>
          <w:rFonts w:hint="default" w:ascii="Times New Roman" w:hAnsi="Times New Roman" w:eastAsia="新宋体" w:cs="Times New Roman"/>
          <w:bCs/>
          <w:color w:val="auto"/>
          <w:szCs w:val="28"/>
          <w:highlight w:val="none"/>
        </w:rPr>
        <w:t>在此，我方郑重声明以下诸点</w:t>
      </w:r>
      <w:r>
        <w:rPr>
          <w:rFonts w:hint="eastAsia" w:ascii="Times New Roman" w:hAnsi="Times New Roman" w:eastAsia="新宋体" w:cs="Times New Roman"/>
          <w:bCs/>
          <w:color w:val="auto"/>
          <w:szCs w:val="28"/>
          <w:highlight w:val="none"/>
          <w:lang w:eastAsia="zh-CN"/>
        </w:rPr>
        <w:t>，</w:t>
      </w:r>
      <w:r>
        <w:rPr>
          <w:rFonts w:hint="default" w:ascii="Times New Roman" w:hAnsi="Times New Roman" w:eastAsia="新宋体" w:cs="Times New Roman"/>
          <w:bCs/>
          <w:color w:val="auto"/>
          <w:szCs w:val="28"/>
          <w:highlight w:val="none"/>
        </w:rPr>
        <w:t>并负法律责任。</w:t>
      </w:r>
    </w:p>
    <w:p w14:paraId="53D6FC40">
      <w:pPr>
        <w:pStyle w:val="24"/>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420" w:firstLineChars="0"/>
        <w:jc w:val="both"/>
        <w:textAlignment w:val="auto"/>
        <w:outlineLvl w:val="9"/>
        <w:rPr>
          <w:rFonts w:hint="default" w:ascii="Times New Roman" w:hAnsi="Times New Roman" w:eastAsia="新宋体" w:cs="Times New Roman"/>
          <w:bCs/>
          <w:color w:val="auto"/>
          <w:szCs w:val="28"/>
          <w:highlight w:val="none"/>
        </w:rPr>
      </w:pPr>
      <w:r>
        <w:rPr>
          <w:rFonts w:hint="eastAsia" w:ascii="Times New Roman" w:hAnsi="Times New Roman" w:eastAsia="新宋体" w:cs="Times New Roman"/>
          <w:bCs/>
          <w:color w:val="auto"/>
          <w:szCs w:val="28"/>
          <w:highlight w:val="none"/>
          <w:lang w:val="en-US" w:eastAsia="zh-CN"/>
        </w:rPr>
        <w:t>1</w:t>
      </w:r>
      <w:r>
        <w:rPr>
          <w:rFonts w:hint="default" w:ascii="Times New Roman" w:hAnsi="Times New Roman" w:eastAsia="新宋体" w:cs="Times New Roman"/>
          <w:bCs/>
          <w:color w:val="auto"/>
          <w:szCs w:val="28"/>
          <w:highlight w:val="none"/>
        </w:rPr>
        <w:t>、按照招标文件的规定，我方</w:t>
      </w:r>
      <w:r>
        <w:rPr>
          <w:rFonts w:hint="eastAsia" w:ascii="Times New Roman" w:hAnsi="Times New Roman" w:eastAsia="新宋体" w:cs="Times New Roman"/>
          <w:bCs/>
          <w:color w:val="auto"/>
          <w:szCs w:val="28"/>
          <w:highlight w:val="none"/>
          <w:lang w:eastAsia="zh-CN"/>
        </w:rPr>
        <w:t>投标报价</w:t>
      </w:r>
      <w:r>
        <w:rPr>
          <w:rFonts w:hint="default" w:ascii="Times New Roman" w:hAnsi="Times New Roman" w:eastAsia="新宋体" w:cs="Times New Roman"/>
          <w:bCs/>
          <w:color w:val="auto"/>
          <w:szCs w:val="28"/>
          <w:highlight w:val="none"/>
        </w:rPr>
        <w:t>为人民币：</w:t>
      </w:r>
      <w:r>
        <w:rPr>
          <w:rFonts w:hint="default" w:ascii="Arial" w:hAnsi="Arial" w:eastAsia="新宋体" w:cs="Arial"/>
          <w:bCs/>
          <w:color w:val="auto"/>
          <w:szCs w:val="28"/>
          <w:highlight w:val="none"/>
        </w:rPr>
        <w:t>¥</w:t>
      </w:r>
      <w:r>
        <w:rPr>
          <w:rFonts w:hint="default" w:ascii="Times New Roman" w:hAnsi="Times New Roman" w:eastAsia="新宋体" w:cs="Times New Roman"/>
          <w:bCs/>
          <w:color w:val="auto"/>
          <w:szCs w:val="28"/>
          <w:highlight w:val="none"/>
          <w:u w:val="single"/>
        </w:rPr>
        <w:t xml:space="preserve">          </w:t>
      </w:r>
      <w:r>
        <w:rPr>
          <w:rFonts w:hint="eastAsia" w:ascii="Times New Roman" w:hAnsi="Times New Roman" w:eastAsia="新宋体" w:cs="Times New Roman"/>
          <w:bCs/>
          <w:color w:val="auto"/>
          <w:szCs w:val="28"/>
          <w:highlight w:val="none"/>
          <w:u w:val="single"/>
          <w:lang w:val="en-US" w:eastAsia="zh-CN"/>
        </w:rPr>
        <w:t>元</w:t>
      </w:r>
      <w:r>
        <w:rPr>
          <w:rFonts w:hint="default" w:ascii="Times New Roman" w:hAnsi="Times New Roman" w:eastAsia="新宋体" w:cs="Times New Roman"/>
          <w:bCs/>
          <w:color w:val="auto"/>
          <w:szCs w:val="28"/>
          <w:highlight w:val="none"/>
        </w:rPr>
        <w:t>（大写：</w:t>
      </w:r>
      <w:r>
        <w:rPr>
          <w:rFonts w:hint="default" w:ascii="Times New Roman" w:hAnsi="Times New Roman" w:eastAsia="新宋体" w:cs="Times New Roman"/>
          <w:bCs/>
          <w:color w:val="auto"/>
          <w:szCs w:val="28"/>
          <w:highlight w:val="none"/>
          <w:u w:val="single"/>
        </w:rPr>
        <w:t xml:space="preserve">            </w:t>
      </w:r>
      <w:r>
        <w:rPr>
          <w:rFonts w:hint="default" w:ascii="Times New Roman" w:hAnsi="Times New Roman" w:eastAsia="新宋体" w:cs="Times New Roman"/>
          <w:bCs/>
          <w:color w:val="auto"/>
          <w:szCs w:val="28"/>
          <w:highlight w:val="none"/>
        </w:rPr>
        <w:t>）。</w:t>
      </w:r>
    </w:p>
    <w:p w14:paraId="551923EE">
      <w:pPr>
        <w:pStyle w:val="24"/>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420" w:firstLineChars="0"/>
        <w:jc w:val="both"/>
        <w:textAlignment w:val="auto"/>
        <w:outlineLvl w:val="9"/>
        <w:rPr>
          <w:rFonts w:hint="default" w:ascii="Times New Roman" w:hAnsi="Times New Roman" w:eastAsia="新宋体" w:cs="Times New Roman"/>
          <w:bCs/>
          <w:color w:val="auto"/>
          <w:szCs w:val="28"/>
          <w:highlight w:val="none"/>
        </w:rPr>
      </w:pPr>
      <w:r>
        <w:rPr>
          <w:rFonts w:hint="eastAsia" w:ascii="Times New Roman" w:hAnsi="Times New Roman" w:eastAsia="新宋体" w:cs="Times New Roman"/>
          <w:bCs/>
          <w:color w:val="auto"/>
          <w:szCs w:val="28"/>
          <w:highlight w:val="none"/>
          <w:lang w:val="en-US" w:eastAsia="zh-CN"/>
        </w:rPr>
        <w:t>2、</w:t>
      </w:r>
      <w:r>
        <w:rPr>
          <w:rFonts w:hint="default" w:ascii="Times New Roman" w:hAnsi="Times New Roman" w:eastAsia="新宋体" w:cs="Times New Roman"/>
          <w:bCs/>
          <w:color w:val="auto"/>
          <w:szCs w:val="28"/>
          <w:highlight w:val="none"/>
        </w:rPr>
        <w:t>如果</w:t>
      </w:r>
      <w:r>
        <w:rPr>
          <w:rFonts w:hint="eastAsia" w:ascii="Times New Roman" w:hAnsi="Times New Roman" w:eastAsia="新宋体" w:cs="Times New Roman"/>
          <w:bCs/>
          <w:color w:val="auto"/>
          <w:szCs w:val="28"/>
          <w:highlight w:val="none"/>
          <w:lang w:eastAsia="zh-CN"/>
        </w:rPr>
        <w:t>我方</w:t>
      </w:r>
      <w:r>
        <w:rPr>
          <w:rFonts w:hint="default" w:ascii="Times New Roman" w:hAnsi="Times New Roman" w:eastAsia="新宋体" w:cs="Times New Roman"/>
          <w:bCs/>
          <w:color w:val="auto"/>
          <w:szCs w:val="28"/>
          <w:highlight w:val="none"/>
        </w:rPr>
        <w:t>中标，我</w:t>
      </w:r>
      <w:r>
        <w:rPr>
          <w:rFonts w:hint="eastAsia" w:ascii="Times New Roman" w:hAnsi="Times New Roman" w:eastAsia="新宋体" w:cs="Times New Roman"/>
          <w:bCs/>
          <w:color w:val="auto"/>
          <w:szCs w:val="28"/>
          <w:highlight w:val="none"/>
          <w:lang w:eastAsia="zh-CN"/>
        </w:rPr>
        <w:t>方</w:t>
      </w:r>
      <w:r>
        <w:rPr>
          <w:rFonts w:hint="default" w:ascii="Times New Roman" w:hAnsi="Times New Roman" w:eastAsia="新宋体" w:cs="Times New Roman"/>
          <w:bCs/>
          <w:color w:val="auto"/>
          <w:szCs w:val="28"/>
          <w:highlight w:val="none"/>
        </w:rPr>
        <w:t>根据招标文件的规定，履行合同的责任和义务；</w:t>
      </w:r>
    </w:p>
    <w:p w14:paraId="494120EB">
      <w:pPr>
        <w:pStyle w:val="24"/>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420" w:firstLineChars="200"/>
        <w:jc w:val="both"/>
        <w:textAlignment w:val="auto"/>
        <w:outlineLvl w:val="9"/>
        <w:rPr>
          <w:rFonts w:hint="default" w:ascii="Times New Roman" w:hAnsi="Times New Roman" w:eastAsia="新宋体" w:cs="Times New Roman"/>
          <w:bCs/>
          <w:color w:val="auto"/>
          <w:szCs w:val="28"/>
          <w:highlight w:val="none"/>
        </w:rPr>
      </w:pPr>
      <w:r>
        <w:rPr>
          <w:rFonts w:hint="eastAsia" w:ascii="Times New Roman" w:hAnsi="Times New Roman" w:eastAsia="新宋体" w:cs="Times New Roman"/>
          <w:bCs/>
          <w:color w:val="auto"/>
          <w:szCs w:val="28"/>
          <w:highlight w:val="none"/>
          <w:lang w:val="en-US" w:eastAsia="zh-CN"/>
        </w:rPr>
        <w:t>3</w:t>
      </w:r>
      <w:r>
        <w:rPr>
          <w:rFonts w:hint="default" w:ascii="Times New Roman" w:hAnsi="Times New Roman" w:eastAsia="新宋体" w:cs="Times New Roman"/>
          <w:bCs/>
          <w:color w:val="auto"/>
          <w:szCs w:val="28"/>
          <w:highlight w:val="none"/>
        </w:rPr>
        <w:t>、我方已仔细阅读了招标文件的全部内容</w:t>
      </w:r>
      <w:r>
        <w:rPr>
          <w:rFonts w:hint="eastAsia" w:ascii="Times New Roman" w:hAnsi="Times New Roman" w:eastAsia="新宋体" w:cs="Times New Roman"/>
          <w:bCs/>
          <w:color w:val="auto"/>
          <w:szCs w:val="28"/>
          <w:highlight w:val="none"/>
          <w:lang w:eastAsia="zh-CN"/>
        </w:rPr>
        <w:t>（含修改部分，如有的话）</w:t>
      </w:r>
      <w:r>
        <w:rPr>
          <w:rFonts w:hint="default" w:ascii="Times New Roman" w:hAnsi="Times New Roman" w:eastAsia="新宋体" w:cs="Times New Roman"/>
          <w:bCs/>
          <w:color w:val="auto"/>
          <w:szCs w:val="28"/>
          <w:highlight w:val="none"/>
        </w:rPr>
        <w:t>，完全理解并放弃提出含糊不清或易形成歧义的表述和资料</w:t>
      </w:r>
      <w:r>
        <w:rPr>
          <w:rFonts w:hint="eastAsia" w:ascii="Times New Roman" w:hAnsi="Times New Roman" w:eastAsia="新宋体" w:cs="Times New Roman"/>
          <w:bCs/>
          <w:color w:val="auto"/>
          <w:szCs w:val="28"/>
          <w:highlight w:val="none"/>
          <w:lang w:eastAsia="zh-CN"/>
        </w:rPr>
        <w:t>，</w:t>
      </w:r>
      <w:r>
        <w:rPr>
          <w:rFonts w:hint="default" w:ascii="Times New Roman" w:hAnsi="Times New Roman" w:eastAsia="新宋体" w:cs="Times New Roman"/>
          <w:bCs/>
          <w:color w:val="auto"/>
          <w:szCs w:val="28"/>
          <w:highlight w:val="none"/>
        </w:rPr>
        <w:t>同意和放弃对招标文件不明或误解而询问、质疑和投诉的权利。</w:t>
      </w:r>
    </w:p>
    <w:p w14:paraId="08A71164">
      <w:pPr>
        <w:pStyle w:val="24"/>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both"/>
        <w:textAlignment w:val="auto"/>
        <w:outlineLvl w:val="9"/>
        <w:rPr>
          <w:rFonts w:hint="default" w:ascii="Times New Roman" w:hAnsi="Times New Roman" w:eastAsia="新宋体" w:cs="Times New Roman"/>
          <w:bCs/>
          <w:color w:val="auto"/>
          <w:szCs w:val="28"/>
          <w:highlight w:val="none"/>
        </w:rPr>
      </w:pPr>
      <w:r>
        <w:rPr>
          <w:rFonts w:hint="default" w:ascii="Times New Roman" w:hAnsi="Times New Roman" w:eastAsia="新宋体" w:cs="Times New Roman"/>
          <w:bCs/>
          <w:color w:val="auto"/>
          <w:szCs w:val="28"/>
          <w:highlight w:val="none"/>
          <w:lang w:val="en-US" w:eastAsia="zh-CN"/>
        </w:rPr>
        <w:t xml:space="preserve">    </w:t>
      </w:r>
      <w:r>
        <w:rPr>
          <w:rFonts w:hint="eastAsia" w:ascii="Times New Roman" w:hAnsi="Times New Roman" w:eastAsia="新宋体" w:cs="Times New Roman"/>
          <w:bCs/>
          <w:color w:val="auto"/>
          <w:szCs w:val="28"/>
          <w:highlight w:val="none"/>
          <w:lang w:val="en-US" w:eastAsia="zh-CN"/>
        </w:rPr>
        <w:t>4</w:t>
      </w:r>
      <w:r>
        <w:rPr>
          <w:rFonts w:hint="default" w:ascii="Times New Roman" w:hAnsi="Times New Roman" w:eastAsia="新宋体" w:cs="Times New Roman"/>
          <w:bCs/>
          <w:color w:val="auto"/>
          <w:szCs w:val="28"/>
          <w:highlight w:val="none"/>
        </w:rPr>
        <w:t>、开标后在规定的投标有效期内撤回投标，我们愿接受政府采购的有关处罚决定。</w:t>
      </w:r>
    </w:p>
    <w:p w14:paraId="60F45594">
      <w:pPr>
        <w:pStyle w:val="24"/>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420" w:firstLineChars="0"/>
        <w:jc w:val="both"/>
        <w:textAlignment w:val="auto"/>
        <w:outlineLvl w:val="9"/>
        <w:rPr>
          <w:rFonts w:hint="default" w:ascii="Times New Roman" w:hAnsi="Times New Roman" w:eastAsia="新宋体" w:cs="Times New Roman"/>
          <w:bCs/>
          <w:color w:val="auto"/>
          <w:szCs w:val="28"/>
          <w:highlight w:val="none"/>
        </w:rPr>
      </w:pPr>
      <w:r>
        <w:rPr>
          <w:rFonts w:hint="eastAsia" w:ascii="Times New Roman" w:hAnsi="Times New Roman" w:eastAsia="新宋体" w:cs="Times New Roman"/>
          <w:bCs/>
          <w:color w:val="auto"/>
          <w:szCs w:val="28"/>
          <w:highlight w:val="none"/>
          <w:lang w:val="en-US" w:eastAsia="zh-CN"/>
        </w:rPr>
        <w:t>5</w:t>
      </w:r>
      <w:r>
        <w:rPr>
          <w:rFonts w:hint="default" w:ascii="Times New Roman" w:hAnsi="Times New Roman" w:eastAsia="新宋体" w:cs="Times New Roman"/>
          <w:bCs/>
          <w:color w:val="auto"/>
          <w:szCs w:val="28"/>
          <w:highlight w:val="none"/>
        </w:rPr>
        <w:t>、同意向贵方提供可能要求的，与本次投标有关的任何证据或资料，并保证我方已提供和将要提供的文件资料是真实、准确的</w:t>
      </w:r>
      <w:r>
        <w:rPr>
          <w:rFonts w:hint="eastAsia" w:ascii="Times New Roman" w:hAnsi="Times New Roman" w:eastAsia="新宋体" w:cs="Times New Roman"/>
          <w:bCs/>
          <w:color w:val="auto"/>
          <w:szCs w:val="28"/>
          <w:highlight w:val="none"/>
          <w:lang w:eastAsia="zh-CN"/>
        </w:rPr>
        <w:t>，</w:t>
      </w:r>
      <w:r>
        <w:rPr>
          <w:rFonts w:hint="default" w:ascii="Times New Roman" w:hAnsi="Times New Roman" w:eastAsia="新宋体" w:cs="Times New Roman"/>
          <w:bCs/>
          <w:color w:val="auto"/>
          <w:szCs w:val="28"/>
          <w:highlight w:val="none"/>
        </w:rPr>
        <w:t>否则，愿承担《中华人民共和国政府采购法》第七十七条规定的法律责任。我们完全理解最低投标报价不作为中标的唯一条件，且尊重评标委员会的评标结论和定标结果。</w:t>
      </w:r>
    </w:p>
    <w:p w14:paraId="3FF0CF66">
      <w:pPr>
        <w:pStyle w:val="24"/>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both"/>
        <w:textAlignment w:val="auto"/>
        <w:outlineLvl w:val="9"/>
        <w:rPr>
          <w:rFonts w:hint="default" w:ascii="Times New Roman" w:hAnsi="Times New Roman" w:eastAsia="新宋体" w:cs="Times New Roman"/>
          <w:bCs/>
          <w:color w:val="auto"/>
          <w:szCs w:val="28"/>
          <w:highlight w:val="none"/>
        </w:rPr>
      </w:pPr>
      <w:r>
        <w:rPr>
          <w:rFonts w:hint="default" w:ascii="Times New Roman" w:hAnsi="Times New Roman" w:eastAsia="新宋体" w:cs="Times New Roman"/>
          <w:bCs/>
          <w:color w:val="auto"/>
          <w:szCs w:val="28"/>
          <w:highlight w:val="none"/>
          <w:lang w:val="en-US" w:eastAsia="zh-CN"/>
        </w:rPr>
        <w:t xml:space="preserve">   </w:t>
      </w:r>
      <w:r>
        <w:rPr>
          <w:rFonts w:hint="eastAsia" w:ascii="Times New Roman" w:hAnsi="Times New Roman" w:eastAsia="新宋体" w:cs="Times New Roman"/>
          <w:bCs/>
          <w:color w:val="auto"/>
          <w:szCs w:val="28"/>
          <w:highlight w:val="none"/>
          <w:lang w:val="en-US" w:eastAsia="zh-CN"/>
        </w:rPr>
        <w:t xml:space="preserve"> 6</w:t>
      </w:r>
      <w:r>
        <w:rPr>
          <w:rFonts w:hint="default" w:ascii="Times New Roman" w:hAnsi="Times New Roman" w:eastAsia="新宋体" w:cs="Times New Roman"/>
          <w:bCs/>
          <w:color w:val="auto"/>
          <w:szCs w:val="28"/>
          <w:highlight w:val="none"/>
        </w:rPr>
        <w:t>、我方的投标文件</w:t>
      </w:r>
      <w:r>
        <w:rPr>
          <w:rFonts w:hint="eastAsia" w:ascii="Times New Roman" w:hAnsi="Times New Roman" w:eastAsia="新宋体" w:cs="Times New Roman"/>
          <w:bCs/>
          <w:color w:val="auto"/>
          <w:szCs w:val="28"/>
          <w:highlight w:val="none"/>
          <w:lang w:eastAsia="zh-CN"/>
        </w:rPr>
        <w:t>在自</w:t>
      </w:r>
      <w:r>
        <w:rPr>
          <w:rFonts w:hint="default" w:ascii="Times New Roman" w:hAnsi="Times New Roman" w:eastAsia="新宋体" w:cs="Times New Roman"/>
          <w:bCs/>
          <w:color w:val="auto"/>
          <w:szCs w:val="28"/>
          <w:highlight w:val="none"/>
        </w:rPr>
        <w:t>开标</w:t>
      </w:r>
      <w:r>
        <w:rPr>
          <w:rFonts w:hint="eastAsia" w:ascii="Times New Roman" w:hAnsi="Times New Roman" w:eastAsia="新宋体" w:cs="Times New Roman"/>
          <w:bCs/>
          <w:color w:val="auto"/>
          <w:szCs w:val="28"/>
          <w:highlight w:val="none"/>
          <w:lang w:eastAsia="zh-CN"/>
        </w:rPr>
        <w:t>之日起</w:t>
      </w:r>
      <w:r>
        <w:rPr>
          <w:rFonts w:hint="default" w:ascii="Times New Roman" w:hAnsi="Times New Roman" w:eastAsia="新宋体" w:cs="Times New Roman"/>
          <w:bCs/>
          <w:color w:val="auto"/>
          <w:szCs w:val="28"/>
          <w:highlight w:val="none"/>
        </w:rPr>
        <w:t>有效期为90个日历天，若我方中标，投标文件有效期延长至合同执行完毕。</w:t>
      </w:r>
    </w:p>
    <w:p w14:paraId="4A208B95">
      <w:pPr>
        <w:pStyle w:val="24"/>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420" w:firstLineChars="0"/>
        <w:jc w:val="both"/>
        <w:textAlignment w:val="auto"/>
        <w:outlineLvl w:val="9"/>
        <w:rPr>
          <w:rFonts w:hint="default" w:ascii="Times New Roman" w:hAnsi="Times New Roman" w:eastAsia="新宋体" w:cs="Times New Roman"/>
          <w:bCs/>
          <w:color w:val="auto"/>
          <w:szCs w:val="28"/>
          <w:highlight w:val="none"/>
        </w:rPr>
      </w:pPr>
      <w:r>
        <w:rPr>
          <w:rFonts w:hint="eastAsia" w:ascii="Times New Roman" w:hAnsi="Times New Roman" w:eastAsia="新宋体" w:cs="Times New Roman"/>
          <w:bCs/>
          <w:color w:val="auto"/>
          <w:szCs w:val="28"/>
          <w:highlight w:val="none"/>
          <w:lang w:val="en-US" w:eastAsia="zh-CN"/>
        </w:rPr>
        <w:t>7、</w:t>
      </w:r>
      <w:r>
        <w:rPr>
          <w:rFonts w:hint="default" w:ascii="Times New Roman" w:hAnsi="Times New Roman" w:eastAsia="新宋体" w:cs="Times New Roman"/>
          <w:bCs/>
          <w:color w:val="auto"/>
          <w:szCs w:val="28"/>
          <w:highlight w:val="none"/>
        </w:rPr>
        <w:t>有关本项目的所有函电，请按下列地址联系：</w:t>
      </w:r>
    </w:p>
    <w:p w14:paraId="110C3E60">
      <w:pPr>
        <w:pStyle w:val="24"/>
        <w:keepNext w:val="0"/>
        <w:keepLines w:val="0"/>
        <w:pageBreakBefore w:val="0"/>
        <w:widowControl w:val="0"/>
        <w:numPr>
          <w:ilvl w:val="0"/>
          <w:numId w:val="0"/>
        </w:numPr>
        <w:kinsoku/>
        <w:wordWrap/>
        <w:overflowPunct/>
        <w:topLinePunct w:val="0"/>
        <w:autoSpaceDE/>
        <w:autoSpaceDN/>
        <w:bidi w:val="0"/>
        <w:adjustRightInd/>
        <w:snapToGrid/>
        <w:spacing w:line="400" w:lineRule="exact"/>
        <w:ind w:right="0" w:rightChars="0"/>
        <w:jc w:val="both"/>
        <w:textAlignment w:val="auto"/>
        <w:outlineLvl w:val="9"/>
        <w:rPr>
          <w:rFonts w:hint="default" w:ascii="Times New Roman" w:hAnsi="Times New Roman" w:eastAsia="新宋体" w:cs="Times New Roman"/>
          <w:bCs/>
          <w:color w:val="auto"/>
          <w:szCs w:val="28"/>
          <w:highlight w:val="none"/>
        </w:rPr>
      </w:pPr>
    </w:p>
    <w:p w14:paraId="2DB39038">
      <w:pPr>
        <w:pStyle w:val="24"/>
        <w:keepNext w:val="0"/>
        <w:keepLines w:val="0"/>
        <w:pageBreakBefore w:val="0"/>
        <w:widowControl w:val="0"/>
        <w:kinsoku/>
        <w:wordWrap/>
        <w:overflowPunct/>
        <w:topLinePunct w:val="0"/>
        <w:autoSpaceDE/>
        <w:autoSpaceDN/>
        <w:bidi w:val="0"/>
        <w:adjustRightInd/>
        <w:snapToGrid/>
        <w:spacing w:line="420" w:lineRule="exact"/>
        <w:ind w:left="0" w:leftChars="0" w:right="0" w:rightChars="0" w:firstLine="0"/>
        <w:jc w:val="both"/>
        <w:textAlignment w:val="auto"/>
        <w:outlineLvl w:val="9"/>
        <w:rPr>
          <w:rFonts w:hint="default" w:ascii="Times New Roman" w:hAnsi="Times New Roman" w:eastAsia="新宋体" w:cs="Times New Roman"/>
          <w:bCs/>
          <w:color w:val="auto"/>
          <w:szCs w:val="28"/>
          <w:highlight w:val="none"/>
        </w:rPr>
      </w:pPr>
      <w:r>
        <w:rPr>
          <w:rFonts w:hint="default" w:ascii="Times New Roman" w:hAnsi="Times New Roman" w:eastAsia="新宋体" w:cs="Times New Roman"/>
          <w:bCs/>
          <w:color w:val="auto"/>
          <w:szCs w:val="28"/>
          <w:highlight w:val="none"/>
        </w:rPr>
        <w:t xml:space="preserve">                        </w:t>
      </w:r>
      <w:r>
        <w:rPr>
          <w:rFonts w:hint="eastAsia" w:ascii="Times New Roman" w:hAnsi="Times New Roman" w:eastAsia="新宋体" w:cs="Times New Roman"/>
          <w:bCs/>
          <w:color w:val="auto"/>
          <w:szCs w:val="28"/>
          <w:highlight w:val="none"/>
          <w:lang w:val="en-US" w:eastAsia="zh-CN"/>
        </w:rPr>
        <w:t xml:space="preserve">                      </w:t>
      </w:r>
      <w:r>
        <w:rPr>
          <w:rFonts w:hint="default" w:ascii="Times New Roman" w:hAnsi="Times New Roman" w:eastAsia="新宋体" w:cs="Times New Roman"/>
          <w:bCs/>
          <w:color w:val="auto"/>
          <w:szCs w:val="28"/>
          <w:highlight w:val="none"/>
        </w:rPr>
        <w:t>投标人名称：</w:t>
      </w:r>
      <w:r>
        <w:rPr>
          <w:rFonts w:hint="default" w:ascii="Times New Roman" w:hAnsi="Times New Roman" w:eastAsia="新宋体" w:cs="Times New Roman"/>
          <w:bCs/>
          <w:color w:val="auto"/>
          <w:szCs w:val="28"/>
          <w:highlight w:val="none"/>
          <w:u w:val="single"/>
        </w:rPr>
        <w:t xml:space="preserve">           </w:t>
      </w:r>
      <w:r>
        <w:rPr>
          <w:rFonts w:hint="eastAsia" w:ascii="Times New Roman" w:hAnsi="Times New Roman" w:eastAsia="新宋体" w:cs="Times New Roman"/>
          <w:bCs/>
          <w:color w:val="auto"/>
          <w:szCs w:val="28"/>
          <w:highlight w:val="none"/>
          <w:u w:val="single"/>
          <w:lang w:val="en-US" w:eastAsia="zh-CN"/>
        </w:rPr>
        <w:t xml:space="preserve">          </w:t>
      </w:r>
      <w:r>
        <w:rPr>
          <w:rFonts w:hint="default" w:ascii="Times New Roman" w:hAnsi="Times New Roman" w:eastAsia="新宋体" w:cs="Times New Roman"/>
          <w:bCs/>
          <w:color w:val="auto"/>
          <w:szCs w:val="28"/>
          <w:highlight w:val="none"/>
          <w:u w:val="single"/>
        </w:rPr>
        <w:t xml:space="preserve">   </w:t>
      </w:r>
      <w:r>
        <w:rPr>
          <w:rFonts w:hint="default" w:ascii="Times New Roman" w:hAnsi="Times New Roman" w:eastAsia="新宋体" w:cs="Times New Roman"/>
          <w:bCs/>
          <w:color w:val="auto"/>
          <w:szCs w:val="28"/>
          <w:highlight w:val="none"/>
        </w:rPr>
        <w:t>（盖章）</w:t>
      </w:r>
    </w:p>
    <w:p w14:paraId="0FCCE61E">
      <w:pPr>
        <w:pStyle w:val="24"/>
        <w:keepNext w:val="0"/>
        <w:keepLines w:val="0"/>
        <w:pageBreakBefore w:val="0"/>
        <w:widowControl w:val="0"/>
        <w:kinsoku/>
        <w:wordWrap/>
        <w:overflowPunct/>
        <w:topLinePunct w:val="0"/>
        <w:autoSpaceDE/>
        <w:autoSpaceDN/>
        <w:bidi w:val="0"/>
        <w:adjustRightInd/>
        <w:snapToGrid/>
        <w:spacing w:line="420" w:lineRule="exact"/>
        <w:ind w:left="0" w:leftChars="0" w:right="0" w:rightChars="0" w:firstLine="2520" w:firstLineChars="1200"/>
        <w:jc w:val="both"/>
        <w:textAlignment w:val="auto"/>
        <w:outlineLvl w:val="9"/>
        <w:rPr>
          <w:rFonts w:hint="default" w:ascii="Times New Roman" w:hAnsi="Times New Roman" w:eastAsia="新宋体" w:cs="Times New Roman"/>
          <w:bCs/>
          <w:color w:val="auto"/>
          <w:szCs w:val="28"/>
          <w:highlight w:val="none"/>
          <w:u w:val="single"/>
        </w:rPr>
      </w:pPr>
      <w:r>
        <w:rPr>
          <w:rFonts w:hint="eastAsia" w:ascii="Times New Roman" w:hAnsi="Times New Roman" w:eastAsia="新宋体" w:cs="Times New Roman"/>
          <w:bCs/>
          <w:color w:val="auto"/>
          <w:szCs w:val="28"/>
          <w:highlight w:val="none"/>
          <w:lang w:val="en-US" w:eastAsia="zh-CN"/>
        </w:rPr>
        <w:t xml:space="preserve">                      </w:t>
      </w:r>
      <w:r>
        <w:rPr>
          <w:rFonts w:hint="default" w:ascii="Times New Roman" w:hAnsi="Times New Roman" w:eastAsia="新宋体" w:cs="Times New Roman"/>
          <w:bCs/>
          <w:color w:val="auto"/>
          <w:szCs w:val="28"/>
          <w:highlight w:val="none"/>
        </w:rPr>
        <w:t>法定代表人或授权代表（</w:t>
      </w:r>
      <w:r>
        <w:rPr>
          <w:rFonts w:hint="eastAsia" w:ascii="Times New Roman" w:hAnsi="Times New Roman" w:eastAsia="新宋体" w:cs="Times New Roman"/>
          <w:bCs/>
          <w:color w:val="auto"/>
          <w:szCs w:val="28"/>
          <w:highlight w:val="none"/>
          <w:lang w:eastAsia="zh-CN"/>
        </w:rPr>
        <w:t>盖章或</w:t>
      </w:r>
      <w:r>
        <w:rPr>
          <w:rFonts w:hint="default" w:ascii="Times New Roman" w:hAnsi="Times New Roman" w:eastAsia="新宋体" w:cs="Times New Roman"/>
          <w:bCs/>
          <w:color w:val="auto"/>
          <w:szCs w:val="28"/>
          <w:highlight w:val="none"/>
        </w:rPr>
        <w:t>签字）：</w:t>
      </w:r>
      <w:r>
        <w:rPr>
          <w:rFonts w:hint="default" w:ascii="Times New Roman" w:hAnsi="Times New Roman" w:eastAsia="新宋体" w:cs="Times New Roman"/>
          <w:bCs/>
          <w:color w:val="auto"/>
          <w:szCs w:val="28"/>
          <w:highlight w:val="none"/>
          <w:u w:val="single"/>
        </w:rPr>
        <w:t xml:space="preserve">   </w:t>
      </w:r>
      <w:r>
        <w:rPr>
          <w:rFonts w:hint="eastAsia" w:ascii="Times New Roman" w:hAnsi="Times New Roman" w:eastAsia="新宋体" w:cs="Times New Roman"/>
          <w:bCs/>
          <w:color w:val="auto"/>
          <w:szCs w:val="28"/>
          <w:highlight w:val="none"/>
          <w:u w:val="single"/>
          <w:lang w:val="en-US" w:eastAsia="zh-CN"/>
        </w:rPr>
        <w:t xml:space="preserve">       </w:t>
      </w:r>
      <w:r>
        <w:rPr>
          <w:rFonts w:hint="default" w:ascii="Times New Roman" w:hAnsi="Times New Roman" w:eastAsia="新宋体" w:cs="Times New Roman"/>
          <w:bCs/>
          <w:color w:val="auto"/>
          <w:szCs w:val="28"/>
          <w:highlight w:val="none"/>
          <w:u w:val="single"/>
        </w:rPr>
        <w:t xml:space="preserve">  </w:t>
      </w:r>
    </w:p>
    <w:p w14:paraId="42B803A7">
      <w:pPr>
        <w:pStyle w:val="24"/>
        <w:keepNext w:val="0"/>
        <w:keepLines w:val="0"/>
        <w:pageBreakBefore w:val="0"/>
        <w:widowControl w:val="0"/>
        <w:kinsoku/>
        <w:wordWrap/>
        <w:overflowPunct/>
        <w:topLinePunct w:val="0"/>
        <w:autoSpaceDE/>
        <w:autoSpaceDN/>
        <w:bidi w:val="0"/>
        <w:adjustRightInd/>
        <w:snapToGrid/>
        <w:spacing w:line="420" w:lineRule="exact"/>
        <w:ind w:left="0" w:leftChars="0" w:right="0" w:rightChars="0" w:firstLine="2520" w:firstLineChars="1200"/>
        <w:jc w:val="both"/>
        <w:textAlignment w:val="auto"/>
        <w:outlineLvl w:val="9"/>
        <w:rPr>
          <w:rFonts w:hint="default" w:ascii="Times New Roman" w:hAnsi="Times New Roman" w:eastAsia="新宋体" w:cs="Times New Roman"/>
          <w:bCs/>
          <w:color w:val="auto"/>
          <w:szCs w:val="28"/>
          <w:highlight w:val="none"/>
          <w:u w:val="single"/>
        </w:rPr>
      </w:pPr>
      <w:r>
        <w:rPr>
          <w:rFonts w:hint="eastAsia" w:ascii="Times New Roman" w:hAnsi="Times New Roman" w:eastAsia="新宋体" w:cs="Times New Roman"/>
          <w:bCs/>
          <w:color w:val="auto"/>
          <w:szCs w:val="28"/>
          <w:highlight w:val="none"/>
          <w:lang w:val="en-US" w:eastAsia="zh-CN"/>
        </w:rPr>
        <w:t xml:space="preserve">                      </w:t>
      </w:r>
      <w:r>
        <w:rPr>
          <w:rFonts w:hint="default" w:ascii="Times New Roman" w:hAnsi="Times New Roman" w:eastAsia="新宋体" w:cs="Times New Roman"/>
          <w:bCs/>
          <w:color w:val="auto"/>
          <w:szCs w:val="28"/>
          <w:highlight w:val="none"/>
        </w:rPr>
        <w:t>通讯地址：</w:t>
      </w:r>
      <w:r>
        <w:rPr>
          <w:rFonts w:hint="default" w:ascii="Times New Roman" w:hAnsi="Times New Roman" w:eastAsia="新宋体" w:cs="Times New Roman"/>
          <w:bCs/>
          <w:color w:val="auto"/>
          <w:szCs w:val="28"/>
          <w:highlight w:val="none"/>
          <w:u w:val="single"/>
        </w:rPr>
        <w:t xml:space="preserve">                      </w:t>
      </w:r>
      <w:r>
        <w:rPr>
          <w:rFonts w:hint="eastAsia" w:ascii="Times New Roman" w:hAnsi="Times New Roman" w:eastAsia="新宋体" w:cs="Times New Roman"/>
          <w:bCs/>
          <w:color w:val="auto"/>
          <w:szCs w:val="28"/>
          <w:highlight w:val="none"/>
          <w:u w:val="single"/>
          <w:lang w:val="en-US" w:eastAsia="zh-CN"/>
        </w:rPr>
        <w:t xml:space="preserve">     </w:t>
      </w:r>
      <w:r>
        <w:rPr>
          <w:rFonts w:hint="default" w:ascii="Times New Roman" w:hAnsi="Times New Roman" w:eastAsia="新宋体" w:cs="Times New Roman"/>
          <w:bCs/>
          <w:color w:val="auto"/>
          <w:szCs w:val="28"/>
          <w:highlight w:val="none"/>
          <w:u w:val="single"/>
        </w:rPr>
        <w:t xml:space="preserve">     </w:t>
      </w:r>
    </w:p>
    <w:p w14:paraId="44B1DA0E">
      <w:pPr>
        <w:pStyle w:val="24"/>
        <w:keepNext w:val="0"/>
        <w:keepLines w:val="0"/>
        <w:pageBreakBefore w:val="0"/>
        <w:widowControl w:val="0"/>
        <w:kinsoku/>
        <w:wordWrap/>
        <w:overflowPunct/>
        <w:topLinePunct w:val="0"/>
        <w:autoSpaceDE/>
        <w:autoSpaceDN/>
        <w:bidi w:val="0"/>
        <w:adjustRightInd/>
        <w:snapToGrid/>
        <w:spacing w:line="420" w:lineRule="exact"/>
        <w:ind w:left="0" w:leftChars="0" w:right="0" w:rightChars="0" w:firstLine="2520" w:firstLineChars="1200"/>
        <w:jc w:val="both"/>
        <w:textAlignment w:val="auto"/>
        <w:outlineLvl w:val="9"/>
        <w:rPr>
          <w:rFonts w:hint="default" w:ascii="Times New Roman" w:hAnsi="Times New Roman" w:eastAsia="新宋体" w:cs="Times New Roman"/>
          <w:bCs/>
          <w:color w:val="auto"/>
          <w:szCs w:val="28"/>
          <w:highlight w:val="none"/>
          <w:u w:val="single"/>
        </w:rPr>
      </w:pPr>
      <w:r>
        <w:rPr>
          <w:rFonts w:hint="eastAsia" w:ascii="Times New Roman" w:hAnsi="Times New Roman" w:eastAsia="新宋体" w:cs="Times New Roman"/>
          <w:bCs/>
          <w:color w:val="auto"/>
          <w:szCs w:val="28"/>
          <w:highlight w:val="none"/>
          <w:lang w:val="en-US" w:eastAsia="zh-CN"/>
        </w:rPr>
        <w:t xml:space="preserve">                      </w:t>
      </w:r>
      <w:r>
        <w:rPr>
          <w:rFonts w:hint="default" w:ascii="Times New Roman" w:hAnsi="Times New Roman" w:eastAsia="新宋体" w:cs="Times New Roman"/>
          <w:bCs/>
          <w:color w:val="auto"/>
          <w:szCs w:val="28"/>
          <w:highlight w:val="none"/>
        </w:rPr>
        <w:t>联系电话：</w:t>
      </w:r>
      <w:r>
        <w:rPr>
          <w:rFonts w:hint="default" w:ascii="Times New Roman" w:hAnsi="Times New Roman" w:eastAsia="新宋体" w:cs="Times New Roman"/>
          <w:bCs/>
          <w:color w:val="auto"/>
          <w:szCs w:val="28"/>
          <w:highlight w:val="none"/>
          <w:u w:val="single"/>
        </w:rPr>
        <w:t xml:space="preserve">                 </w:t>
      </w:r>
      <w:r>
        <w:rPr>
          <w:rFonts w:hint="eastAsia" w:ascii="Times New Roman" w:hAnsi="Times New Roman" w:eastAsia="新宋体" w:cs="Times New Roman"/>
          <w:bCs/>
          <w:color w:val="auto"/>
          <w:szCs w:val="28"/>
          <w:highlight w:val="none"/>
          <w:u w:val="single"/>
          <w:lang w:val="en-US" w:eastAsia="zh-CN"/>
        </w:rPr>
        <w:t xml:space="preserve">      </w:t>
      </w:r>
      <w:r>
        <w:rPr>
          <w:rFonts w:hint="default" w:ascii="Times New Roman" w:hAnsi="Times New Roman" w:eastAsia="新宋体" w:cs="Times New Roman"/>
          <w:bCs/>
          <w:color w:val="auto"/>
          <w:szCs w:val="28"/>
          <w:highlight w:val="none"/>
          <w:u w:val="single"/>
        </w:rPr>
        <w:t xml:space="preserve">         </w:t>
      </w:r>
    </w:p>
    <w:p w14:paraId="52C57C7F">
      <w:pPr>
        <w:pStyle w:val="24"/>
        <w:keepNext w:val="0"/>
        <w:keepLines w:val="0"/>
        <w:pageBreakBefore w:val="0"/>
        <w:widowControl w:val="0"/>
        <w:kinsoku/>
        <w:wordWrap/>
        <w:overflowPunct/>
        <w:topLinePunct w:val="0"/>
        <w:autoSpaceDE/>
        <w:autoSpaceDN/>
        <w:bidi w:val="0"/>
        <w:adjustRightInd/>
        <w:snapToGrid/>
        <w:spacing w:line="420" w:lineRule="exact"/>
        <w:ind w:left="0" w:leftChars="0" w:right="0" w:rightChars="0" w:firstLine="2520" w:firstLineChars="1200"/>
        <w:jc w:val="both"/>
        <w:textAlignment w:val="auto"/>
        <w:outlineLvl w:val="9"/>
        <w:rPr>
          <w:rFonts w:hint="default" w:ascii="Times New Roman" w:hAnsi="Times New Roman" w:eastAsia="新宋体" w:cs="Times New Roman"/>
          <w:bCs/>
          <w:color w:val="auto"/>
          <w:szCs w:val="28"/>
          <w:highlight w:val="none"/>
          <w:u w:val="single"/>
        </w:rPr>
      </w:pPr>
      <w:r>
        <w:rPr>
          <w:rFonts w:hint="eastAsia" w:ascii="Times New Roman" w:hAnsi="Times New Roman" w:eastAsia="新宋体" w:cs="Times New Roman"/>
          <w:bCs/>
          <w:color w:val="auto"/>
          <w:szCs w:val="28"/>
          <w:highlight w:val="none"/>
          <w:lang w:val="en-US" w:eastAsia="zh-CN"/>
        </w:rPr>
        <w:t xml:space="preserve">                      </w:t>
      </w:r>
      <w:r>
        <w:rPr>
          <w:rFonts w:hint="default" w:ascii="Times New Roman" w:hAnsi="Times New Roman" w:eastAsia="新宋体" w:cs="Times New Roman"/>
          <w:bCs/>
          <w:color w:val="auto"/>
          <w:szCs w:val="28"/>
          <w:highlight w:val="none"/>
        </w:rPr>
        <w:t>传    真：</w:t>
      </w:r>
      <w:r>
        <w:rPr>
          <w:rFonts w:hint="default" w:ascii="Times New Roman" w:hAnsi="Times New Roman" w:eastAsia="新宋体" w:cs="Times New Roman"/>
          <w:bCs/>
          <w:color w:val="auto"/>
          <w:szCs w:val="28"/>
          <w:highlight w:val="none"/>
          <w:u w:val="single"/>
        </w:rPr>
        <w:t xml:space="preserve">                </w:t>
      </w:r>
      <w:r>
        <w:rPr>
          <w:rFonts w:hint="eastAsia" w:ascii="Times New Roman" w:hAnsi="Times New Roman" w:eastAsia="新宋体" w:cs="Times New Roman"/>
          <w:bCs/>
          <w:color w:val="auto"/>
          <w:szCs w:val="28"/>
          <w:highlight w:val="none"/>
          <w:u w:val="single"/>
          <w:lang w:val="en-US" w:eastAsia="zh-CN"/>
        </w:rPr>
        <w:t xml:space="preserve">     </w:t>
      </w:r>
      <w:r>
        <w:rPr>
          <w:rFonts w:hint="default" w:ascii="Times New Roman" w:hAnsi="Times New Roman" w:eastAsia="新宋体" w:cs="Times New Roman"/>
          <w:bCs/>
          <w:color w:val="auto"/>
          <w:szCs w:val="28"/>
          <w:highlight w:val="none"/>
          <w:u w:val="single"/>
        </w:rPr>
        <w:t xml:space="preserve">           </w:t>
      </w:r>
    </w:p>
    <w:p w14:paraId="3FC6A570">
      <w:pPr>
        <w:pStyle w:val="24"/>
        <w:keepNext w:val="0"/>
        <w:keepLines w:val="0"/>
        <w:pageBreakBefore w:val="0"/>
        <w:widowControl w:val="0"/>
        <w:kinsoku/>
        <w:wordWrap/>
        <w:overflowPunct/>
        <w:topLinePunct w:val="0"/>
        <w:autoSpaceDE/>
        <w:autoSpaceDN/>
        <w:bidi w:val="0"/>
        <w:adjustRightInd/>
        <w:snapToGrid/>
        <w:spacing w:line="420" w:lineRule="exact"/>
        <w:ind w:left="0" w:leftChars="0" w:right="0" w:rightChars="0" w:firstLine="2520" w:firstLineChars="1200"/>
        <w:jc w:val="both"/>
        <w:textAlignment w:val="auto"/>
        <w:outlineLvl w:val="9"/>
        <w:rPr>
          <w:rFonts w:hint="default" w:ascii="Times New Roman" w:hAnsi="Times New Roman" w:eastAsia="新宋体" w:cs="Times New Roman"/>
          <w:bCs/>
          <w:color w:val="auto"/>
          <w:szCs w:val="28"/>
          <w:highlight w:val="none"/>
          <w:u w:val="single"/>
        </w:rPr>
      </w:pPr>
      <w:r>
        <w:rPr>
          <w:rFonts w:hint="eastAsia" w:ascii="Times New Roman" w:hAnsi="Times New Roman" w:eastAsia="新宋体" w:cs="Times New Roman"/>
          <w:bCs/>
          <w:color w:val="auto"/>
          <w:szCs w:val="28"/>
          <w:highlight w:val="none"/>
          <w:lang w:val="en-US" w:eastAsia="zh-CN"/>
        </w:rPr>
        <w:t xml:space="preserve">                      </w:t>
      </w:r>
      <w:r>
        <w:rPr>
          <w:rFonts w:hint="default" w:ascii="Times New Roman" w:hAnsi="Times New Roman" w:eastAsia="新宋体" w:cs="Times New Roman"/>
          <w:bCs/>
          <w:color w:val="auto"/>
          <w:szCs w:val="28"/>
          <w:highlight w:val="none"/>
        </w:rPr>
        <w:t>电子邮件：</w:t>
      </w:r>
      <w:r>
        <w:rPr>
          <w:rFonts w:hint="default" w:ascii="Times New Roman" w:hAnsi="Times New Roman" w:eastAsia="新宋体" w:cs="Times New Roman"/>
          <w:bCs/>
          <w:color w:val="auto"/>
          <w:szCs w:val="28"/>
          <w:highlight w:val="none"/>
          <w:u w:val="single"/>
        </w:rPr>
        <w:t xml:space="preserve">                 </w:t>
      </w:r>
      <w:r>
        <w:rPr>
          <w:rFonts w:hint="eastAsia" w:ascii="Times New Roman" w:hAnsi="Times New Roman" w:eastAsia="新宋体" w:cs="Times New Roman"/>
          <w:bCs/>
          <w:color w:val="auto"/>
          <w:szCs w:val="28"/>
          <w:highlight w:val="none"/>
          <w:u w:val="single"/>
          <w:lang w:val="en-US" w:eastAsia="zh-CN"/>
        </w:rPr>
        <w:t xml:space="preserve">        </w:t>
      </w:r>
      <w:r>
        <w:rPr>
          <w:rFonts w:hint="default" w:ascii="Times New Roman" w:hAnsi="Times New Roman" w:eastAsia="新宋体" w:cs="Times New Roman"/>
          <w:bCs/>
          <w:color w:val="auto"/>
          <w:szCs w:val="28"/>
          <w:highlight w:val="none"/>
          <w:u w:val="single"/>
        </w:rPr>
        <w:t xml:space="preserve">       </w:t>
      </w:r>
    </w:p>
    <w:p w14:paraId="4F415218">
      <w:pPr>
        <w:pStyle w:val="24"/>
        <w:keepNext w:val="0"/>
        <w:keepLines w:val="0"/>
        <w:pageBreakBefore w:val="0"/>
        <w:widowControl w:val="0"/>
        <w:kinsoku/>
        <w:wordWrap/>
        <w:overflowPunct/>
        <w:topLinePunct w:val="0"/>
        <w:autoSpaceDE/>
        <w:autoSpaceDN/>
        <w:bidi w:val="0"/>
        <w:adjustRightInd/>
        <w:snapToGrid/>
        <w:spacing w:line="420" w:lineRule="exact"/>
        <w:ind w:left="0" w:leftChars="0" w:right="0" w:rightChars="0" w:firstLine="2520" w:firstLineChars="1200"/>
        <w:jc w:val="both"/>
        <w:textAlignment w:val="auto"/>
        <w:outlineLvl w:val="9"/>
        <w:rPr>
          <w:rFonts w:hint="default" w:ascii="Times New Roman" w:hAnsi="Times New Roman" w:eastAsia="新宋体" w:cs="Times New Roman"/>
          <w:bCs/>
          <w:color w:val="auto"/>
          <w:szCs w:val="28"/>
          <w:highlight w:val="none"/>
          <w:u w:val="single"/>
        </w:rPr>
      </w:pPr>
      <w:r>
        <w:rPr>
          <w:rFonts w:hint="eastAsia" w:ascii="Times New Roman" w:hAnsi="Times New Roman" w:eastAsia="新宋体" w:cs="Times New Roman"/>
          <w:bCs/>
          <w:color w:val="auto"/>
          <w:szCs w:val="28"/>
          <w:highlight w:val="none"/>
          <w:lang w:val="en-US" w:eastAsia="zh-CN"/>
        </w:rPr>
        <w:t xml:space="preserve">                      </w:t>
      </w:r>
      <w:r>
        <w:rPr>
          <w:rFonts w:hint="default" w:ascii="Times New Roman" w:hAnsi="Times New Roman" w:eastAsia="新宋体" w:cs="Times New Roman"/>
          <w:bCs/>
          <w:color w:val="auto"/>
          <w:szCs w:val="28"/>
          <w:highlight w:val="none"/>
        </w:rPr>
        <w:t>开户银行</w:t>
      </w:r>
      <w:r>
        <w:rPr>
          <w:rFonts w:hint="eastAsia" w:ascii="Times New Roman" w:hAnsi="Times New Roman" w:eastAsia="新宋体" w:cs="Times New Roman"/>
          <w:bCs/>
          <w:color w:val="auto"/>
          <w:szCs w:val="28"/>
          <w:highlight w:val="none"/>
          <w:lang w:eastAsia="zh-CN"/>
        </w:rPr>
        <w:t>：</w:t>
      </w:r>
      <w:r>
        <w:rPr>
          <w:rFonts w:hint="default" w:ascii="Times New Roman" w:hAnsi="Times New Roman" w:eastAsia="新宋体" w:cs="Times New Roman"/>
          <w:bCs/>
          <w:color w:val="auto"/>
          <w:szCs w:val="28"/>
          <w:highlight w:val="none"/>
          <w:u w:val="single"/>
        </w:rPr>
        <w:t xml:space="preserve">                  </w:t>
      </w:r>
      <w:r>
        <w:rPr>
          <w:rFonts w:hint="eastAsia" w:ascii="Times New Roman" w:hAnsi="Times New Roman" w:eastAsia="新宋体" w:cs="Times New Roman"/>
          <w:bCs/>
          <w:color w:val="auto"/>
          <w:szCs w:val="28"/>
          <w:highlight w:val="none"/>
          <w:u w:val="single"/>
          <w:lang w:val="en-US" w:eastAsia="zh-CN"/>
        </w:rPr>
        <w:t xml:space="preserve">       </w:t>
      </w:r>
      <w:r>
        <w:rPr>
          <w:rFonts w:hint="default" w:ascii="Times New Roman" w:hAnsi="Times New Roman" w:eastAsia="新宋体" w:cs="Times New Roman"/>
          <w:bCs/>
          <w:color w:val="auto"/>
          <w:szCs w:val="28"/>
          <w:highlight w:val="none"/>
          <w:u w:val="single"/>
        </w:rPr>
        <w:t xml:space="preserve">       </w:t>
      </w:r>
    </w:p>
    <w:p w14:paraId="3130D495">
      <w:pPr>
        <w:pStyle w:val="24"/>
        <w:keepNext w:val="0"/>
        <w:keepLines w:val="0"/>
        <w:pageBreakBefore w:val="0"/>
        <w:widowControl w:val="0"/>
        <w:kinsoku/>
        <w:wordWrap/>
        <w:overflowPunct/>
        <w:topLinePunct w:val="0"/>
        <w:autoSpaceDE/>
        <w:autoSpaceDN/>
        <w:bidi w:val="0"/>
        <w:adjustRightInd/>
        <w:snapToGrid/>
        <w:spacing w:line="420" w:lineRule="exact"/>
        <w:ind w:left="0" w:leftChars="0" w:right="0" w:rightChars="0" w:firstLine="2520" w:firstLineChars="1200"/>
        <w:jc w:val="both"/>
        <w:textAlignment w:val="auto"/>
        <w:outlineLvl w:val="9"/>
        <w:rPr>
          <w:rFonts w:hint="default" w:ascii="Times New Roman" w:hAnsi="Times New Roman" w:eastAsia="新宋体" w:cs="Times New Roman"/>
          <w:bCs/>
          <w:color w:val="auto"/>
          <w:szCs w:val="28"/>
          <w:highlight w:val="none"/>
          <w:u w:val="single"/>
        </w:rPr>
      </w:pPr>
      <w:r>
        <w:rPr>
          <w:rFonts w:hint="eastAsia" w:ascii="Times New Roman" w:hAnsi="Times New Roman" w:eastAsia="新宋体" w:cs="Times New Roman"/>
          <w:bCs/>
          <w:color w:val="auto"/>
          <w:szCs w:val="28"/>
          <w:highlight w:val="none"/>
          <w:lang w:val="en-US" w:eastAsia="zh-CN"/>
        </w:rPr>
        <w:t xml:space="preserve">                      </w:t>
      </w:r>
      <w:r>
        <w:rPr>
          <w:rFonts w:hint="default" w:ascii="Times New Roman" w:hAnsi="Times New Roman" w:eastAsia="新宋体" w:cs="Times New Roman"/>
          <w:bCs/>
          <w:color w:val="auto"/>
          <w:szCs w:val="28"/>
          <w:highlight w:val="none"/>
        </w:rPr>
        <w:t>帐    号：</w:t>
      </w:r>
      <w:r>
        <w:rPr>
          <w:rFonts w:hint="default" w:ascii="Times New Roman" w:hAnsi="Times New Roman" w:eastAsia="新宋体" w:cs="Times New Roman"/>
          <w:bCs/>
          <w:color w:val="auto"/>
          <w:szCs w:val="28"/>
          <w:highlight w:val="none"/>
          <w:u w:val="single"/>
        </w:rPr>
        <w:t xml:space="preserve">                   </w:t>
      </w:r>
      <w:r>
        <w:rPr>
          <w:rFonts w:hint="eastAsia" w:ascii="Times New Roman" w:hAnsi="Times New Roman" w:eastAsia="新宋体" w:cs="Times New Roman"/>
          <w:bCs/>
          <w:color w:val="auto"/>
          <w:szCs w:val="28"/>
          <w:highlight w:val="none"/>
          <w:u w:val="single"/>
          <w:lang w:val="en-US" w:eastAsia="zh-CN"/>
        </w:rPr>
        <w:t xml:space="preserve">       </w:t>
      </w:r>
      <w:r>
        <w:rPr>
          <w:rFonts w:hint="default" w:ascii="Times New Roman" w:hAnsi="Times New Roman" w:eastAsia="新宋体" w:cs="Times New Roman"/>
          <w:bCs/>
          <w:color w:val="auto"/>
          <w:szCs w:val="28"/>
          <w:highlight w:val="none"/>
          <w:u w:val="single"/>
        </w:rPr>
        <w:t xml:space="preserve">      </w:t>
      </w:r>
    </w:p>
    <w:p w14:paraId="4099208B">
      <w:pPr>
        <w:pStyle w:val="24"/>
        <w:keepNext w:val="0"/>
        <w:keepLines w:val="0"/>
        <w:pageBreakBefore w:val="0"/>
        <w:widowControl w:val="0"/>
        <w:kinsoku/>
        <w:wordWrap/>
        <w:overflowPunct/>
        <w:topLinePunct w:val="0"/>
        <w:autoSpaceDE/>
        <w:autoSpaceDN/>
        <w:bidi w:val="0"/>
        <w:adjustRightInd/>
        <w:snapToGrid/>
        <w:spacing w:line="420" w:lineRule="exact"/>
        <w:ind w:left="0" w:leftChars="0" w:right="0" w:rightChars="0" w:firstLine="2520" w:firstLineChars="1200"/>
        <w:jc w:val="both"/>
        <w:textAlignment w:val="auto"/>
        <w:outlineLvl w:val="9"/>
        <w:rPr>
          <w:rFonts w:hint="eastAsia" w:ascii="宋体" w:hAnsi="宋体" w:cs="宋体"/>
          <w:b/>
          <w:bCs/>
          <w:color w:val="000000"/>
          <w:sz w:val="36"/>
          <w:szCs w:val="36"/>
          <w:highlight w:val="none"/>
        </w:rPr>
      </w:pPr>
      <w:r>
        <w:rPr>
          <w:rFonts w:hint="eastAsia" w:ascii="Times New Roman" w:hAnsi="Times New Roman" w:eastAsia="新宋体" w:cs="Times New Roman"/>
          <w:bCs/>
          <w:color w:val="auto"/>
          <w:szCs w:val="28"/>
          <w:highlight w:val="none"/>
          <w:lang w:val="en-US" w:eastAsia="zh-CN"/>
        </w:rPr>
        <w:t xml:space="preserve">                      </w:t>
      </w:r>
      <w:r>
        <w:rPr>
          <w:rFonts w:hint="default" w:ascii="Times New Roman" w:hAnsi="Times New Roman" w:eastAsia="新宋体" w:cs="Times New Roman"/>
          <w:bCs/>
          <w:color w:val="auto"/>
          <w:szCs w:val="28"/>
          <w:highlight w:val="none"/>
        </w:rPr>
        <w:t>日    期：</w:t>
      </w:r>
      <w:r>
        <w:rPr>
          <w:rFonts w:hint="default" w:ascii="Times New Roman" w:hAnsi="Times New Roman" w:eastAsia="新宋体" w:cs="Times New Roman"/>
          <w:bCs/>
          <w:color w:val="auto"/>
          <w:szCs w:val="28"/>
          <w:highlight w:val="none"/>
          <w:u w:val="single"/>
        </w:rPr>
        <w:t xml:space="preserve">                    </w:t>
      </w:r>
      <w:r>
        <w:rPr>
          <w:rFonts w:hint="eastAsia" w:ascii="Times New Roman" w:hAnsi="Times New Roman" w:eastAsia="新宋体" w:cs="Times New Roman"/>
          <w:bCs/>
          <w:color w:val="auto"/>
          <w:szCs w:val="28"/>
          <w:highlight w:val="none"/>
          <w:u w:val="single"/>
          <w:lang w:val="en-US" w:eastAsia="zh-CN"/>
        </w:rPr>
        <w:t xml:space="preserve">    </w:t>
      </w:r>
      <w:r>
        <w:rPr>
          <w:rFonts w:hint="default" w:ascii="Times New Roman" w:hAnsi="Times New Roman" w:eastAsia="新宋体" w:cs="Times New Roman"/>
          <w:bCs/>
          <w:color w:val="auto"/>
          <w:szCs w:val="28"/>
          <w:highlight w:val="none"/>
          <w:u w:val="single"/>
        </w:rPr>
        <w:t xml:space="preserve">        </w:t>
      </w:r>
    </w:p>
    <w:p w14:paraId="5162AB30">
      <w:pPr>
        <w:rPr>
          <w:rFonts w:hint="eastAsia" w:ascii="宋体" w:hAnsi="宋体" w:cs="宋体"/>
          <w:b/>
          <w:bCs/>
          <w:color w:val="000000"/>
          <w:sz w:val="36"/>
          <w:szCs w:val="36"/>
          <w:highlight w:val="none"/>
        </w:rPr>
      </w:pPr>
      <w:r>
        <w:rPr>
          <w:rFonts w:hint="eastAsia" w:ascii="宋体" w:hAnsi="宋体" w:cs="宋体"/>
          <w:b/>
          <w:bCs/>
          <w:color w:val="000000"/>
          <w:sz w:val="36"/>
          <w:szCs w:val="36"/>
          <w:highlight w:val="none"/>
        </w:rPr>
        <w:br w:type="page"/>
      </w:r>
    </w:p>
    <w:p w14:paraId="5AE5EAFA">
      <w:pPr>
        <w:spacing w:line="600" w:lineRule="exact"/>
        <w:jc w:val="center"/>
        <w:rPr>
          <w:rFonts w:hint="eastAsia" w:ascii="宋体" w:hAnsi="宋体" w:cs="宋体"/>
          <w:b/>
          <w:bCs/>
          <w:color w:val="000000"/>
          <w:sz w:val="36"/>
          <w:szCs w:val="36"/>
          <w:highlight w:val="none"/>
        </w:rPr>
      </w:pPr>
      <w:r>
        <w:rPr>
          <w:rFonts w:hint="eastAsia" w:ascii="宋体" w:hAnsi="宋体" w:cs="宋体"/>
          <w:b/>
          <w:bCs/>
          <w:color w:val="000000"/>
          <w:sz w:val="36"/>
          <w:szCs w:val="36"/>
          <w:highlight w:val="none"/>
        </w:rPr>
        <w:t>二、</w:t>
      </w:r>
      <w:r>
        <w:rPr>
          <w:rFonts w:hint="eastAsia" w:ascii="宋体" w:hAnsi="宋体" w:cs="宋体"/>
          <w:b/>
          <w:bCs/>
          <w:color w:val="000000"/>
          <w:sz w:val="36"/>
          <w:szCs w:val="36"/>
          <w:highlight w:val="none"/>
          <w:lang w:eastAsia="zh-CN"/>
        </w:rPr>
        <w:t>开标一览表</w:t>
      </w:r>
    </w:p>
    <w:p w14:paraId="2405CA5C">
      <w:pPr>
        <w:spacing w:line="560" w:lineRule="exact"/>
        <w:rPr>
          <w:rFonts w:hint="eastAsia" w:ascii="宋体" w:hAnsi="宋体"/>
          <w:szCs w:val="21"/>
          <w:highlight w:val="none"/>
          <w:u w:val="single"/>
          <w:vertAlign w:val="baseline"/>
        </w:rPr>
      </w:pPr>
      <w:r>
        <w:rPr>
          <w:rFonts w:hint="eastAsia" w:ascii="宋体" w:hAnsi="宋体"/>
          <w:szCs w:val="21"/>
          <w:highlight w:val="none"/>
          <w:lang w:eastAsia="zh-CN"/>
        </w:rPr>
        <w:t>投标人名称：</w:t>
      </w:r>
      <w:r>
        <w:rPr>
          <w:rFonts w:hint="eastAsia" w:ascii="宋体" w:hAnsi="宋体"/>
          <w:szCs w:val="21"/>
          <w:highlight w:val="none"/>
          <w:u w:val="single"/>
        </w:rPr>
        <w:t xml:space="preserve"> </w:t>
      </w:r>
      <w:r>
        <w:rPr>
          <w:rFonts w:hint="eastAsia" w:ascii="宋体" w:hAnsi="宋体"/>
          <w:szCs w:val="21"/>
          <w:highlight w:val="none"/>
          <w:u w:val="single"/>
          <w:lang w:val="en-US" w:eastAsia="zh-CN"/>
        </w:rPr>
        <w:t xml:space="preserve">                     </w:t>
      </w:r>
      <w:r>
        <w:rPr>
          <w:rFonts w:hint="eastAsia" w:ascii="宋体" w:hAnsi="宋体"/>
          <w:szCs w:val="21"/>
          <w:highlight w:val="none"/>
          <w:u w:val="single"/>
        </w:rPr>
        <w:t xml:space="preserve">   </w:t>
      </w:r>
    </w:p>
    <w:tbl>
      <w:tblPr>
        <w:tblStyle w:val="41"/>
        <w:tblW w:w="9339"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435"/>
        <w:gridCol w:w="5401"/>
        <w:gridCol w:w="2503"/>
      </w:tblGrid>
      <w:tr w14:paraId="623D62B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61" w:hRule="atLeast"/>
        </w:trPr>
        <w:tc>
          <w:tcPr>
            <w:tcW w:w="6836" w:type="dxa"/>
            <w:gridSpan w:val="2"/>
            <w:tcBorders>
              <w:tl2br w:val="nil"/>
              <w:tr2bl w:val="nil"/>
            </w:tcBorders>
            <w:vAlign w:val="center"/>
          </w:tcPr>
          <w:p w14:paraId="49050BC4">
            <w:pPr>
              <w:spacing w:line="480" w:lineRule="exact"/>
              <w:jc w:val="center"/>
              <w:rPr>
                <w:rFonts w:hint="default" w:ascii="Times New Roman" w:hAnsi="Times New Roman" w:eastAsia="宋体" w:cs="Times New Roman"/>
                <w:b/>
                <w:bCs w:val="0"/>
                <w:color w:val="auto"/>
                <w:sz w:val="21"/>
                <w:szCs w:val="21"/>
                <w:highlight w:val="none"/>
              </w:rPr>
            </w:pPr>
            <w:r>
              <w:rPr>
                <w:rFonts w:hint="default" w:ascii="Times New Roman" w:hAnsi="Times New Roman" w:eastAsia="宋体" w:cs="Times New Roman"/>
                <w:b/>
                <w:bCs w:val="0"/>
                <w:color w:val="auto"/>
                <w:sz w:val="21"/>
                <w:szCs w:val="21"/>
                <w:highlight w:val="none"/>
              </w:rPr>
              <w:t>投标</w:t>
            </w:r>
            <w:r>
              <w:rPr>
                <w:rFonts w:hint="default" w:ascii="Times New Roman" w:hAnsi="Times New Roman" w:eastAsia="宋体" w:cs="Times New Roman"/>
                <w:b/>
                <w:bCs w:val="0"/>
                <w:color w:val="auto"/>
                <w:sz w:val="21"/>
                <w:szCs w:val="21"/>
                <w:highlight w:val="none"/>
                <w:lang w:eastAsia="zh-CN"/>
              </w:rPr>
              <w:t>报价</w:t>
            </w:r>
          </w:p>
          <w:p w14:paraId="1C350164">
            <w:pPr>
              <w:spacing w:line="480" w:lineRule="exact"/>
              <w:jc w:val="center"/>
              <w:rPr>
                <w:rFonts w:hint="default" w:ascii="Times New Roman" w:hAnsi="Times New Roman" w:eastAsia="宋体" w:cs="Times New Roman"/>
                <w:b/>
                <w:bCs w:val="0"/>
                <w:sz w:val="21"/>
                <w:szCs w:val="21"/>
                <w:highlight w:val="none"/>
                <w:vertAlign w:val="baseline"/>
              </w:rPr>
            </w:pPr>
            <w:r>
              <w:rPr>
                <w:rFonts w:hint="default" w:ascii="Times New Roman" w:hAnsi="Times New Roman" w:eastAsia="宋体" w:cs="Times New Roman"/>
                <w:b/>
                <w:bCs w:val="0"/>
                <w:color w:val="auto"/>
                <w:sz w:val="21"/>
                <w:szCs w:val="21"/>
                <w:highlight w:val="none"/>
              </w:rPr>
              <w:t>（人民币:元）</w:t>
            </w:r>
          </w:p>
        </w:tc>
        <w:tc>
          <w:tcPr>
            <w:tcW w:w="2503" w:type="dxa"/>
            <w:tcBorders>
              <w:tl2br w:val="nil"/>
              <w:tr2bl w:val="nil"/>
            </w:tcBorders>
            <w:vAlign w:val="center"/>
          </w:tcPr>
          <w:p w14:paraId="596154E6">
            <w:pPr>
              <w:spacing w:line="480" w:lineRule="exact"/>
              <w:jc w:val="center"/>
              <w:rPr>
                <w:rFonts w:hint="eastAsia" w:ascii="Times New Roman" w:hAnsi="Times New Roman" w:eastAsia="宋体" w:cs="Times New Roman"/>
                <w:b/>
                <w:bCs w:val="0"/>
                <w:sz w:val="21"/>
                <w:szCs w:val="21"/>
                <w:highlight w:val="none"/>
                <w:vertAlign w:val="baseline"/>
                <w:lang w:eastAsia="zh-CN"/>
              </w:rPr>
            </w:pPr>
            <w:r>
              <w:rPr>
                <w:rFonts w:hint="eastAsia" w:cs="Times New Roman"/>
                <w:b/>
                <w:bCs w:val="0"/>
                <w:color w:val="auto"/>
                <w:sz w:val="21"/>
                <w:szCs w:val="21"/>
                <w:highlight w:val="none"/>
                <w:lang w:val="en-US" w:eastAsia="zh-CN"/>
              </w:rPr>
              <w:t>合同履行期限</w:t>
            </w:r>
          </w:p>
        </w:tc>
      </w:tr>
      <w:tr w14:paraId="3E079D5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248" w:hRule="atLeast"/>
        </w:trPr>
        <w:tc>
          <w:tcPr>
            <w:tcW w:w="1435" w:type="dxa"/>
            <w:tcBorders>
              <w:tl2br w:val="nil"/>
              <w:tr2bl w:val="nil"/>
            </w:tcBorders>
            <w:vAlign w:val="center"/>
          </w:tcPr>
          <w:p w14:paraId="2097D302">
            <w:pPr>
              <w:spacing w:line="560" w:lineRule="exact"/>
              <w:jc w:val="center"/>
              <w:rPr>
                <w:rFonts w:hint="default" w:ascii="Times New Roman" w:hAnsi="Times New Roman" w:eastAsia="宋体" w:cs="Times New Roman"/>
                <w:sz w:val="21"/>
                <w:szCs w:val="21"/>
                <w:highlight w:val="none"/>
                <w:vertAlign w:val="baseline"/>
                <w:lang w:eastAsia="zh-CN"/>
              </w:rPr>
            </w:pPr>
            <w:r>
              <w:rPr>
                <w:rFonts w:hint="default" w:ascii="Times New Roman" w:hAnsi="Times New Roman" w:eastAsia="宋体" w:cs="Times New Roman"/>
                <w:sz w:val="21"/>
                <w:szCs w:val="21"/>
                <w:highlight w:val="none"/>
                <w:vertAlign w:val="baseline"/>
                <w:lang w:eastAsia="zh-CN"/>
              </w:rPr>
              <w:t>小写</w:t>
            </w:r>
          </w:p>
        </w:tc>
        <w:tc>
          <w:tcPr>
            <w:tcW w:w="5401" w:type="dxa"/>
            <w:tcBorders>
              <w:tl2br w:val="nil"/>
              <w:tr2bl w:val="nil"/>
            </w:tcBorders>
            <w:vAlign w:val="center"/>
          </w:tcPr>
          <w:p w14:paraId="0E4B5719">
            <w:pPr>
              <w:spacing w:line="560" w:lineRule="exact"/>
              <w:jc w:val="both"/>
              <w:rPr>
                <w:rFonts w:hint="eastAsia" w:ascii="Times New Roman" w:hAnsi="Times New Roman" w:eastAsia="宋体" w:cs="Times New Roman"/>
                <w:sz w:val="21"/>
                <w:szCs w:val="21"/>
                <w:highlight w:val="none"/>
                <w:vertAlign w:val="baseline"/>
                <w:lang w:eastAsia="zh-CN"/>
              </w:rPr>
            </w:pPr>
            <w:r>
              <w:rPr>
                <w:rFonts w:hint="eastAsia" w:ascii="Times New Roman" w:hAnsi="Times New Roman" w:eastAsia="宋体" w:cs="Times New Roman"/>
                <w:color w:val="auto"/>
                <w:sz w:val="21"/>
                <w:szCs w:val="21"/>
                <w:highlight w:val="none"/>
                <w:lang w:eastAsia="zh-CN"/>
              </w:rPr>
              <w:t>¥</w:t>
            </w:r>
          </w:p>
        </w:tc>
        <w:tc>
          <w:tcPr>
            <w:tcW w:w="2503" w:type="dxa"/>
            <w:vMerge w:val="restart"/>
            <w:tcBorders>
              <w:tl2br w:val="nil"/>
              <w:tr2bl w:val="nil"/>
            </w:tcBorders>
            <w:vAlign w:val="center"/>
          </w:tcPr>
          <w:p w14:paraId="1D9EF3B4">
            <w:pPr>
              <w:spacing w:line="560" w:lineRule="exact"/>
              <w:jc w:val="center"/>
              <w:rPr>
                <w:rFonts w:hint="default" w:ascii="Times New Roman" w:hAnsi="Times New Roman" w:eastAsia="宋体" w:cs="Times New Roman"/>
                <w:sz w:val="21"/>
                <w:szCs w:val="21"/>
                <w:highlight w:val="none"/>
                <w:vertAlign w:val="baseline"/>
              </w:rPr>
            </w:pPr>
          </w:p>
        </w:tc>
      </w:tr>
      <w:tr w14:paraId="7274089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151" w:hRule="atLeast"/>
        </w:trPr>
        <w:tc>
          <w:tcPr>
            <w:tcW w:w="1435" w:type="dxa"/>
            <w:tcBorders>
              <w:tl2br w:val="nil"/>
              <w:tr2bl w:val="nil"/>
            </w:tcBorders>
            <w:vAlign w:val="center"/>
          </w:tcPr>
          <w:p w14:paraId="326101E6">
            <w:pPr>
              <w:spacing w:line="560" w:lineRule="exact"/>
              <w:jc w:val="center"/>
              <w:rPr>
                <w:rFonts w:hint="default" w:ascii="Times New Roman" w:hAnsi="Times New Roman" w:eastAsia="宋体" w:cs="Times New Roman"/>
                <w:sz w:val="21"/>
                <w:szCs w:val="21"/>
                <w:highlight w:val="none"/>
                <w:vertAlign w:val="baseline"/>
                <w:lang w:eastAsia="zh-CN"/>
              </w:rPr>
            </w:pPr>
            <w:r>
              <w:rPr>
                <w:rFonts w:hint="default" w:ascii="Times New Roman" w:hAnsi="Times New Roman" w:eastAsia="宋体" w:cs="Times New Roman"/>
                <w:sz w:val="21"/>
                <w:szCs w:val="21"/>
                <w:highlight w:val="none"/>
                <w:vertAlign w:val="baseline"/>
                <w:lang w:eastAsia="zh-CN"/>
              </w:rPr>
              <w:t>大写</w:t>
            </w:r>
          </w:p>
        </w:tc>
        <w:tc>
          <w:tcPr>
            <w:tcW w:w="5401" w:type="dxa"/>
            <w:tcBorders>
              <w:tl2br w:val="nil"/>
              <w:tr2bl w:val="nil"/>
            </w:tcBorders>
            <w:vAlign w:val="center"/>
          </w:tcPr>
          <w:p w14:paraId="0C227699">
            <w:pPr>
              <w:spacing w:line="560" w:lineRule="exact"/>
              <w:jc w:val="center"/>
              <w:rPr>
                <w:rFonts w:hint="default" w:ascii="Times New Roman" w:hAnsi="Times New Roman" w:eastAsia="宋体" w:cs="Times New Roman"/>
                <w:sz w:val="21"/>
                <w:szCs w:val="21"/>
                <w:highlight w:val="none"/>
                <w:vertAlign w:val="baseline"/>
              </w:rPr>
            </w:pPr>
          </w:p>
        </w:tc>
        <w:tc>
          <w:tcPr>
            <w:tcW w:w="2503" w:type="dxa"/>
            <w:vMerge w:val="continue"/>
            <w:tcBorders>
              <w:tl2br w:val="nil"/>
              <w:tr2bl w:val="nil"/>
            </w:tcBorders>
            <w:vAlign w:val="center"/>
          </w:tcPr>
          <w:p w14:paraId="14081131">
            <w:pPr>
              <w:spacing w:line="560" w:lineRule="exact"/>
              <w:jc w:val="center"/>
              <w:rPr>
                <w:rFonts w:hint="default" w:ascii="Times New Roman" w:hAnsi="Times New Roman" w:eastAsia="宋体" w:cs="Times New Roman"/>
                <w:sz w:val="21"/>
                <w:szCs w:val="21"/>
                <w:highlight w:val="none"/>
                <w:vertAlign w:val="baseline"/>
              </w:rPr>
            </w:pPr>
          </w:p>
        </w:tc>
      </w:tr>
    </w:tbl>
    <w:p w14:paraId="368FC360">
      <w:pPr>
        <w:spacing w:line="560" w:lineRule="exact"/>
        <w:rPr>
          <w:rFonts w:hint="eastAsia" w:ascii="Times New Roman" w:hAnsi="Times New Roman" w:cs="Times New Roman"/>
          <w:szCs w:val="21"/>
          <w:highlight w:val="none"/>
        </w:rPr>
      </w:pPr>
      <w:r>
        <w:rPr>
          <w:rFonts w:hint="default" w:ascii="Times New Roman" w:hAnsi="Times New Roman" w:cs="Times New Roman"/>
          <w:szCs w:val="21"/>
          <w:highlight w:val="none"/>
        </w:rPr>
        <w:t>注：</w:t>
      </w:r>
      <w:r>
        <w:rPr>
          <w:rFonts w:hint="eastAsia" w:cs="Times New Roman"/>
          <w:szCs w:val="21"/>
          <w:highlight w:val="none"/>
          <w:lang w:val="en-US" w:eastAsia="zh-CN"/>
        </w:rPr>
        <w:t>1、</w:t>
      </w:r>
      <w:r>
        <w:rPr>
          <w:rFonts w:hint="eastAsia" w:ascii="Times New Roman" w:hAnsi="Times New Roman" w:cs="Times New Roman"/>
          <w:szCs w:val="21"/>
          <w:highlight w:val="none"/>
        </w:rPr>
        <w:t>（本次投标报价金额仅作为报价得分计算依据，不作为后期合同结算的依据，后期结算按照中标优惠率据实结算。</w:t>
      </w:r>
    </w:p>
    <w:p w14:paraId="3AD1796C">
      <w:pPr>
        <w:spacing w:line="560" w:lineRule="exact"/>
        <w:ind w:firstLine="420"/>
        <w:rPr>
          <w:rFonts w:hint="eastAsia" w:ascii="Times New Roman" w:hAnsi="Times New Roman" w:cs="Times New Roman"/>
          <w:szCs w:val="21"/>
          <w:highlight w:val="none"/>
        </w:rPr>
      </w:pPr>
      <w:r>
        <w:rPr>
          <w:rFonts w:hint="eastAsia" w:cs="Times New Roman"/>
          <w:szCs w:val="21"/>
          <w:highlight w:val="none"/>
          <w:lang w:val="en-US" w:eastAsia="zh-CN"/>
        </w:rPr>
        <w:t>2、</w:t>
      </w:r>
      <w:r>
        <w:rPr>
          <w:rFonts w:hint="eastAsia" w:ascii="Times New Roman" w:hAnsi="Times New Roman" w:cs="Times New Roman"/>
          <w:szCs w:val="21"/>
          <w:highlight w:val="none"/>
        </w:rPr>
        <w:t>投标报价包括但不限于：供应价、运输费、仓储费、搬运费、抽检检验检测费、保险费、人工费、税费等其他一切伴随费用。投标人报价总价不得高于本项目最高限价，否则按无效文件处理。</w:t>
      </w:r>
    </w:p>
    <w:p w14:paraId="0B894511">
      <w:pPr>
        <w:spacing w:line="560" w:lineRule="exact"/>
        <w:ind w:firstLine="420"/>
        <w:rPr>
          <w:rFonts w:hint="eastAsia" w:ascii="Times New Roman" w:hAnsi="Times New Roman" w:cs="Times New Roman"/>
          <w:szCs w:val="21"/>
          <w:highlight w:val="none"/>
        </w:rPr>
      </w:pPr>
      <w:r>
        <w:rPr>
          <w:rFonts w:hint="eastAsia" w:cs="Times New Roman"/>
          <w:szCs w:val="21"/>
          <w:highlight w:val="none"/>
          <w:lang w:val="en-US" w:eastAsia="zh-CN"/>
        </w:rPr>
        <w:t>3、</w:t>
      </w:r>
      <w:r>
        <w:rPr>
          <w:rFonts w:hint="eastAsia" w:ascii="Times New Roman" w:hAnsi="Times New Roman" w:cs="Times New Roman"/>
          <w:szCs w:val="21"/>
          <w:highlight w:val="none"/>
        </w:rPr>
        <w:t>结算方式：以招标文件第四部分 采购内容及技术要求为准。</w:t>
      </w:r>
    </w:p>
    <w:p w14:paraId="1BD501D7">
      <w:pPr>
        <w:spacing w:line="560" w:lineRule="exact"/>
        <w:ind w:firstLine="420"/>
        <w:rPr>
          <w:rFonts w:hint="default" w:ascii="Times New Roman" w:hAnsi="Times New Roman" w:cs="Times New Roman"/>
          <w:szCs w:val="21"/>
          <w:highlight w:val="none"/>
        </w:rPr>
      </w:pPr>
      <w:r>
        <w:rPr>
          <w:rFonts w:hint="eastAsia" w:cs="Times New Roman"/>
          <w:szCs w:val="21"/>
          <w:highlight w:val="none"/>
          <w:lang w:val="en-US" w:eastAsia="zh-CN"/>
        </w:rPr>
        <w:t>4、</w:t>
      </w:r>
      <w:r>
        <w:rPr>
          <w:rFonts w:hint="eastAsia" w:ascii="Times New Roman" w:hAnsi="Times New Roman" w:cs="Times New Roman"/>
          <w:szCs w:val="21"/>
          <w:highlight w:val="none"/>
        </w:rPr>
        <w:t>报价精确到小数点后两位。</w:t>
      </w:r>
    </w:p>
    <w:p w14:paraId="546AE1E3">
      <w:pPr>
        <w:bidi w:val="0"/>
        <w:rPr>
          <w:highlight w:val="none"/>
        </w:rPr>
      </w:pPr>
    </w:p>
    <w:p w14:paraId="256AC0DF">
      <w:pPr>
        <w:pStyle w:val="80"/>
        <w:keepNext w:val="0"/>
        <w:keepLines w:val="0"/>
        <w:pageBreakBefore w:val="0"/>
        <w:kinsoku/>
        <w:wordWrap/>
        <w:overflowPunct/>
        <w:topLinePunct w:val="0"/>
        <w:autoSpaceDE/>
        <w:autoSpaceDN/>
        <w:bidi w:val="0"/>
        <w:adjustRightInd/>
        <w:snapToGrid/>
        <w:spacing w:line="480" w:lineRule="auto"/>
        <w:ind w:left="0" w:leftChars="0" w:right="0" w:rightChars="0" w:firstLine="0" w:firstLineChars="0"/>
        <w:jc w:val="left"/>
        <w:textAlignment w:val="auto"/>
        <w:rPr>
          <w:rFonts w:hint="eastAsia" w:ascii="新宋体" w:hAnsi="新宋体"/>
          <w:b w:val="0"/>
          <w:color w:val="auto"/>
          <w:sz w:val="21"/>
          <w:szCs w:val="21"/>
          <w:highlight w:val="none"/>
          <w:lang w:val="en-US" w:eastAsia="zh-CN"/>
        </w:rPr>
      </w:pPr>
      <w:r>
        <w:rPr>
          <w:rFonts w:hint="eastAsia" w:ascii="新宋体" w:hAnsi="新宋体"/>
          <w:b w:val="0"/>
          <w:color w:val="auto"/>
          <w:sz w:val="21"/>
          <w:szCs w:val="21"/>
          <w:highlight w:val="none"/>
          <w:lang w:val="en-US" w:eastAsia="zh-CN"/>
        </w:rPr>
        <w:t xml:space="preserve">                         </w:t>
      </w:r>
    </w:p>
    <w:p w14:paraId="5763422C">
      <w:pPr>
        <w:pStyle w:val="80"/>
        <w:keepNext w:val="0"/>
        <w:keepLines w:val="0"/>
        <w:pageBreakBefore w:val="0"/>
        <w:kinsoku/>
        <w:wordWrap/>
        <w:overflowPunct/>
        <w:topLinePunct w:val="0"/>
        <w:autoSpaceDE/>
        <w:autoSpaceDN/>
        <w:bidi w:val="0"/>
        <w:adjustRightInd/>
        <w:snapToGrid/>
        <w:spacing w:line="480" w:lineRule="auto"/>
        <w:ind w:left="0" w:leftChars="0" w:right="0" w:rightChars="0" w:firstLine="0" w:firstLineChars="0"/>
        <w:jc w:val="left"/>
        <w:textAlignment w:val="auto"/>
        <w:rPr>
          <w:rFonts w:hint="eastAsia" w:ascii="新宋体" w:hAnsi="新宋体"/>
          <w:b w:val="0"/>
          <w:color w:val="auto"/>
          <w:sz w:val="21"/>
          <w:szCs w:val="21"/>
          <w:highlight w:val="none"/>
          <w:lang w:val="en-US" w:eastAsia="zh-CN"/>
        </w:rPr>
      </w:pPr>
    </w:p>
    <w:p w14:paraId="2BAFF5E3">
      <w:pPr>
        <w:pStyle w:val="80"/>
        <w:keepNext w:val="0"/>
        <w:keepLines w:val="0"/>
        <w:pageBreakBefore w:val="0"/>
        <w:kinsoku/>
        <w:wordWrap/>
        <w:overflowPunct/>
        <w:topLinePunct w:val="0"/>
        <w:autoSpaceDE/>
        <w:autoSpaceDN/>
        <w:bidi w:val="0"/>
        <w:adjustRightInd/>
        <w:snapToGrid/>
        <w:spacing w:line="480" w:lineRule="auto"/>
        <w:ind w:left="0" w:leftChars="0" w:right="0" w:rightChars="0" w:firstLine="0" w:firstLineChars="0"/>
        <w:jc w:val="right"/>
        <w:textAlignment w:val="auto"/>
        <w:rPr>
          <w:rFonts w:hint="eastAsia" w:ascii="新宋体" w:hAnsi="新宋体"/>
          <w:b w:val="0"/>
          <w:color w:val="auto"/>
          <w:sz w:val="21"/>
          <w:szCs w:val="21"/>
          <w:highlight w:val="none"/>
        </w:rPr>
      </w:pPr>
      <w:r>
        <w:rPr>
          <w:rFonts w:hint="eastAsia" w:ascii="新宋体" w:hAnsi="新宋体"/>
          <w:b w:val="0"/>
          <w:color w:val="auto"/>
          <w:sz w:val="21"/>
          <w:szCs w:val="21"/>
          <w:highlight w:val="none"/>
          <w:lang w:val="en-US" w:eastAsia="zh-CN"/>
        </w:rPr>
        <w:t xml:space="preserve"> </w:t>
      </w:r>
      <w:r>
        <w:rPr>
          <w:rFonts w:hint="eastAsia" w:ascii="新宋体" w:hAnsi="新宋体"/>
          <w:b w:val="0"/>
          <w:color w:val="auto"/>
          <w:sz w:val="21"/>
          <w:szCs w:val="21"/>
          <w:highlight w:val="none"/>
        </w:rPr>
        <w:t>投标人：</w:t>
      </w:r>
      <w:r>
        <w:rPr>
          <w:rFonts w:ascii="新宋体" w:hAnsi="新宋体"/>
          <w:b w:val="0"/>
          <w:color w:val="auto"/>
          <w:sz w:val="21"/>
          <w:szCs w:val="21"/>
          <w:highlight w:val="none"/>
          <w:u w:val="single"/>
        </w:rPr>
        <w:t xml:space="preserve">             </w:t>
      </w:r>
      <w:r>
        <w:rPr>
          <w:rFonts w:hint="eastAsia" w:ascii="新宋体" w:hAnsi="新宋体"/>
          <w:b w:val="0"/>
          <w:color w:val="auto"/>
          <w:sz w:val="21"/>
          <w:szCs w:val="21"/>
          <w:highlight w:val="none"/>
          <w:u w:val="single"/>
        </w:rPr>
        <w:t xml:space="preserve">  （单位全称、盖章）  </w:t>
      </w:r>
    </w:p>
    <w:p w14:paraId="08C79B4D">
      <w:pPr>
        <w:pStyle w:val="80"/>
        <w:keepNext w:val="0"/>
        <w:keepLines w:val="0"/>
        <w:pageBreakBefore w:val="0"/>
        <w:kinsoku/>
        <w:wordWrap/>
        <w:overflowPunct/>
        <w:topLinePunct w:val="0"/>
        <w:autoSpaceDE/>
        <w:autoSpaceDN/>
        <w:bidi w:val="0"/>
        <w:adjustRightInd/>
        <w:snapToGrid/>
        <w:spacing w:line="480" w:lineRule="auto"/>
        <w:ind w:left="0" w:leftChars="0" w:right="0" w:rightChars="0" w:firstLine="0" w:firstLineChars="0"/>
        <w:jc w:val="left"/>
        <w:textAlignment w:val="auto"/>
        <w:rPr>
          <w:rFonts w:hint="eastAsia" w:ascii="新宋体" w:hAnsi="新宋体"/>
          <w:b w:val="0"/>
          <w:color w:val="auto"/>
          <w:sz w:val="21"/>
          <w:szCs w:val="21"/>
          <w:highlight w:val="none"/>
        </w:rPr>
      </w:pPr>
      <w:r>
        <w:rPr>
          <w:rFonts w:hint="eastAsia" w:ascii="新宋体" w:hAnsi="新宋体"/>
          <w:b w:val="0"/>
          <w:color w:val="auto"/>
          <w:sz w:val="21"/>
          <w:szCs w:val="21"/>
          <w:highlight w:val="none"/>
          <w:lang w:val="en-US" w:eastAsia="zh-CN"/>
        </w:rPr>
        <w:t xml:space="preserve">                                                 </w:t>
      </w:r>
      <w:r>
        <w:rPr>
          <w:rFonts w:hint="eastAsia" w:ascii="新宋体" w:hAnsi="新宋体"/>
          <w:b w:val="0"/>
          <w:color w:val="auto"/>
          <w:sz w:val="21"/>
          <w:szCs w:val="21"/>
          <w:highlight w:val="none"/>
        </w:rPr>
        <w:t>法定代表人或授权代表：</w:t>
      </w:r>
      <w:r>
        <w:rPr>
          <w:rFonts w:hint="eastAsia" w:ascii="新宋体" w:hAnsi="新宋体"/>
          <w:b w:val="0"/>
          <w:color w:val="auto"/>
          <w:sz w:val="21"/>
          <w:szCs w:val="21"/>
          <w:highlight w:val="none"/>
          <w:u w:val="single"/>
        </w:rPr>
        <w:t xml:space="preserve">     （</w:t>
      </w:r>
      <w:r>
        <w:rPr>
          <w:rFonts w:hint="eastAsia" w:ascii="新宋体" w:hAnsi="新宋体"/>
          <w:b w:val="0"/>
          <w:color w:val="auto"/>
          <w:sz w:val="21"/>
          <w:szCs w:val="21"/>
          <w:highlight w:val="none"/>
          <w:u w:val="single"/>
          <w:lang w:eastAsia="zh-CN"/>
        </w:rPr>
        <w:t>盖章或签字</w:t>
      </w:r>
      <w:r>
        <w:rPr>
          <w:rFonts w:hint="eastAsia" w:ascii="新宋体" w:hAnsi="新宋体"/>
          <w:b w:val="0"/>
          <w:color w:val="auto"/>
          <w:sz w:val="21"/>
          <w:szCs w:val="21"/>
          <w:highlight w:val="none"/>
          <w:u w:val="single"/>
        </w:rPr>
        <w:t xml:space="preserve">）   </w:t>
      </w:r>
    </w:p>
    <w:p w14:paraId="15BC60E9">
      <w:pPr>
        <w:bidi w:val="0"/>
        <w:spacing w:line="480" w:lineRule="auto"/>
        <w:rPr>
          <w:rFonts w:ascii="黑体" w:eastAsia="黑体"/>
          <w:b/>
          <w:bCs/>
          <w:sz w:val="21"/>
          <w:szCs w:val="21"/>
          <w:highlight w:val="none"/>
        </w:rPr>
      </w:pPr>
      <w:r>
        <w:rPr>
          <w:rFonts w:hint="eastAsia" w:ascii="新宋体" w:hAnsi="新宋体"/>
          <w:b w:val="0"/>
          <w:color w:val="auto"/>
          <w:sz w:val="21"/>
          <w:szCs w:val="21"/>
          <w:highlight w:val="none"/>
          <w:lang w:val="en-US" w:eastAsia="zh-CN"/>
        </w:rPr>
        <w:t xml:space="preserve">                                                 </w:t>
      </w:r>
      <w:r>
        <w:rPr>
          <w:rFonts w:hint="eastAsia" w:ascii="新宋体" w:hAnsi="新宋体"/>
          <w:b w:val="0"/>
          <w:color w:val="auto"/>
          <w:sz w:val="21"/>
          <w:szCs w:val="21"/>
          <w:highlight w:val="none"/>
        </w:rPr>
        <w:t>投标日期：</w:t>
      </w:r>
      <w:r>
        <w:rPr>
          <w:rFonts w:hint="eastAsia" w:ascii="新宋体" w:hAnsi="新宋体"/>
          <w:b w:val="0"/>
          <w:color w:val="auto"/>
          <w:sz w:val="21"/>
          <w:szCs w:val="21"/>
          <w:highlight w:val="none"/>
          <w:u w:val="single"/>
        </w:rPr>
        <w:t xml:space="preserve">        </w:t>
      </w:r>
      <w:r>
        <w:rPr>
          <w:rFonts w:hint="eastAsia" w:ascii="新宋体" w:hAnsi="新宋体"/>
          <w:b w:val="0"/>
          <w:color w:val="auto"/>
          <w:sz w:val="21"/>
          <w:szCs w:val="21"/>
          <w:highlight w:val="none"/>
        </w:rPr>
        <w:t>年</w:t>
      </w:r>
      <w:r>
        <w:rPr>
          <w:rFonts w:hint="eastAsia" w:ascii="新宋体" w:hAnsi="新宋体"/>
          <w:b w:val="0"/>
          <w:color w:val="auto"/>
          <w:sz w:val="21"/>
          <w:szCs w:val="21"/>
          <w:highlight w:val="none"/>
          <w:u w:val="single"/>
        </w:rPr>
        <w:t xml:space="preserve">    </w:t>
      </w:r>
      <w:r>
        <w:rPr>
          <w:rFonts w:hint="eastAsia" w:ascii="新宋体" w:hAnsi="新宋体"/>
          <w:b w:val="0"/>
          <w:color w:val="auto"/>
          <w:sz w:val="21"/>
          <w:szCs w:val="21"/>
          <w:highlight w:val="none"/>
        </w:rPr>
        <w:t>月</w:t>
      </w:r>
      <w:r>
        <w:rPr>
          <w:rFonts w:hint="eastAsia" w:ascii="新宋体" w:hAnsi="新宋体"/>
          <w:b w:val="0"/>
          <w:color w:val="auto"/>
          <w:sz w:val="21"/>
          <w:szCs w:val="21"/>
          <w:highlight w:val="none"/>
          <w:u w:val="single"/>
        </w:rPr>
        <w:t xml:space="preserve">    </w:t>
      </w:r>
      <w:r>
        <w:rPr>
          <w:rFonts w:hint="eastAsia" w:ascii="新宋体" w:hAnsi="新宋体"/>
          <w:b w:val="0"/>
          <w:color w:val="auto"/>
          <w:sz w:val="21"/>
          <w:szCs w:val="21"/>
          <w:highlight w:val="none"/>
        </w:rPr>
        <w:t>日</w:t>
      </w:r>
    </w:p>
    <w:p w14:paraId="3C65DC01">
      <w:pPr>
        <w:bidi w:val="0"/>
        <w:rPr>
          <w:highlight w:val="none"/>
        </w:rPr>
      </w:pPr>
    </w:p>
    <w:p w14:paraId="3485CA05">
      <w:pPr>
        <w:bidi w:val="0"/>
        <w:rPr>
          <w:rFonts w:hint="eastAsia" w:eastAsia="宋体"/>
          <w:highlight w:val="none"/>
          <w:lang w:eastAsia="zh-CN"/>
        </w:rPr>
      </w:pPr>
    </w:p>
    <w:p w14:paraId="54F1EB07">
      <w:pPr>
        <w:pStyle w:val="16"/>
        <w:rPr>
          <w:rFonts w:hint="eastAsia"/>
          <w:highlight w:val="none"/>
          <w:lang w:eastAsia="zh-CN"/>
        </w:rPr>
      </w:pPr>
    </w:p>
    <w:p w14:paraId="410BCD6A">
      <w:pPr>
        <w:pStyle w:val="16"/>
        <w:rPr>
          <w:rFonts w:hint="eastAsia"/>
          <w:highlight w:val="none"/>
          <w:lang w:eastAsia="zh-CN"/>
        </w:rPr>
      </w:pPr>
    </w:p>
    <w:p w14:paraId="79810725">
      <w:pPr>
        <w:pStyle w:val="16"/>
        <w:rPr>
          <w:rFonts w:hint="eastAsia"/>
          <w:highlight w:val="none"/>
          <w:lang w:eastAsia="zh-CN"/>
        </w:rPr>
      </w:pPr>
    </w:p>
    <w:p w14:paraId="4C925DC1">
      <w:pPr>
        <w:rPr>
          <w:rFonts w:hint="eastAsia" w:ascii="宋体" w:hAnsi="宋体" w:cs="宋体"/>
          <w:b/>
          <w:bCs/>
          <w:color w:val="000000"/>
          <w:sz w:val="36"/>
          <w:szCs w:val="36"/>
          <w:highlight w:val="none"/>
          <w:lang w:val="en-US" w:eastAsia="zh-CN"/>
        </w:rPr>
      </w:pPr>
      <w:r>
        <w:rPr>
          <w:rFonts w:hint="eastAsia" w:ascii="宋体" w:hAnsi="宋体" w:cs="宋体"/>
          <w:b/>
          <w:bCs/>
          <w:color w:val="000000"/>
          <w:sz w:val="36"/>
          <w:szCs w:val="36"/>
          <w:highlight w:val="none"/>
        </w:rPr>
        <w:br w:type="page"/>
      </w:r>
    </w:p>
    <w:p w14:paraId="60960AAD">
      <w:pPr>
        <w:numPr>
          <w:ilvl w:val="0"/>
          <w:numId w:val="0"/>
        </w:numPr>
        <w:spacing w:line="560" w:lineRule="exact"/>
        <w:jc w:val="center"/>
        <w:rPr>
          <w:rFonts w:hint="eastAsia" w:ascii="宋体" w:hAnsi="宋体" w:cs="宋体"/>
          <w:b/>
          <w:bCs/>
          <w:color w:val="000000"/>
          <w:sz w:val="36"/>
          <w:szCs w:val="36"/>
          <w:highlight w:val="none"/>
        </w:rPr>
      </w:pPr>
      <w:r>
        <w:rPr>
          <w:rFonts w:hint="eastAsia" w:ascii="宋体" w:hAnsi="宋体" w:cs="宋体"/>
          <w:b/>
          <w:bCs/>
          <w:color w:val="000000"/>
          <w:sz w:val="36"/>
          <w:szCs w:val="36"/>
          <w:highlight w:val="none"/>
        </w:rPr>
        <w:t>分项报价表</w:t>
      </w:r>
    </w:p>
    <w:p w14:paraId="01F8ECC5">
      <w:pPr>
        <w:numPr>
          <w:ilvl w:val="0"/>
          <w:numId w:val="0"/>
        </w:numPr>
        <w:spacing w:line="560" w:lineRule="exact"/>
        <w:jc w:val="both"/>
        <w:rPr>
          <w:rFonts w:hint="eastAsia" w:ascii="宋体" w:hAnsi="宋体" w:cs="宋体"/>
          <w:b/>
          <w:bCs/>
          <w:color w:val="000000"/>
          <w:sz w:val="36"/>
          <w:szCs w:val="36"/>
        </w:rPr>
      </w:pPr>
      <w:r>
        <w:rPr>
          <w:rFonts w:hint="eastAsia" w:ascii="宋体" w:hAnsi="宋体"/>
          <w:szCs w:val="21"/>
          <w:lang w:eastAsia="zh-CN"/>
        </w:rPr>
        <w:t>投标人名称：</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none"/>
          <w:lang w:val="en-US" w:eastAsia="zh-CN"/>
        </w:rPr>
        <w:t xml:space="preserve">                         项目编号：</w:t>
      </w:r>
      <w:r>
        <w:rPr>
          <w:rFonts w:hint="eastAsia" w:ascii="宋体" w:hAnsi="宋体"/>
          <w:szCs w:val="21"/>
          <w:u w:val="single"/>
          <w:lang w:val="en-US" w:eastAsia="zh-CN"/>
        </w:rPr>
        <w:t xml:space="preserve">              </w:t>
      </w:r>
    </w:p>
    <w:tbl>
      <w:tblPr>
        <w:tblStyle w:val="40"/>
        <w:tblW w:w="10216" w:type="dxa"/>
        <w:tblInd w:w="-219"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966"/>
        <w:gridCol w:w="735"/>
        <w:gridCol w:w="823"/>
        <w:gridCol w:w="684"/>
        <w:gridCol w:w="885"/>
        <w:gridCol w:w="1063"/>
        <w:gridCol w:w="1012"/>
        <w:gridCol w:w="1012"/>
        <w:gridCol w:w="1012"/>
        <w:gridCol w:w="1012"/>
        <w:gridCol w:w="1012"/>
      </w:tblGrid>
      <w:tr w14:paraId="6D76994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74" w:hRule="atLeast"/>
        </w:trPr>
        <w:tc>
          <w:tcPr>
            <w:tcW w:w="966" w:type="dxa"/>
            <w:noWrap w:val="0"/>
            <w:vAlign w:val="center"/>
          </w:tcPr>
          <w:p w14:paraId="2BF55830">
            <w:pPr>
              <w:jc w:val="center"/>
              <w:rPr>
                <w:rFonts w:hint="eastAsia" w:ascii="宋体" w:hAnsi="宋体" w:eastAsia="宋体" w:cs="宋体"/>
                <w:color w:val="auto"/>
                <w:sz w:val="21"/>
                <w:szCs w:val="21"/>
              </w:rPr>
            </w:pPr>
            <w:r>
              <w:rPr>
                <w:rFonts w:hint="eastAsia" w:ascii="宋体" w:hAnsi="宋体" w:eastAsia="宋体" w:cs="宋体"/>
                <w:b/>
                <w:bCs/>
                <w:color w:val="auto"/>
                <w:sz w:val="21"/>
                <w:szCs w:val="21"/>
              </w:rPr>
              <w:t>项目编号</w:t>
            </w:r>
          </w:p>
        </w:tc>
        <w:tc>
          <w:tcPr>
            <w:tcW w:w="9250" w:type="dxa"/>
            <w:gridSpan w:val="10"/>
            <w:noWrap w:val="0"/>
            <w:vAlign w:val="center"/>
          </w:tcPr>
          <w:p w14:paraId="30FD496B">
            <w:pPr>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rPr>
              <w:t>服务费总报价</w:t>
            </w:r>
          </w:p>
          <w:p w14:paraId="0A59A492">
            <w:pPr>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rPr>
              <w:t>（人民币：元）</w:t>
            </w:r>
          </w:p>
        </w:tc>
      </w:tr>
      <w:tr w14:paraId="4CF3DD3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48" w:hRule="atLeast"/>
        </w:trPr>
        <w:tc>
          <w:tcPr>
            <w:tcW w:w="966" w:type="dxa"/>
            <w:vMerge w:val="restart"/>
            <w:noWrap w:val="0"/>
            <w:vAlign w:val="center"/>
          </w:tcPr>
          <w:p w14:paraId="3CEF9B93">
            <w:pPr>
              <w:jc w:val="center"/>
              <w:rPr>
                <w:rFonts w:hint="eastAsia" w:ascii="宋体" w:hAnsi="宋体" w:eastAsia="宋体" w:cs="宋体"/>
                <w:color w:val="auto"/>
                <w:sz w:val="21"/>
                <w:szCs w:val="21"/>
                <w:lang w:eastAsia="zh-CN"/>
              </w:rPr>
            </w:pPr>
            <w:r>
              <w:rPr>
                <w:rFonts w:hint="eastAsia" w:ascii="宋体" w:hAnsi="宋体" w:cs="宋体"/>
                <w:color w:val="auto"/>
                <w:sz w:val="21"/>
                <w:szCs w:val="21"/>
                <w:lang w:eastAsia="zh-CN"/>
              </w:rPr>
              <w:t>RHAKCG-20260212</w:t>
            </w:r>
          </w:p>
        </w:tc>
        <w:tc>
          <w:tcPr>
            <w:tcW w:w="735" w:type="dxa"/>
            <w:noWrap w:val="0"/>
            <w:vAlign w:val="center"/>
          </w:tcPr>
          <w:p w14:paraId="4E34373F">
            <w:pPr>
              <w:jc w:val="center"/>
              <w:rPr>
                <w:rFonts w:hint="eastAsia" w:ascii="宋体" w:hAnsi="宋体" w:eastAsia="宋体" w:cs="宋体"/>
                <w:color w:val="auto"/>
                <w:sz w:val="21"/>
                <w:szCs w:val="21"/>
              </w:rPr>
            </w:pPr>
            <w:r>
              <w:rPr>
                <w:rFonts w:hint="eastAsia" w:ascii="宋体" w:hAnsi="宋体" w:eastAsia="宋体" w:cs="宋体"/>
                <w:color w:val="auto"/>
                <w:sz w:val="21"/>
                <w:szCs w:val="21"/>
              </w:rPr>
              <w:t>大写</w:t>
            </w:r>
          </w:p>
        </w:tc>
        <w:tc>
          <w:tcPr>
            <w:tcW w:w="8515" w:type="dxa"/>
            <w:gridSpan w:val="9"/>
            <w:noWrap w:val="0"/>
            <w:vAlign w:val="center"/>
          </w:tcPr>
          <w:p w14:paraId="408A2126">
            <w:pPr>
              <w:jc w:val="center"/>
              <w:rPr>
                <w:rFonts w:hint="eastAsia" w:ascii="宋体" w:hAnsi="宋体" w:eastAsia="宋体" w:cs="宋体"/>
                <w:color w:val="auto"/>
                <w:sz w:val="21"/>
                <w:szCs w:val="21"/>
              </w:rPr>
            </w:pPr>
          </w:p>
        </w:tc>
      </w:tr>
      <w:tr w14:paraId="2ACCEC6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62" w:hRule="atLeast"/>
        </w:trPr>
        <w:tc>
          <w:tcPr>
            <w:tcW w:w="966" w:type="dxa"/>
            <w:vMerge w:val="continue"/>
            <w:noWrap w:val="0"/>
            <w:vAlign w:val="center"/>
          </w:tcPr>
          <w:p w14:paraId="641C6625">
            <w:pPr>
              <w:jc w:val="center"/>
              <w:rPr>
                <w:rFonts w:hint="eastAsia" w:ascii="宋体" w:hAnsi="宋体" w:eastAsia="宋体" w:cs="宋体"/>
                <w:color w:val="auto"/>
                <w:sz w:val="21"/>
                <w:szCs w:val="21"/>
              </w:rPr>
            </w:pPr>
          </w:p>
        </w:tc>
        <w:tc>
          <w:tcPr>
            <w:tcW w:w="735" w:type="dxa"/>
            <w:noWrap w:val="0"/>
            <w:vAlign w:val="center"/>
          </w:tcPr>
          <w:p w14:paraId="2C006D73">
            <w:pPr>
              <w:jc w:val="center"/>
              <w:rPr>
                <w:rFonts w:hint="eastAsia" w:ascii="宋体" w:hAnsi="宋体" w:eastAsia="宋体" w:cs="宋体"/>
                <w:color w:val="auto"/>
                <w:sz w:val="21"/>
                <w:szCs w:val="21"/>
              </w:rPr>
            </w:pPr>
            <w:r>
              <w:rPr>
                <w:rFonts w:hint="eastAsia" w:ascii="宋体" w:hAnsi="宋体" w:eastAsia="宋体" w:cs="宋体"/>
                <w:color w:val="auto"/>
                <w:sz w:val="21"/>
                <w:szCs w:val="21"/>
              </w:rPr>
              <w:t>小写</w:t>
            </w:r>
          </w:p>
        </w:tc>
        <w:tc>
          <w:tcPr>
            <w:tcW w:w="8515" w:type="dxa"/>
            <w:gridSpan w:val="9"/>
            <w:noWrap w:val="0"/>
            <w:vAlign w:val="center"/>
          </w:tcPr>
          <w:p w14:paraId="7BA9B8CD">
            <w:pPr>
              <w:jc w:val="center"/>
              <w:rPr>
                <w:rFonts w:hint="eastAsia" w:ascii="宋体" w:hAnsi="宋体" w:eastAsia="宋体" w:cs="宋体"/>
                <w:color w:val="auto"/>
                <w:sz w:val="21"/>
                <w:szCs w:val="21"/>
              </w:rPr>
            </w:pPr>
          </w:p>
        </w:tc>
      </w:tr>
      <w:tr w14:paraId="486B54B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020" w:hRule="atLeast"/>
        </w:trPr>
        <w:tc>
          <w:tcPr>
            <w:tcW w:w="966" w:type="dxa"/>
            <w:noWrap w:val="0"/>
            <w:vAlign w:val="center"/>
          </w:tcPr>
          <w:p w14:paraId="41115F8E">
            <w:pPr>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序号</w:t>
            </w:r>
          </w:p>
        </w:tc>
        <w:tc>
          <w:tcPr>
            <w:tcW w:w="735" w:type="dxa"/>
            <w:noWrap w:val="0"/>
            <w:vAlign w:val="center"/>
          </w:tcPr>
          <w:p w14:paraId="1F1DFABA">
            <w:pPr>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货物 </w:t>
            </w:r>
          </w:p>
          <w:p w14:paraId="40365261">
            <w:pPr>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名称</w:t>
            </w:r>
          </w:p>
          <w:p w14:paraId="44AA414A">
            <w:pPr>
              <w:jc w:val="center"/>
              <w:rPr>
                <w:rFonts w:hint="eastAsia" w:ascii="宋体" w:hAnsi="宋体" w:eastAsia="宋体" w:cs="宋体"/>
                <w:color w:val="auto"/>
                <w:sz w:val="21"/>
                <w:szCs w:val="21"/>
                <w:lang w:val="en-US" w:eastAsia="zh-CN"/>
              </w:rPr>
            </w:pPr>
          </w:p>
        </w:tc>
        <w:tc>
          <w:tcPr>
            <w:tcW w:w="823" w:type="dxa"/>
            <w:noWrap w:val="0"/>
            <w:vAlign w:val="center"/>
          </w:tcPr>
          <w:p w14:paraId="5EB7F73F">
            <w:pPr>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品牌</w:t>
            </w:r>
          </w:p>
          <w:p w14:paraId="53FAD35C">
            <w:pPr>
              <w:jc w:val="center"/>
              <w:rPr>
                <w:rFonts w:hint="eastAsia" w:ascii="宋体" w:hAnsi="宋体" w:eastAsia="宋体" w:cs="宋体"/>
                <w:color w:val="auto"/>
                <w:sz w:val="21"/>
                <w:szCs w:val="21"/>
                <w:lang w:val="en-US" w:eastAsia="zh-CN"/>
              </w:rPr>
            </w:pPr>
          </w:p>
        </w:tc>
        <w:tc>
          <w:tcPr>
            <w:tcW w:w="684" w:type="dxa"/>
            <w:noWrap w:val="0"/>
            <w:vAlign w:val="center"/>
          </w:tcPr>
          <w:p w14:paraId="34E5C9D2">
            <w:pPr>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生产 </w:t>
            </w:r>
          </w:p>
          <w:p w14:paraId="4F570130">
            <w:pPr>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厂家</w:t>
            </w:r>
          </w:p>
          <w:p w14:paraId="591677E5">
            <w:pPr>
              <w:jc w:val="center"/>
              <w:rPr>
                <w:rFonts w:hint="eastAsia" w:ascii="宋体" w:hAnsi="宋体" w:eastAsia="宋体" w:cs="宋体"/>
                <w:color w:val="auto"/>
                <w:sz w:val="21"/>
                <w:szCs w:val="21"/>
                <w:lang w:val="en-US" w:eastAsia="zh-CN"/>
              </w:rPr>
            </w:pPr>
          </w:p>
        </w:tc>
        <w:tc>
          <w:tcPr>
            <w:tcW w:w="885" w:type="dxa"/>
            <w:noWrap w:val="0"/>
            <w:vAlign w:val="center"/>
          </w:tcPr>
          <w:p w14:paraId="6BD8A6D4">
            <w:pPr>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产地</w:t>
            </w:r>
          </w:p>
          <w:p w14:paraId="5BBB501C">
            <w:pPr>
              <w:jc w:val="center"/>
              <w:rPr>
                <w:rFonts w:hint="eastAsia" w:ascii="宋体" w:hAnsi="宋体" w:eastAsia="宋体" w:cs="宋体"/>
                <w:color w:val="auto"/>
                <w:sz w:val="21"/>
                <w:szCs w:val="21"/>
                <w:lang w:val="en-US" w:eastAsia="zh-CN"/>
              </w:rPr>
            </w:pPr>
          </w:p>
        </w:tc>
        <w:tc>
          <w:tcPr>
            <w:tcW w:w="1063" w:type="dxa"/>
            <w:noWrap w:val="0"/>
            <w:vAlign w:val="center"/>
          </w:tcPr>
          <w:p w14:paraId="24770777">
            <w:pPr>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规格 </w:t>
            </w:r>
          </w:p>
          <w:p w14:paraId="65223B21">
            <w:pPr>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型号</w:t>
            </w:r>
          </w:p>
          <w:p w14:paraId="03E736E0">
            <w:pPr>
              <w:jc w:val="center"/>
              <w:rPr>
                <w:rFonts w:hint="eastAsia" w:ascii="宋体" w:hAnsi="宋体" w:eastAsia="宋体" w:cs="宋体"/>
                <w:color w:val="auto"/>
                <w:sz w:val="21"/>
                <w:szCs w:val="21"/>
                <w:lang w:val="en-US" w:eastAsia="zh-CN"/>
              </w:rPr>
            </w:pPr>
          </w:p>
        </w:tc>
        <w:tc>
          <w:tcPr>
            <w:tcW w:w="1012" w:type="dxa"/>
            <w:noWrap w:val="0"/>
            <w:vAlign w:val="center"/>
          </w:tcPr>
          <w:p w14:paraId="6D93FDA1">
            <w:pPr>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单 </w:t>
            </w:r>
          </w:p>
          <w:p w14:paraId="72F76FA8">
            <w:pPr>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价</w:t>
            </w:r>
          </w:p>
          <w:p w14:paraId="0671DF5C">
            <w:pPr>
              <w:jc w:val="center"/>
              <w:rPr>
                <w:rFonts w:hint="eastAsia" w:ascii="宋体" w:hAnsi="宋体" w:eastAsia="宋体" w:cs="宋体"/>
                <w:color w:val="auto"/>
                <w:sz w:val="21"/>
                <w:szCs w:val="21"/>
                <w:lang w:val="en-US" w:eastAsia="zh-CN"/>
              </w:rPr>
            </w:pPr>
          </w:p>
        </w:tc>
        <w:tc>
          <w:tcPr>
            <w:tcW w:w="1012" w:type="dxa"/>
            <w:noWrap w:val="0"/>
            <w:vAlign w:val="center"/>
          </w:tcPr>
          <w:p w14:paraId="3125C706">
            <w:pPr>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数量</w:t>
            </w:r>
          </w:p>
          <w:p w14:paraId="4F8C7831">
            <w:pPr>
              <w:jc w:val="center"/>
              <w:rPr>
                <w:rFonts w:hint="eastAsia" w:ascii="宋体" w:hAnsi="宋体" w:eastAsia="宋体" w:cs="宋体"/>
                <w:color w:val="auto"/>
                <w:sz w:val="21"/>
                <w:szCs w:val="21"/>
                <w:lang w:val="en-US" w:eastAsia="zh-CN"/>
              </w:rPr>
            </w:pPr>
          </w:p>
        </w:tc>
        <w:tc>
          <w:tcPr>
            <w:tcW w:w="1012" w:type="dxa"/>
            <w:noWrap w:val="0"/>
            <w:vAlign w:val="center"/>
          </w:tcPr>
          <w:p w14:paraId="1CB7A7D4">
            <w:pPr>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合计</w:t>
            </w:r>
          </w:p>
          <w:p w14:paraId="7D03C188">
            <w:pPr>
              <w:jc w:val="center"/>
              <w:rPr>
                <w:rFonts w:hint="eastAsia" w:ascii="宋体" w:hAnsi="宋体" w:eastAsia="宋体" w:cs="宋体"/>
                <w:color w:val="auto"/>
                <w:sz w:val="21"/>
                <w:szCs w:val="21"/>
                <w:lang w:val="en-US" w:eastAsia="zh-CN"/>
              </w:rPr>
            </w:pPr>
          </w:p>
        </w:tc>
        <w:tc>
          <w:tcPr>
            <w:tcW w:w="1012" w:type="dxa"/>
            <w:noWrap w:val="0"/>
            <w:vAlign w:val="center"/>
          </w:tcPr>
          <w:p w14:paraId="490A60A0">
            <w:pPr>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中小 </w:t>
            </w:r>
          </w:p>
          <w:p w14:paraId="10047954">
            <w:pPr>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企业</w:t>
            </w:r>
          </w:p>
          <w:p w14:paraId="31A81331">
            <w:pPr>
              <w:jc w:val="center"/>
              <w:rPr>
                <w:rFonts w:hint="eastAsia" w:ascii="宋体" w:hAnsi="宋体" w:eastAsia="宋体" w:cs="宋体"/>
                <w:color w:val="auto"/>
                <w:sz w:val="21"/>
                <w:szCs w:val="21"/>
                <w:lang w:val="en-US" w:eastAsia="zh-CN"/>
              </w:rPr>
            </w:pPr>
          </w:p>
        </w:tc>
        <w:tc>
          <w:tcPr>
            <w:tcW w:w="1012" w:type="dxa"/>
            <w:noWrap w:val="0"/>
            <w:vAlign w:val="center"/>
          </w:tcPr>
          <w:p w14:paraId="4EB35489">
            <w:pPr>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政策功能类 </w:t>
            </w:r>
          </w:p>
          <w:p w14:paraId="549910AF">
            <w:pPr>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型及编号（如 </w:t>
            </w:r>
          </w:p>
          <w:p w14:paraId="53CC963B">
            <w:pPr>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节能环保等）</w:t>
            </w:r>
          </w:p>
          <w:p w14:paraId="6C295A30">
            <w:pPr>
              <w:jc w:val="center"/>
              <w:rPr>
                <w:rFonts w:hint="eastAsia" w:ascii="宋体" w:hAnsi="宋体" w:eastAsia="宋体" w:cs="宋体"/>
                <w:color w:val="auto"/>
                <w:sz w:val="21"/>
                <w:szCs w:val="21"/>
                <w:lang w:val="en-US" w:eastAsia="zh-CN"/>
              </w:rPr>
            </w:pPr>
          </w:p>
        </w:tc>
      </w:tr>
      <w:tr w14:paraId="4C4940C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89" w:hRule="atLeast"/>
        </w:trPr>
        <w:tc>
          <w:tcPr>
            <w:tcW w:w="966" w:type="dxa"/>
            <w:noWrap w:val="0"/>
            <w:vAlign w:val="center"/>
          </w:tcPr>
          <w:p w14:paraId="1F40EF60">
            <w:pPr>
              <w:jc w:val="center"/>
              <w:rPr>
                <w:rFonts w:hint="eastAsia" w:ascii="宋体" w:hAnsi="宋体" w:eastAsia="宋体" w:cs="宋体"/>
                <w:color w:val="auto"/>
                <w:sz w:val="21"/>
                <w:szCs w:val="21"/>
              </w:rPr>
            </w:pPr>
          </w:p>
        </w:tc>
        <w:tc>
          <w:tcPr>
            <w:tcW w:w="735" w:type="dxa"/>
            <w:noWrap w:val="0"/>
            <w:vAlign w:val="center"/>
          </w:tcPr>
          <w:p w14:paraId="242FA9B6">
            <w:pPr>
              <w:spacing w:line="480" w:lineRule="exact"/>
              <w:jc w:val="center"/>
              <w:rPr>
                <w:rFonts w:hint="eastAsia" w:ascii="宋体" w:hAnsi="宋体" w:eastAsia="宋体" w:cs="宋体"/>
                <w:color w:val="auto"/>
                <w:sz w:val="21"/>
                <w:szCs w:val="21"/>
              </w:rPr>
            </w:pPr>
          </w:p>
        </w:tc>
        <w:tc>
          <w:tcPr>
            <w:tcW w:w="823" w:type="dxa"/>
            <w:noWrap w:val="0"/>
            <w:vAlign w:val="center"/>
          </w:tcPr>
          <w:p w14:paraId="30DBB87A">
            <w:pPr>
              <w:spacing w:line="480" w:lineRule="exact"/>
              <w:jc w:val="center"/>
              <w:rPr>
                <w:rFonts w:hint="eastAsia" w:ascii="宋体" w:hAnsi="宋体" w:eastAsia="宋体" w:cs="宋体"/>
                <w:color w:val="auto"/>
                <w:sz w:val="21"/>
                <w:szCs w:val="21"/>
              </w:rPr>
            </w:pPr>
          </w:p>
        </w:tc>
        <w:tc>
          <w:tcPr>
            <w:tcW w:w="684" w:type="dxa"/>
            <w:noWrap w:val="0"/>
            <w:vAlign w:val="center"/>
          </w:tcPr>
          <w:p w14:paraId="0BA1AFE9">
            <w:pPr>
              <w:spacing w:line="480" w:lineRule="exact"/>
              <w:jc w:val="center"/>
              <w:rPr>
                <w:rFonts w:hint="eastAsia" w:ascii="宋体" w:hAnsi="宋体" w:eastAsia="宋体" w:cs="宋体"/>
                <w:color w:val="auto"/>
                <w:sz w:val="21"/>
                <w:szCs w:val="21"/>
              </w:rPr>
            </w:pPr>
          </w:p>
        </w:tc>
        <w:tc>
          <w:tcPr>
            <w:tcW w:w="885" w:type="dxa"/>
            <w:noWrap w:val="0"/>
            <w:vAlign w:val="center"/>
          </w:tcPr>
          <w:p w14:paraId="601A8E45">
            <w:pPr>
              <w:spacing w:line="480" w:lineRule="exact"/>
              <w:jc w:val="center"/>
              <w:rPr>
                <w:rFonts w:hint="eastAsia" w:ascii="宋体" w:hAnsi="宋体" w:eastAsia="宋体" w:cs="宋体"/>
                <w:color w:val="auto"/>
                <w:sz w:val="21"/>
                <w:szCs w:val="21"/>
              </w:rPr>
            </w:pPr>
          </w:p>
        </w:tc>
        <w:tc>
          <w:tcPr>
            <w:tcW w:w="1063" w:type="dxa"/>
            <w:noWrap w:val="0"/>
            <w:vAlign w:val="center"/>
          </w:tcPr>
          <w:p w14:paraId="51B0B34C">
            <w:pPr>
              <w:spacing w:line="480" w:lineRule="exact"/>
              <w:jc w:val="center"/>
              <w:rPr>
                <w:rFonts w:hint="eastAsia" w:ascii="宋体" w:hAnsi="宋体" w:eastAsia="宋体" w:cs="宋体"/>
                <w:color w:val="auto"/>
                <w:sz w:val="21"/>
                <w:szCs w:val="21"/>
                <w:highlight w:val="red"/>
              </w:rPr>
            </w:pPr>
          </w:p>
        </w:tc>
        <w:tc>
          <w:tcPr>
            <w:tcW w:w="1012" w:type="dxa"/>
            <w:noWrap w:val="0"/>
            <w:vAlign w:val="center"/>
          </w:tcPr>
          <w:p w14:paraId="5685376C">
            <w:pPr>
              <w:spacing w:line="480" w:lineRule="exact"/>
              <w:jc w:val="center"/>
              <w:rPr>
                <w:rFonts w:hint="eastAsia" w:ascii="宋体" w:hAnsi="宋体" w:eastAsia="宋体" w:cs="宋体"/>
                <w:color w:val="auto"/>
                <w:sz w:val="21"/>
                <w:szCs w:val="21"/>
                <w:highlight w:val="red"/>
              </w:rPr>
            </w:pPr>
          </w:p>
        </w:tc>
        <w:tc>
          <w:tcPr>
            <w:tcW w:w="1012" w:type="dxa"/>
            <w:noWrap w:val="0"/>
            <w:vAlign w:val="center"/>
          </w:tcPr>
          <w:p w14:paraId="548313B5">
            <w:pPr>
              <w:spacing w:line="480" w:lineRule="exact"/>
              <w:jc w:val="center"/>
              <w:rPr>
                <w:rFonts w:hint="eastAsia" w:ascii="宋体" w:hAnsi="宋体" w:eastAsia="宋体" w:cs="宋体"/>
                <w:color w:val="auto"/>
                <w:sz w:val="21"/>
                <w:szCs w:val="21"/>
                <w:highlight w:val="red"/>
              </w:rPr>
            </w:pPr>
          </w:p>
        </w:tc>
        <w:tc>
          <w:tcPr>
            <w:tcW w:w="1012" w:type="dxa"/>
            <w:noWrap w:val="0"/>
            <w:vAlign w:val="center"/>
          </w:tcPr>
          <w:p w14:paraId="0AE01475">
            <w:pPr>
              <w:spacing w:line="480" w:lineRule="exact"/>
              <w:jc w:val="center"/>
              <w:rPr>
                <w:rFonts w:hint="eastAsia" w:ascii="宋体" w:hAnsi="宋体" w:eastAsia="宋体" w:cs="宋体"/>
                <w:color w:val="auto"/>
                <w:sz w:val="21"/>
                <w:szCs w:val="21"/>
                <w:highlight w:val="red"/>
              </w:rPr>
            </w:pPr>
          </w:p>
        </w:tc>
        <w:tc>
          <w:tcPr>
            <w:tcW w:w="1012" w:type="dxa"/>
            <w:noWrap w:val="0"/>
            <w:vAlign w:val="center"/>
          </w:tcPr>
          <w:p w14:paraId="61B6CD70">
            <w:pPr>
              <w:spacing w:line="480" w:lineRule="exact"/>
              <w:jc w:val="center"/>
              <w:rPr>
                <w:rFonts w:hint="eastAsia" w:ascii="宋体" w:hAnsi="宋体" w:eastAsia="宋体" w:cs="宋体"/>
                <w:color w:val="auto"/>
                <w:sz w:val="21"/>
                <w:szCs w:val="21"/>
                <w:highlight w:val="red"/>
              </w:rPr>
            </w:pPr>
          </w:p>
        </w:tc>
        <w:tc>
          <w:tcPr>
            <w:tcW w:w="1012" w:type="dxa"/>
            <w:noWrap w:val="0"/>
            <w:vAlign w:val="center"/>
          </w:tcPr>
          <w:p w14:paraId="49FB7BBA">
            <w:pPr>
              <w:spacing w:line="480" w:lineRule="exact"/>
              <w:jc w:val="center"/>
              <w:rPr>
                <w:rFonts w:hint="eastAsia" w:ascii="宋体" w:hAnsi="宋体" w:eastAsia="宋体" w:cs="宋体"/>
                <w:color w:val="auto"/>
                <w:sz w:val="21"/>
                <w:szCs w:val="21"/>
                <w:highlight w:val="red"/>
              </w:rPr>
            </w:pPr>
          </w:p>
        </w:tc>
      </w:tr>
      <w:tr w14:paraId="1EC1496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57" w:hRule="atLeast"/>
        </w:trPr>
        <w:tc>
          <w:tcPr>
            <w:tcW w:w="966" w:type="dxa"/>
            <w:noWrap w:val="0"/>
            <w:vAlign w:val="center"/>
          </w:tcPr>
          <w:p w14:paraId="2DC350EA">
            <w:pPr>
              <w:jc w:val="center"/>
              <w:rPr>
                <w:rFonts w:hint="eastAsia" w:ascii="宋体" w:hAnsi="宋体" w:eastAsia="宋体" w:cs="宋体"/>
                <w:color w:val="auto"/>
                <w:sz w:val="21"/>
                <w:szCs w:val="21"/>
              </w:rPr>
            </w:pPr>
          </w:p>
        </w:tc>
        <w:tc>
          <w:tcPr>
            <w:tcW w:w="735" w:type="dxa"/>
            <w:noWrap w:val="0"/>
            <w:vAlign w:val="top"/>
          </w:tcPr>
          <w:p w14:paraId="48868CE4">
            <w:pPr>
              <w:pStyle w:val="176"/>
              <w:spacing w:afterLines="0" w:line="440" w:lineRule="exact"/>
              <w:ind w:firstLine="0" w:firstLineChars="0"/>
              <w:jc w:val="left"/>
              <w:rPr>
                <w:rFonts w:hint="eastAsia" w:ascii="宋体" w:hAnsi="宋体" w:eastAsia="宋体" w:cs="宋体"/>
                <w:color w:val="auto"/>
                <w:sz w:val="21"/>
                <w:szCs w:val="21"/>
              </w:rPr>
            </w:pPr>
          </w:p>
        </w:tc>
        <w:tc>
          <w:tcPr>
            <w:tcW w:w="823" w:type="dxa"/>
            <w:noWrap w:val="0"/>
            <w:vAlign w:val="center"/>
          </w:tcPr>
          <w:p w14:paraId="0E9AD73C">
            <w:pPr>
              <w:spacing w:line="480" w:lineRule="exact"/>
              <w:jc w:val="center"/>
              <w:rPr>
                <w:rFonts w:hint="eastAsia" w:ascii="宋体" w:hAnsi="宋体" w:eastAsia="宋体" w:cs="宋体"/>
                <w:color w:val="auto"/>
                <w:sz w:val="21"/>
                <w:szCs w:val="21"/>
              </w:rPr>
            </w:pPr>
          </w:p>
        </w:tc>
        <w:tc>
          <w:tcPr>
            <w:tcW w:w="684" w:type="dxa"/>
            <w:noWrap w:val="0"/>
            <w:vAlign w:val="center"/>
          </w:tcPr>
          <w:p w14:paraId="51500103">
            <w:pPr>
              <w:spacing w:line="480" w:lineRule="exact"/>
              <w:jc w:val="center"/>
              <w:rPr>
                <w:rFonts w:hint="eastAsia" w:ascii="宋体" w:hAnsi="宋体" w:eastAsia="宋体" w:cs="宋体"/>
                <w:color w:val="auto"/>
                <w:sz w:val="21"/>
                <w:szCs w:val="21"/>
              </w:rPr>
            </w:pPr>
          </w:p>
        </w:tc>
        <w:tc>
          <w:tcPr>
            <w:tcW w:w="885" w:type="dxa"/>
            <w:noWrap w:val="0"/>
            <w:vAlign w:val="center"/>
          </w:tcPr>
          <w:p w14:paraId="51CA259A">
            <w:pPr>
              <w:spacing w:line="480" w:lineRule="exact"/>
              <w:jc w:val="center"/>
              <w:rPr>
                <w:rFonts w:hint="eastAsia" w:ascii="宋体" w:hAnsi="宋体" w:eastAsia="宋体" w:cs="宋体"/>
                <w:color w:val="auto"/>
                <w:sz w:val="21"/>
                <w:szCs w:val="21"/>
              </w:rPr>
            </w:pPr>
          </w:p>
        </w:tc>
        <w:tc>
          <w:tcPr>
            <w:tcW w:w="1063" w:type="dxa"/>
            <w:noWrap w:val="0"/>
            <w:vAlign w:val="center"/>
          </w:tcPr>
          <w:p w14:paraId="02351045">
            <w:pPr>
              <w:spacing w:line="480" w:lineRule="exact"/>
              <w:jc w:val="center"/>
              <w:rPr>
                <w:rFonts w:hint="eastAsia" w:ascii="宋体" w:hAnsi="宋体" w:eastAsia="宋体" w:cs="宋体"/>
                <w:color w:val="auto"/>
                <w:sz w:val="21"/>
                <w:szCs w:val="21"/>
                <w:highlight w:val="red"/>
              </w:rPr>
            </w:pPr>
          </w:p>
        </w:tc>
        <w:tc>
          <w:tcPr>
            <w:tcW w:w="1012" w:type="dxa"/>
            <w:noWrap w:val="0"/>
            <w:vAlign w:val="center"/>
          </w:tcPr>
          <w:p w14:paraId="45E81F4E">
            <w:pPr>
              <w:spacing w:line="480" w:lineRule="exact"/>
              <w:jc w:val="center"/>
              <w:rPr>
                <w:rFonts w:hint="eastAsia" w:ascii="宋体" w:hAnsi="宋体" w:eastAsia="宋体" w:cs="宋体"/>
                <w:color w:val="auto"/>
                <w:sz w:val="21"/>
                <w:szCs w:val="21"/>
                <w:highlight w:val="red"/>
              </w:rPr>
            </w:pPr>
          </w:p>
        </w:tc>
        <w:tc>
          <w:tcPr>
            <w:tcW w:w="1012" w:type="dxa"/>
            <w:noWrap w:val="0"/>
            <w:vAlign w:val="center"/>
          </w:tcPr>
          <w:p w14:paraId="6E067E44">
            <w:pPr>
              <w:spacing w:line="480" w:lineRule="exact"/>
              <w:jc w:val="center"/>
              <w:rPr>
                <w:rFonts w:hint="eastAsia" w:ascii="宋体" w:hAnsi="宋体" w:eastAsia="宋体" w:cs="宋体"/>
                <w:color w:val="auto"/>
                <w:sz w:val="21"/>
                <w:szCs w:val="21"/>
                <w:highlight w:val="red"/>
              </w:rPr>
            </w:pPr>
          </w:p>
        </w:tc>
        <w:tc>
          <w:tcPr>
            <w:tcW w:w="1012" w:type="dxa"/>
            <w:noWrap w:val="0"/>
            <w:vAlign w:val="center"/>
          </w:tcPr>
          <w:p w14:paraId="76F390C6">
            <w:pPr>
              <w:spacing w:line="480" w:lineRule="exact"/>
              <w:jc w:val="center"/>
              <w:rPr>
                <w:rFonts w:hint="eastAsia" w:ascii="宋体" w:hAnsi="宋体" w:eastAsia="宋体" w:cs="宋体"/>
                <w:color w:val="auto"/>
                <w:sz w:val="21"/>
                <w:szCs w:val="21"/>
                <w:highlight w:val="red"/>
              </w:rPr>
            </w:pPr>
          </w:p>
        </w:tc>
        <w:tc>
          <w:tcPr>
            <w:tcW w:w="1012" w:type="dxa"/>
            <w:noWrap w:val="0"/>
            <w:vAlign w:val="center"/>
          </w:tcPr>
          <w:p w14:paraId="09EE2278">
            <w:pPr>
              <w:spacing w:line="480" w:lineRule="exact"/>
              <w:jc w:val="center"/>
              <w:rPr>
                <w:rFonts w:hint="eastAsia" w:ascii="宋体" w:hAnsi="宋体" w:eastAsia="宋体" w:cs="宋体"/>
                <w:color w:val="auto"/>
                <w:sz w:val="21"/>
                <w:szCs w:val="21"/>
                <w:highlight w:val="red"/>
              </w:rPr>
            </w:pPr>
          </w:p>
        </w:tc>
        <w:tc>
          <w:tcPr>
            <w:tcW w:w="1012" w:type="dxa"/>
            <w:noWrap w:val="0"/>
            <w:vAlign w:val="center"/>
          </w:tcPr>
          <w:p w14:paraId="5844C01D">
            <w:pPr>
              <w:spacing w:line="480" w:lineRule="exact"/>
              <w:jc w:val="center"/>
              <w:rPr>
                <w:rFonts w:hint="eastAsia" w:ascii="宋体" w:hAnsi="宋体" w:eastAsia="宋体" w:cs="宋体"/>
                <w:color w:val="auto"/>
                <w:sz w:val="21"/>
                <w:szCs w:val="21"/>
                <w:highlight w:val="red"/>
              </w:rPr>
            </w:pPr>
          </w:p>
        </w:tc>
      </w:tr>
      <w:tr w14:paraId="6FE3F96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57" w:hRule="atLeast"/>
        </w:trPr>
        <w:tc>
          <w:tcPr>
            <w:tcW w:w="966" w:type="dxa"/>
            <w:noWrap w:val="0"/>
            <w:vAlign w:val="center"/>
          </w:tcPr>
          <w:p w14:paraId="4A1F5B78">
            <w:pPr>
              <w:jc w:val="center"/>
              <w:rPr>
                <w:rFonts w:hint="eastAsia" w:ascii="宋体" w:hAnsi="宋体" w:eastAsia="宋体" w:cs="宋体"/>
                <w:color w:val="auto"/>
                <w:sz w:val="21"/>
                <w:szCs w:val="21"/>
              </w:rPr>
            </w:pPr>
          </w:p>
        </w:tc>
        <w:tc>
          <w:tcPr>
            <w:tcW w:w="735" w:type="dxa"/>
            <w:noWrap w:val="0"/>
            <w:vAlign w:val="center"/>
          </w:tcPr>
          <w:p w14:paraId="6672873A">
            <w:pPr>
              <w:spacing w:line="480" w:lineRule="exact"/>
              <w:jc w:val="center"/>
              <w:rPr>
                <w:rFonts w:hint="eastAsia" w:ascii="宋体" w:hAnsi="宋体" w:eastAsia="宋体" w:cs="宋体"/>
                <w:color w:val="auto"/>
                <w:sz w:val="21"/>
                <w:szCs w:val="21"/>
              </w:rPr>
            </w:pPr>
          </w:p>
        </w:tc>
        <w:tc>
          <w:tcPr>
            <w:tcW w:w="823" w:type="dxa"/>
            <w:noWrap w:val="0"/>
            <w:vAlign w:val="center"/>
          </w:tcPr>
          <w:p w14:paraId="7A8CDB77">
            <w:pPr>
              <w:spacing w:line="480" w:lineRule="exact"/>
              <w:jc w:val="center"/>
              <w:rPr>
                <w:rFonts w:hint="eastAsia" w:ascii="宋体" w:hAnsi="宋体" w:eastAsia="宋体" w:cs="宋体"/>
                <w:color w:val="auto"/>
                <w:sz w:val="21"/>
                <w:szCs w:val="21"/>
              </w:rPr>
            </w:pPr>
          </w:p>
        </w:tc>
        <w:tc>
          <w:tcPr>
            <w:tcW w:w="684" w:type="dxa"/>
            <w:noWrap w:val="0"/>
            <w:vAlign w:val="center"/>
          </w:tcPr>
          <w:p w14:paraId="540A233B">
            <w:pPr>
              <w:spacing w:line="480" w:lineRule="exact"/>
              <w:jc w:val="center"/>
              <w:rPr>
                <w:rFonts w:hint="eastAsia" w:ascii="宋体" w:hAnsi="宋体" w:eastAsia="宋体" w:cs="宋体"/>
                <w:color w:val="auto"/>
                <w:sz w:val="21"/>
                <w:szCs w:val="21"/>
              </w:rPr>
            </w:pPr>
          </w:p>
        </w:tc>
        <w:tc>
          <w:tcPr>
            <w:tcW w:w="885" w:type="dxa"/>
            <w:noWrap w:val="0"/>
            <w:vAlign w:val="center"/>
          </w:tcPr>
          <w:p w14:paraId="63F31891">
            <w:pPr>
              <w:spacing w:line="480" w:lineRule="exact"/>
              <w:jc w:val="center"/>
              <w:rPr>
                <w:rFonts w:hint="eastAsia" w:ascii="宋体" w:hAnsi="宋体" w:eastAsia="宋体" w:cs="宋体"/>
                <w:color w:val="auto"/>
                <w:sz w:val="21"/>
                <w:szCs w:val="21"/>
              </w:rPr>
            </w:pPr>
          </w:p>
        </w:tc>
        <w:tc>
          <w:tcPr>
            <w:tcW w:w="1063" w:type="dxa"/>
            <w:noWrap w:val="0"/>
            <w:vAlign w:val="center"/>
          </w:tcPr>
          <w:p w14:paraId="0682A762">
            <w:pPr>
              <w:spacing w:line="480" w:lineRule="exact"/>
              <w:jc w:val="center"/>
              <w:rPr>
                <w:rFonts w:hint="eastAsia" w:ascii="宋体" w:hAnsi="宋体" w:eastAsia="宋体" w:cs="宋体"/>
                <w:color w:val="auto"/>
                <w:sz w:val="21"/>
                <w:szCs w:val="21"/>
                <w:highlight w:val="red"/>
              </w:rPr>
            </w:pPr>
          </w:p>
        </w:tc>
        <w:tc>
          <w:tcPr>
            <w:tcW w:w="1012" w:type="dxa"/>
            <w:noWrap w:val="0"/>
            <w:vAlign w:val="center"/>
          </w:tcPr>
          <w:p w14:paraId="3360A360">
            <w:pPr>
              <w:spacing w:line="480" w:lineRule="exact"/>
              <w:jc w:val="center"/>
              <w:rPr>
                <w:rFonts w:hint="eastAsia" w:ascii="宋体" w:hAnsi="宋体" w:eastAsia="宋体" w:cs="宋体"/>
                <w:color w:val="auto"/>
                <w:sz w:val="21"/>
                <w:szCs w:val="21"/>
                <w:highlight w:val="red"/>
              </w:rPr>
            </w:pPr>
          </w:p>
        </w:tc>
        <w:tc>
          <w:tcPr>
            <w:tcW w:w="1012" w:type="dxa"/>
            <w:noWrap w:val="0"/>
            <w:vAlign w:val="center"/>
          </w:tcPr>
          <w:p w14:paraId="192539ED">
            <w:pPr>
              <w:spacing w:line="480" w:lineRule="exact"/>
              <w:jc w:val="center"/>
              <w:rPr>
                <w:rFonts w:hint="eastAsia" w:ascii="宋体" w:hAnsi="宋体" w:eastAsia="宋体" w:cs="宋体"/>
                <w:color w:val="auto"/>
                <w:sz w:val="21"/>
                <w:szCs w:val="21"/>
                <w:highlight w:val="red"/>
              </w:rPr>
            </w:pPr>
          </w:p>
        </w:tc>
        <w:tc>
          <w:tcPr>
            <w:tcW w:w="1012" w:type="dxa"/>
            <w:noWrap w:val="0"/>
            <w:vAlign w:val="center"/>
          </w:tcPr>
          <w:p w14:paraId="11891F6C">
            <w:pPr>
              <w:spacing w:line="480" w:lineRule="exact"/>
              <w:jc w:val="center"/>
              <w:rPr>
                <w:rFonts w:hint="eastAsia" w:ascii="宋体" w:hAnsi="宋体" w:eastAsia="宋体" w:cs="宋体"/>
                <w:color w:val="auto"/>
                <w:sz w:val="21"/>
                <w:szCs w:val="21"/>
                <w:highlight w:val="red"/>
              </w:rPr>
            </w:pPr>
          </w:p>
        </w:tc>
        <w:tc>
          <w:tcPr>
            <w:tcW w:w="1012" w:type="dxa"/>
            <w:noWrap w:val="0"/>
            <w:vAlign w:val="center"/>
          </w:tcPr>
          <w:p w14:paraId="5266706B">
            <w:pPr>
              <w:spacing w:line="480" w:lineRule="exact"/>
              <w:jc w:val="center"/>
              <w:rPr>
                <w:rFonts w:hint="eastAsia" w:ascii="宋体" w:hAnsi="宋体" w:eastAsia="宋体" w:cs="宋体"/>
                <w:color w:val="auto"/>
                <w:sz w:val="21"/>
                <w:szCs w:val="21"/>
                <w:highlight w:val="red"/>
              </w:rPr>
            </w:pPr>
          </w:p>
        </w:tc>
        <w:tc>
          <w:tcPr>
            <w:tcW w:w="1012" w:type="dxa"/>
            <w:noWrap w:val="0"/>
            <w:vAlign w:val="center"/>
          </w:tcPr>
          <w:p w14:paraId="5299DE9B">
            <w:pPr>
              <w:spacing w:line="480" w:lineRule="exact"/>
              <w:jc w:val="center"/>
              <w:rPr>
                <w:rFonts w:hint="eastAsia" w:ascii="宋体" w:hAnsi="宋体" w:eastAsia="宋体" w:cs="宋体"/>
                <w:color w:val="auto"/>
                <w:sz w:val="21"/>
                <w:szCs w:val="21"/>
                <w:highlight w:val="red"/>
              </w:rPr>
            </w:pPr>
          </w:p>
        </w:tc>
      </w:tr>
      <w:tr w14:paraId="7C18D03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57" w:hRule="atLeast"/>
        </w:trPr>
        <w:tc>
          <w:tcPr>
            <w:tcW w:w="966" w:type="dxa"/>
            <w:noWrap w:val="0"/>
            <w:vAlign w:val="center"/>
          </w:tcPr>
          <w:p w14:paraId="5EF687EC">
            <w:pPr>
              <w:jc w:val="center"/>
              <w:rPr>
                <w:rFonts w:hint="eastAsia" w:ascii="宋体" w:hAnsi="宋体" w:eastAsia="宋体" w:cs="宋体"/>
                <w:color w:val="auto"/>
                <w:sz w:val="21"/>
                <w:szCs w:val="21"/>
              </w:rPr>
            </w:pPr>
          </w:p>
        </w:tc>
        <w:tc>
          <w:tcPr>
            <w:tcW w:w="735" w:type="dxa"/>
            <w:noWrap w:val="0"/>
            <w:vAlign w:val="center"/>
          </w:tcPr>
          <w:p w14:paraId="17AB59C3">
            <w:pPr>
              <w:spacing w:line="480" w:lineRule="exact"/>
              <w:jc w:val="center"/>
              <w:rPr>
                <w:rFonts w:hint="eastAsia" w:ascii="宋体" w:hAnsi="宋体" w:eastAsia="宋体" w:cs="宋体"/>
                <w:color w:val="auto"/>
                <w:sz w:val="21"/>
                <w:szCs w:val="21"/>
              </w:rPr>
            </w:pPr>
          </w:p>
        </w:tc>
        <w:tc>
          <w:tcPr>
            <w:tcW w:w="823" w:type="dxa"/>
            <w:noWrap w:val="0"/>
            <w:vAlign w:val="center"/>
          </w:tcPr>
          <w:p w14:paraId="6E8921F1">
            <w:pPr>
              <w:spacing w:line="480" w:lineRule="exact"/>
              <w:jc w:val="center"/>
              <w:rPr>
                <w:rFonts w:hint="eastAsia" w:ascii="宋体" w:hAnsi="宋体" w:eastAsia="宋体" w:cs="宋体"/>
                <w:color w:val="auto"/>
                <w:sz w:val="21"/>
                <w:szCs w:val="21"/>
              </w:rPr>
            </w:pPr>
          </w:p>
        </w:tc>
        <w:tc>
          <w:tcPr>
            <w:tcW w:w="684" w:type="dxa"/>
            <w:noWrap w:val="0"/>
            <w:vAlign w:val="center"/>
          </w:tcPr>
          <w:p w14:paraId="00B4D565">
            <w:pPr>
              <w:spacing w:line="480" w:lineRule="exact"/>
              <w:jc w:val="center"/>
              <w:rPr>
                <w:rFonts w:hint="eastAsia" w:ascii="宋体" w:hAnsi="宋体" w:eastAsia="宋体" w:cs="宋体"/>
                <w:color w:val="auto"/>
                <w:sz w:val="21"/>
                <w:szCs w:val="21"/>
              </w:rPr>
            </w:pPr>
          </w:p>
        </w:tc>
        <w:tc>
          <w:tcPr>
            <w:tcW w:w="885" w:type="dxa"/>
            <w:noWrap w:val="0"/>
            <w:vAlign w:val="center"/>
          </w:tcPr>
          <w:p w14:paraId="14BF9F32">
            <w:pPr>
              <w:spacing w:line="480" w:lineRule="exact"/>
              <w:jc w:val="center"/>
              <w:rPr>
                <w:rFonts w:hint="eastAsia" w:ascii="宋体" w:hAnsi="宋体" w:eastAsia="宋体" w:cs="宋体"/>
                <w:color w:val="auto"/>
                <w:sz w:val="21"/>
                <w:szCs w:val="21"/>
              </w:rPr>
            </w:pPr>
          </w:p>
        </w:tc>
        <w:tc>
          <w:tcPr>
            <w:tcW w:w="1063" w:type="dxa"/>
            <w:noWrap w:val="0"/>
            <w:vAlign w:val="center"/>
          </w:tcPr>
          <w:p w14:paraId="06751F9B">
            <w:pPr>
              <w:spacing w:line="480" w:lineRule="exact"/>
              <w:jc w:val="center"/>
              <w:rPr>
                <w:rFonts w:hint="eastAsia" w:ascii="宋体" w:hAnsi="宋体" w:eastAsia="宋体" w:cs="宋体"/>
                <w:color w:val="auto"/>
                <w:sz w:val="21"/>
                <w:szCs w:val="21"/>
                <w:highlight w:val="red"/>
              </w:rPr>
            </w:pPr>
          </w:p>
        </w:tc>
        <w:tc>
          <w:tcPr>
            <w:tcW w:w="1012" w:type="dxa"/>
            <w:noWrap w:val="0"/>
            <w:vAlign w:val="center"/>
          </w:tcPr>
          <w:p w14:paraId="6278E0BF">
            <w:pPr>
              <w:spacing w:line="480" w:lineRule="exact"/>
              <w:jc w:val="center"/>
              <w:rPr>
                <w:rFonts w:hint="eastAsia" w:ascii="宋体" w:hAnsi="宋体" w:eastAsia="宋体" w:cs="宋体"/>
                <w:color w:val="auto"/>
                <w:sz w:val="21"/>
                <w:szCs w:val="21"/>
                <w:highlight w:val="red"/>
              </w:rPr>
            </w:pPr>
          </w:p>
        </w:tc>
        <w:tc>
          <w:tcPr>
            <w:tcW w:w="1012" w:type="dxa"/>
            <w:noWrap w:val="0"/>
            <w:vAlign w:val="center"/>
          </w:tcPr>
          <w:p w14:paraId="00FFA261">
            <w:pPr>
              <w:spacing w:line="480" w:lineRule="exact"/>
              <w:jc w:val="center"/>
              <w:rPr>
                <w:rFonts w:hint="eastAsia" w:ascii="宋体" w:hAnsi="宋体" w:eastAsia="宋体" w:cs="宋体"/>
                <w:color w:val="auto"/>
                <w:sz w:val="21"/>
                <w:szCs w:val="21"/>
                <w:highlight w:val="red"/>
              </w:rPr>
            </w:pPr>
          </w:p>
        </w:tc>
        <w:tc>
          <w:tcPr>
            <w:tcW w:w="1012" w:type="dxa"/>
            <w:noWrap w:val="0"/>
            <w:vAlign w:val="center"/>
          </w:tcPr>
          <w:p w14:paraId="60B7422D">
            <w:pPr>
              <w:spacing w:line="480" w:lineRule="exact"/>
              <w:jc w:val="center"/>
              <w:rPr>
                <w:rFonts w:hint="eastAsia" w:ascii="宋体" w:hAnsi="宋体" w:eastAsia="宋体" w:cs="宋体"/>
                <w:color w:val="auto"/>
                <w:sz w:val="21"/>
                <w:szCs w:val="21"/>
                <w:highlight w:val="red"/>
              </w:rPr>
            </w:pPr>
          </w:p>
        </w:tc>
        <w:tc>
          <w:tcPr>
            <w:tcW w:w="1012" w:type="dxa"/>
            <w:noWrap w:val="0"/>
            <w:vAlign w:val="center"/>
          </w:tcPr>
          <w:p w14:paraId="19DDFBD0">
            <w:pPr>
              <w:spacing w:line="480" w:lineRule="exact"/>
              <w:jc w:val="center"/>
              <w:rPr>
                <w:rFonts w:hint="eastAsia" w:ascii="宋体" w:hAnsi="宋体" w:eastAsia="宋体" w:cs="宋体"/>
                <w:color w:val="auto"/>
                <w:sz w:val="21"/>
                <w:szCs w:val="21"/>
                <w:highlight w:val="red"/>
              </w:rPr>
            </w:pPr>
          </w:p>
        </w:tc>
        <w:tc>
          <w:tcPr>
            <w:tcW w:w="1012" w:type="dxa"/>
            <w:noWrap w:val="0"/>
            <w:vAlign w:val="center"/>
          </w:tcPr>
          <w:p w14:paraId="0DA42B3F">
            <w:pPr>
              <w:spacing w:line="480" w:lineRule="exact"/>
              <w:jc w:val="center"/>
              <w:rPr>
                <w:rFonts w:hint="eastAsia" w:ascii="宋体" w:hAnsi="宋体" w:eastAsia="宋体" w:cs="宋体"/>
                <w:color w:val="auto"/>
                <w:sz w:val="21"/>
                <w:szCs w:val="21"/>
                <w:highlight w:val="red"/>
              </w:rPr>
            </w:pPr>
          </w:p>
        </w:tc>
      </w:tr>
      <w:tr w14:paraId="5BA25B5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57" w:hRule="atLeast"/>
        </w:trPr>
        <w:tc>
          <w:tcPr>
            <w:tcW w:w="966" w:type="dxa"/>
            <w:noWrap w:val="0"/>
            <w:vAlign w:val="center"/>
          </w:tcPr>
          <w:p w14:paraId="0C8BCCF2">
            <w:pPr>
              <w:jc w:val="center"/>
              <w:rPr>
                <w:rFonts w:hint="eastAsia" w:ascii="宋体" w:hAnsi="宋体" w:eastAsia="宋体" w:cs="宋体"/>
                <w:color w:val="auto"/>
                <w:sz w:val="21"/>
                <w:szCs w:val="21"/>
              </w:rPr>
            </w:pPr>
          </w:p>
        </w:tc>
        <w:tc>
          <w:tcPr>
            <w:tcW w:w="735" w:type="dxa"/>
            <w:noWrap w:val="0"/>
            <w:vAlign w:val="center"/>
          </w:tcPr>
          <w:p w14:paraId="258D72F7">
            <w:pPr>
              <w:spacing w:line="480" w:lineRule="exact"/>
              <w:jc w:val="center"/>
              <w:rPr>
                <w:rFonts w:hint="eastAsia" w:ascii="宋体" w:hAnsi="宋体" w:eastAsia="宋体" w:cs="宋体"/>
                <w:color w:val="auto"/>
                <w:sz w:val="21"/>
                <w:szCs w:val="21"/>
              </w:rPr>
            </w:pPr>
          </w:p>
        </w:tc>
        <w:tc>
          <w:tcPr>
            <w:tcW w:w="823" w:type="dxa"/>
            <w:noWrap w:val="0"/>
            <w:vAlign w:val="center"/>
          </w:tcPr>
          <w:p w14:paraId="076587C8">
            <w:pPr>
              <w:spacing w:line="480" w:lineRule="exact"/>
              <w:jc w:val="center"/>
              <w:rPr>
                <w:rFonts w:hint="eastAsia" w:ascii="宋体" w:hAnsi="宋体" w:eastAsia="宋体" w:cs="宋体"/>
                <w:color w:val="auto"/>
                <w:sz w:val="21"/>
                <w:szCs w:val="21"/>
              </w:rPr>
            </w:pPr>
          </w:p>
        </w:tc>
        <w:tc>
          <w:tcPr>
            <w:tcW w:w="684" w:type="dxa"/>
            <w:noWrap w:val="0"/>
            <w:vAlign w:val="center"/>
          </w:tcPr>
          <w:p w14:paraId="67D158A0">
            <w:pPr>
              <w:spacing w:line="480" w:lineRule="exact"/>
              <w:jc w:val="center"/>
              <w:rPr>
                <w:rFonts w:hint="eastAsia" w:ascii="宋体" w:hAnsi="宋体" w:eastAsia="宋体" w:cs="宋体"/>
                <w:color w:val="auto"/>
                <w:sz w:val="21"/>
                <w:szCs w:val="21"/>
              </w:rPr>
            </w:pPr>
          </w:p>
        </w:tc>
        <w:tc>
          <w:tcPr>
            <w:tcW w:w="885" w:type="dxa"/>
            <w:noWrap w:val="0"/>
            <w:vAlign w:val="center"/>
          </w:tcPr>
          <w:p w14:paraId="2877E3FB">
            <w:pPr>
              <w:spacing w:line="480" w:lineRule="exact"/>
              <w:jc w:val="center"/>
              <w:rPr>
                <w:rFonts w:hint="eastAsia" w:ascii="宋体" w:hAnsi="宋体" w:eastAsia="宋体" w:cs="宋体"/>
                <w:color w:val="auto"/>
                <w:sz w:val="21"/>
                <w:szCs w:val="21"/>
              </w:rPr>
            </w:pPr>
          </w:p>
        </w:tc>
        <w:tc>
          <w:tcPr>
            <w:tcW w:w="1063" w:type="dxa"/>
            <w:noWrap w:val="0"/>
            <w:vAlign w:val="center"/>
          </w:tcPr>
          <w:p w14:paraId="358E90A1">
            <w:pPr>
              <w:spacing w:line="480" w:lineRule="exact"/>
              <w:jc w:val="center"/>
              <w:rPr>
                <w:rFonts w:hint="eastAsia" w:ascii="宋体" w:hAnsi="宋体" w:eastAsia="宋体" w:cs="宋体"/>
                <w:color w:val="auto"/>
                <w:sz w:val="21"/>
                <w:szCs w:val="21"/>
                <w:highlight w:val="red"/>
              </w:rPr>
            </w:pPr>
          </w:p>
        </w:tc>
        <w:tc>
          <w:tcPr>
            <w:tcW w:w="1012" w:type="dxa"/>
            <w:noWrap w:val="0"/>
            <w:vAlign w:val="center"/>
          </w:tcPr>
          <w:p w14:paraId="7E409284">
            <w:pPr>
              <w:spacing w:line="480" w:lineRule="exact"/>
              <w:jc w:val="center"/>
              <w:rPr>
                <w:rFonts w:hint="eastAsia" w:ascii="宋体" w:hAnsi="宋体" w:eastAsia="宋体" w:cs="宋体"/>
                <w:color w:val="auto"/>
                <w:sz w:val="21"/>
                <w:szCs w:val="21"/>
                <w:highlight w:val="red"/>
              </w:rPr>
            </w:pPr>
          </w:p>
        </w:tc>
        <w:tc>
          <w:tcPr>
            <w:tcW w:w="1012" w:type="dxa"/>
            <w:noWrap w:val="0"/>
            <w:vAlign w:val="center"/>
          </w:tcPr>
          <w:p w14:paraId="7EEB5ED9">
            <w:pPr>
              <w:spacing w:line="480" w:lineRule="exact"/>
              <w:jc w:val="center"/>
              <w:rPr>
                <w:rFonts w:hint="eastAsia" w:ascii="宋体" w:hAnsi="宋体" w:eastAsia="宋体" w:cs="宋体"/>
                <w:color w:val="auto"/>
                <w:sz w:val="21"/>
                <w:szCs w:val="21"/>
                <w:highlight w:val="red"/>
              </w:rPr>
            </w:pPr>
          </w:p>
        </w:tc>
        <w:tc>
          <w:tcPr>
            <w:tcW w:w="1012" w:type="dxa"/>
            <w:noWrap w:val="0"/>
            <w:vAlign w:val="center"/>
          </w:tcPr>
          <w:p w14:paraId="0AA1917F">
            <w:pPr>
              <w:spacing w:line="480" w:lineRule="exact"/>
              <w:jc w:val="center"/>
              <w:rPr>
                <w:rFonts w:hint="eastAsia" w:ascii="宋体" w:hAnsi="宋体" w:eastAsia="宋体" w:cs="宋体"/>
                <w:color w:val="auto"/>
                <w:sz w:val="21"/>
                <w:szCs w:val="21"/>
                <w:highlight w:val="red"/>
              </w:rPr>
            </w:pPr>
          </w:p>
        </w:tc>
        <w:tc>
          <w:tcPr>
            <w:tcW w:w="1012" w:type="dxa"/>
            <w:noWrap w:val="0"/>
            <w:vAlign w:val="center"/>
          </w:tcPr>
          <w:p w14:paraId="7005583E">
            <w:pPr>
              <w:spacing w:line="480" w:lineRule="exact"/>
              <w:jc w:val="center"/>
              <w:rPr>
                <w:rFonts w:hint="eastAsia" w:ascii="宋体" w:hAnsi="宋体" w:eastAsia="宋体" w:cs="宋体"/>
                <w:color w:val="auto"/>
                <w:sz w:val="21"/>
                <w:szCs w:val="21"/>
                <w:highlight w:val="red"/>
              </w:rPr>
            </w:pPr>
          </w:p>
        </w:tc>
        <w:tc>
          <w:tcPr>
            <w:tcW w:w="1012" w:type="dxa"/>
            <w:noWrap w:val="0"/>
            <w:vAlign w:val="center"/>
          </w:tcPr>
          <w:p w14:paraId="37073D17">
            <w:pPr>
              <w:spacing w:line="480" w:lineRule="exact"/>
              <w:jc w:val="center"/>
              <w:rPr>
                <w:rFonts w:hint="eastAsia" w:ascii="宋体" w:hAnsi="宋体" w:eastAsia="宋体" w:cs="宋体"/>
                <w:color w:val="auto"/>
                <w:sz w:val="21"/>
                <w:szCs w:val="21"/>
                <w:highlight w:val="red"/>
              </w:rPr>
            </w:pPr>
          </w:p>
        </w:tc>
      </w:tr>
      <w:tr w14:paraId="7CEFA46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966" w:type="dxa"/>
            <w:noWrap w:val="0"/>
            <w:vAlign w:val="center"/>
          </w:tcPr>
          <w:p w14:paraId="152B5266">
            <w:pPr>
              <w:jc w:val="center"/>
              <w:rPr>
                <w:rFonts w:hint="eastAsia" w:ascii="宋体" w:hAnsi="宋体" w:eastAsia="宋体" w:cs="宋体"/>
                <w:color w:val="auto"/>
                <w:sz w:val="21"/>
                <w:szCs w:val="21"/>
              </w:rPr>
            </w:pPr>
            <w:r>
              <w:rPr>
                <w:rFonts w:hint="eastAsia" w:ascii="宋体" w:hAnsi="宋体" w:eastAsia="宋体" w:cs="宋体"/>
                <w:color w:val="auto"/>
                <w:sz w:val="21"/>
                <w:szCs w:val="21"/>
              </w:rPr>
              <w:t>总计</w:t>
            </w:r>
          </w:p>
        </w:tc>
        <w:tc>
          <w:tcPr>
            <w:tcW w:w="735" w:type="dxa"/>
            <w:noWrap w:val="0"/>
            <w:vAlign w:val="center"/>
          </w:tcPr>
          <w:p w14:paraId="757112F0">
            <w:pPr>
              <w:spacing w:line="480" w:lineRule="exact"/>
              <w:jc w:val="center"/>
              <w:rPr>
                <w:rFonts w:hint="eastAsia" w:ascii="宋体" w:hAnsi="宋体" w:eastAsia="宋体" w:cs="宋体"/>
                <w:color w:val="auto"/>
                <w:sz w:val="21"/>
                <w:szCs w:val="21"/>
              </w:rPr>
            </w:pPr>
          </w:p>
        </w:tc>
        <w:tc>
          <w:tcPr>
            <w:tcW w:w="823" w:type="dxa"/>
            <w:noWrap w:val="0"/>
            <w:vAlign w:val="center"/>
          </w:tcPr>
          <w:p w14:paraId="0FD26710">
            <w:pPr>
              <w:spacing w:line="480" w:lineRule="exact"/>
              <w:jc w:val="center"/>
              <w:rPr>
                <w:rFonts w:hint="eastAsia" w:ascii="宋体" w:hAnsi="宋体" w:eastAsia="宋体" w:cs="宋体"/>
                <w:color w:val="auto"/>
                <w:sz w:val="21"/>
                <w:szCs w:val="21"/>
              </w:rPr>
            </w:pPr>
          </w:p>
        </w:tc>
        <w:tc>
          <w:tcPr>
            <w:tcW w:w="684" w:type="dxa"/>
            <w:noWrap w:val="0"/>
            <w:vAlign w:val="center"/>
          </w:tcPr>
          <w:p w14:paraId="3A2EFC54">
            <w:pPr>
              <w:spacing w:line="480" w:lineRule="exact"/>
              <w:jc w:val="center"/>
              <w:rPr>
                <w:rFonts w:hint="eastAsia" w:ascii="宋体" w:hAnsi="宋体" w:eastAsia="宋体" w:cs="宋体"/>
                <w:color w:val="auto"/>
                <w:sz w:val="21"/>
                <w:szCs w:val="21"/>
              </w:rPr>
            </w:pPr>
          </w:p>
        </w:tc>
        <w:tc>
          <w:tcPr>
            <w:tcW w:w="885" w:type="dxa"/>
            <w:noWrap w:val="0"/>
            <w:vAlign w:val="center"/>
          </w:tcPr>
          <w:p w14:paraId="22F16D4D">
            <w:pPr>
              <w:spacing w:line="480" w:lineRule="exact"/>
              <w:jc w:val="center"/>
              <w:rPr>
                <w:rFonts w:hint="eastAsia" w:ascii="宋体" w:hAnsi="宋体" w:eastAsia="宋体" w:cs="宋体"/>
                <w:color w:val="auto"/>
                <w:sz w:val="21"/>
                <w:szCs w:val="21"/>
              </w:rPr>
            </w:pPr>
          </w:p>
        </w:tc>
        <w:tc>
          <w:tcPr>
            <w:tcW w:w="1063" w:type="dxa"/>
            <w:noWrap w:val="0"/>
            <w:vAlign w:val="center"/>
          </w:tcPr>
          <w:p w14:paraId="7F11D87A">
            <w:pPr>
              <w:spacing w:line="480" w:lineRule="exact"/>
              <w:jc w:val="center"/>
              <w:rPr>
                <w:rFonts w:hint="eastAsia" w:ascii="宋体" w:hAnsi="宋体" w:eastAsia="宋体" w:cs="宋体"/>
                <w:color w:val="auto"/>
                <w:sz w:val="21"/>
                <w:szCs w:val="21"/>
                <w:highlight w:val="red"/>
              </w:rPr>
            </w:pPr>
          </w:p>
        </w:tc>
        <w:tc>
          <w:tcPr>
            <w:tcW w:w="1012" w:type="dxa"/>
            <w:noWrap w:val="0"/>
            <w:vAlign w:val="center"/>
          </w:tcPr>
          <w:p w14:paraId="05FCF737">
            <w:pPr>
              <w:spacing w:line="480" w:lineRule="exact"/>
              <w:jc w:val="center"/>
              <w:rPr>
                <w:rFonts w:hint="eastAsia" w:ascii="宋体" w:hAnsi="宋体" w:eastAsia="宋体" w:cs="宋体"/>
                <w:color w:val="auto"/>
                <w:sz w:val="21"/>
                <w:szCs w:val="21"/>
                <w:highlight w:val="red"/>
              </w:rPr>
            </w:pPr>
          </w:p>
        </w:tc>
        <w:tc>
          <w:tcPr>
            <w:tcW w:w="1012" w:type="dxa"/>
            <w:noWrap w:val="0"/>
            <w:vAlign w:val="center"/>
          </w:tcPr>
          <w:p w14:paraId="668636CF">
            <w:pPr>
              <w:spacing w:line="480" w:lineRule="exact"/>
              <w:jc w:val="center"/>
              <w:rPr>
                <w:rFonts w:hint="eastAsia" w:ascii="宋体" w:hAnsi="宋体" w:eastAsia="宋体" w:cs="宋体"/>
                <w:color w:val="auto"/>
                <w:sz w:val="21"/>
                <w:szCs w:val="21"/>
                <w:highlight w:val="red"/>
              </w:rPr>
            </w:pPr>
          </w:p>
        </w:tc>
        <w:tc>
          <w:tcPr>
            <w:tcW w:w="1012" w:type="dxa"/>
            <w:noWrap w:val="0"/>
            <w:vAlign w:val="center"/>
          </w:tcPr>
          <w:p w14:paraId="1747CEC2">
            <w:pPr>
              <w:spacing w:line="480" w:lineRule="exact"/>
              <w:jc w:val="center"/>
              <w:rPr>
                <w:rFonts w:hint="eastAsia" w:ascii="宋体" w:hAnsi="宋体" w:eastAsia="宋体" w:cs="宋体"/>
                <w:color w:val="auto"/>
                <w:sz w:val="21"/>
                <w:szCs w:val="21"/>
                <w:highlight w:val="red"/>
              </w:rPr>
            </w:pPr>
          </w:p>
        </w:tc>
        <w:tc>
          <w:tcPr>
            <w:tcW w:w="1012" w:type="dxa"/>
            <w:noWrap w:val="0"/>
            <w:vAlign w:val="center"/>
          </w:tcPr>
          <w:p w14:paraId="62234981">
            <w:pPr>
              <w:spacing w:line="480" w:lineRule="exact"/>
              <w:jc w:val="center"/>
              <w:rPr>
                <w:rFonts w:hint="eastAsia" w:ascii="宋体" w:hAnsi="宋体" w:eastAsia="宋体" w:cs="宋体"/>
                <w:color w:val="auto"/>
                <w:sz w:val="21"/>
                <w:szCs w:val="21"/>
                <w:highlight w:val="red"/>
              </w:rPr>
            </w:pPr>
          </w:p>
        </w:tc>
        <w:tc>
          <w:tcPr>
            <w:tcW w:w="1012" w:type="dxa"/>
            <w:noWrap w:val="0"/>
            <w:vAlign w:val="center"/>
          </w:tcPr>
          <w:p w14:paraId="741EE650">
            <w:pPr>
              <w:spacing w:line="480" w:lineRule="exact"/>
              <w:jc w:val="center"/>
              <w:rPr>
                <w:rFonts w:hint="eastAsia" w:ascii="宋体" w:hAnsi="宋体" w:eastAsia="宋体" w:cs="宋体"/>
                <w:color w:val="auto"/>
                <w:sz w:val="21"/>
                <w:szCs w:val="21"/>
                <w:highlight w:val="red"/>
              </w:rPr>
            </w:pPr>
          </w:p>
        </w:tc>
      </w:tr>
    </w:tbl>
    <w:p w14:paraId="3ED063D0">
      <w:pPr>
        <w:keepNext w:val="0"/>
        <w:keepLines w:val="0"/>
        <w:pageBreakBefore w:val="0"/>
        <w:widowControl w:val="0"/>
        <w:kinsoku/>
        <w:wordWrap/>
        <w:overflowPunct/>
        <w:topLinePunct w:val="0"/>
        <w:autoSpaceDE/>
        <w:autoSpaceDN/>
        <w:bidi w:val="0"/>
        <w:adjustRightInd/>
        <w:snapToGrid/>
        <w:spacing w:line="400" w:lineRule="exact"/>
        <w:jc w:val="left"/>
        <w:textAlignment w:val="auto"/>
        <w:outlineLvl w:val="9"/>
        <w:rPr>
          <w:rFonts w:hint="eastAsia" w:ascii="宋体" w:hAnsi="宋体" w:cs="宋体"/>
          <w:b w:val="0"/>
          <w:bCs w:val="0"/>
          <w:color w:val="000000"/>
          <w:sz w:val="21"/>
          <w:szCs w:val="21"/>
          <w:lang w:eastAsia="zh-CN"/>
        </w:rPr>
      </w:pPr>
      <w:r>
        <w:rPr>
          <w:rFonts w:hint="default" w:ascii="Times New Roman" w:hAnsi="Times New Roman" w:cs="Times New Roman"/>
          <w:b w:val="0"/>
          <w:bCs w:val="0"/>
          <w:position w:val="4"/>
          <w:sz w:val="21"/>
          <w:szCs w:val="21"/>
        </w:rPr>
        <w:t>注：</w:t>
      </w:r>
      <w:r>
        <w:rPr>
          <w:rFonts w:hint="eastAsia" w:ascii="宋体" w:hAnsi="宋体" w:cs="宋体"/>
          <w:b w:val="0"/>
          <w:bCs w:val="0"/>
          <w:color w:val="000000"/>
          <w:sz w:val="21"/>
          <w:szCs w:val="21"/>
          <w:lang w:eastAsia="zh-CN"/>
        </w:rPr>
        <w:t>1、报价均应执行国家规定的取费标准。</w:t>
      </w:r>
    </w:p>
    <w:p w14:paraId="30E3E443">
      <w:pPr>
        <w:keepNext w:val="0"/>
        <w:keepLines w:val="0"/>
        <w:pageBreakBefore w:val="0"/>
        <w:widowControl w:val="0"/>
        <w:numPr>
          <w:ilvl w:val="0"/>
          <w:numId w:val="17"/>
        </w:numPr>
        <w:kinsoku/>
        <w:wordWrap/>
        <w:overflowPunct/>
        <w:topLinePunct w:val="0"/>
        <w:autoSpaceDE/>
        <w:autoSpaceDN/>
        <w:bidi w:val="0"/>
        <w:adjustRightInd/>
        <w:snapToGrid/>
        <w:spacing w:line="400" w:lineRule="exact"/>
        <w:ind w:left="420" w:leftChars="0" w:firstLine="0" w:firstLineChars="0"/>
        <w:jc w:val="left"/>
        <w:textAlignment w:val="auto"/>
        <w:outlineLvl w:val="9"/>
        <w:rPr>
          <w:rFonts w:hint="eastAsia" w:ascii="宋体" w:hAnsi="宋体" w:cs="宋体"/>
          <w:b w:val="0"/>
          <w:bCs w:val="0"/>
          <w:color w:val="000000"/>
          <w:sz w:val="21"/>
          <w:szCs w:val="21"/>
          <w:lang w:eastAsia="zh-CN"/>
        </w:rPr>
      </w:pPr>
      <w:r>
        <w:rPr>
          <w:rFonts w:hint="eastAsia" w:ascii="宋体" w:hAnsi="宋体" w:cs="宋体"/>
          <w:b w:val="0"/>
          <w:bCs w:val="0"/>
          <w:color w:val="000000"/>
          <w:sz w:val="21"/>
          <w:szCs w:val="21"/>
          <w:lang w:eastAsia="zh-CN"/>
        </w:rPr>
        <w:t>表中内容可以根据项目实际情况进行增减，表中位置不够可以另行附页。</w:t>
      </w:r>
    </w:p>
    <w:p w14:paraId="1256A59F">
      <w:pPr>
        <w:keepNext w:val="0"/>
        <w:keepLines w:val="0"/>
        <w:pageBreakBefore w:val="0"/>
        <w:widowControl w:val="0"/>
        <w:numPr>
          <w:ilvl w:val="0"/>
          <w:numId w:val="17"/>
        </w:numPr>
        <w:kinsoku/>
        <w:wordWrap/>
        <w:overflowPunct/>
        <w:topLinePunct w:val="0"/>
        <w:autoSpaceDE/>
        <w:autoSpaceDN/>
        <w:bidi w:val="0"/>
        <w:adjustRightInd/>
        <w:snapToGrid/>
        <w:spacing w:line="400" w:lineRule="exact"/>
        <w:ind w:left="420" w:leftChars="0" w:firstLine="0" w:firstLineChars="0"/>
        <w:jc w:val="left"/>
        <w:textAlignment w:val="auto"/>
        <w:outlineLvl w:val="9"/>
        <w:rPr>
          <w:rFonts w:hint="eastAsia" w:ascii="宋体" w:hAnsi="宋体" w:cs="宋体"/>
          <w:b w:val="0"/>
          <w:bCs w:val="0"/>
          <w:color w:val="000000"/>
          <w:sz w:val="21"/>
          <w:szCs w:val="21"/>
          <w:lang w:val="en-US" w:eastAsia="zh-CN"/>
        </w:rPr>
      </w:pPr>
      <w:r>
        <w:rPr>
          <w:rFonts w:hint="eastAsia" w:ascii="宋体" w:hAnsi="宋体" w:cs="宋体"/>
          <w:b w:val="0"/>
          <w:bCs w:val="0"/>
          <w:color w:val="000000"/>
          <w:sz w:val="21"/>
          <w:szCs w:val="21"/>
          <w:lang w:val="en-US" w:eastAsia="zh-CN"/>
        </w:rPr>
        <w:t>各分项报价合计应当与“开标一览表 ”投标总报价相等。</w:t>
      </w:r>
    </w:p>
    <w:p w14:paraId="452AE76F">
      <w:pPr>
        <w:pStyle w:val="5"/>
        <w:numPr>
          <w:ilvl w:val="0"/>
          <w:numId w:val="0"/>
        </w:numPr>
        <w:ind w:leftChars="0" w:firstLine="420" w:firstLineChars="200"/>
        <w:jc w:val="both"/>
        <w:rPr>
          <w:rFonts w:hint="default"/>
          <w:lang w:val="en-US" w:eastAsia="zh-CN"/>
        </w:rPr>
      </w:pPr>
      <w:r>
        <w:rPr>
          <w:rFonts w:hint="eastAsia" w:ascii="宋体" w:hAnsi="宋体" w:cs="宋体"/>
          <w:b w:val="0"/>
          <w:bCs w:val="0"/>
          <w:color w:val="000000"/>
          <w:sz w:val="21"/>
          <w:szCs w:val="21"/>
          <w:lang w:val="en-US" w:eastAsia="zh-CN"/>
        </w:rPr>
        <w:t>4、分项报价表按照技术参数要求逐条响应，未响应按废标处理。</w:t>
      </w:r>
    </w:p>
    <w:p w14:paraId="247059F0">
      <w:pPr>
        <w:pStyle w:val="16"/>
        <w:jc w:val="both"/>
        <w:rPr>
          <w:rFonts w:hint="eastAsia" w:ascii="宋体" w:hAnsi="宋体" w:cs="宋体"/>
          <w:b/>
          <w:bCs/>
          <w:color w:val="000000"/>
          <w:sz w:val="36"/>
          <w:szCs w:val="36"/>
          <w:highlight w:val="none"/>
          <w:lang w:val="en-US" w:eastAsia="zh-CN"/>
        </w:rPr>
      </w:pPr>
    </w:p>
    <w:p w14:paraId="7E9B6BBD">
      <w:pPr>
        <w:spacing w:line="560" w:lineRule="exact"/>
        <w:jc w:val="center"/>
        <w:rPr>
          <w:rFonts w:hint="eastAsia" w:ascii="宋体" w:hAnsi="宋体" w:cs="宋体"/>
          <w:b/>
          <w:bCs/>
          <w:color w:val="000000"/>
          <w:sz w:val="36"/>
          <w:szCs w:val="36"/>
          <w:highlight w:val="none"/>
          <w:lang w:val="en-US" w:eastAsia="zh-CN"/>
        </w:rPr>
      </w:pPr>
    </w:p>
    <w:p w14:paraId="1AFF31AB">
      <w:pPr>
        <w:spacing w:line="560" w:lineRule="exact"/>
        <w:jc w:val="center"/>
        <w:rPr>
          <w:rFonts w:hint="eastAsia" w:ascii="宋体" w:hAnsi="宋体" w:cs="宋体"/>
          <w:b/>
          <w:bCs/>
          <w:color w:val="000000"/>
          <w:sz w:val="36"/>
          <w:szCs w:val="36"/>
          <w:highlight w:val="none"/>
          <w:lang w:val="en-US" w:eastAsia="zh-CN"/>
        </w:rPr>
      </w:pPr>
    </w:p>
    <w:p w14:paraId="5C60CC1C">
      <w:pPr>
        <w:spacing w:line="560" w:lineRule="exact"/>
        <w:jc w:val="center"/>
        <w:rPr>
          <w:rFonts w:hint="eastAsia" w:ascii="宋体" w:hAnsi="宋体" w:cs="宋体"/>
          <w:b/>
          <w:bCs/>
          <w:color w:val="000000"/>
          <w:sz w:val="36"/>
          <w:szCs w:val="36"/>
          <w:highlight w:val="none"/>
          <w:lang w:val="en-US" w:eastAsia="zh-CN"/>
        </w:rPr>
      </w:pPr>
    </w:p>
    <w:p w14:paraId="2382680A">
      <w:pPr>
        <w:spacing w:line="560" w:lineRule="exact"/>
        <w:jc w:val="both"/>
        <w:rPr>
          <w:rFonts w:hint="eastAsia" w:ascii="宋体" w:hAnsi="宋体" w:cs="宋体"/>
          <w:b/>
          <w:bCs/>
          <w:color w:val="000000"/>
          <w:sz w:val="36"/>
          <w:szCs w:val="36"/>
          <w:highlight w:val="none"/>
          <w:lang w:val="en-US" w:eastAsia="zh-CN"/>
        </w:rPr>
      </w:pPr>
    </w:p>
    <w:p w14:paraId="765566AD">
      <w:pPr>
        <w:spacing w:line="560" w:lineRule="exact"/>
        <w:jc w:val="center"/>
        <w:rPr>
          <w:rFonts w:hint="eastAsia" w:ascii="宋体" w:hAnsi="宋体" w:cs="宋体"/>
          <w:b/>
          <w:bCs/>
          <w:color w:val="000000"/>
          <w:sz w:val="36"/>
          <w:szCs w:val="36"/>
          <w:highlight w:val="none"/>
        </w:rPr>
      </w:pPr>
      <w:r>
        <w:rPr>
          <w:rFonts w:hint="eastAsia" w:ascii="宋体" w:hAnsi="宋体" w:cs="宋体"/>
          <w:b/>
          <w:bCs/>
          <w:color w:val="000000"/>
          <w:sz w:val="36"/>
          <w:szCs w:val="36"/>
          <w:highlight w:val="none"/>
          <w:lang w:val="en-US" w:eastAsia="zh-CN"/>
        </w:rPr>
        <w:t>三</w:t>
      </w:r>
      <w:r>
        <w:rPr>
          <w:rFonts w:hint="eastAsia" w:ascii="宋体" w:hAnsi="宋体" w:cs="宋体"/>
          <w:b/>
          <w:bCs/>
          <w:color w:val="000000"/>
          <w:sz w:val="36"/>
          <w:szCs w:val="36"/>
          <w:highlight w:val="none"/>
        </w:rPr>
        <w:t>、</w:t>
      </w:r>
      <w:r>
        <w:rPr>
          <w:rFonts w:hint="eastAsia" w:ascii="宋体" w:hAnsi="宋体" w:cs="宋体"/>
          <w:b/>
          <w:bCs/>
          <w:color w:val="000000"/>
          <w:sz w:val="36"/>
          <w:szCs w:val="36"/>
          <w:highlight w:val="none"/>
          <w:lang w:eastAsia="zh-CN"/>
        </w:rPr>
        <w:t>资格文件</w:t>
      </w:r>
    </w:p>
    <w:p w14:paraId="15E9F30C">
      <w:pPr>
        <w:spacing w:line="440" w:lineRule="exact"/>
        <w:rPr>
          <w:rFonts w:hint="eastAsia"/>
          <w:szCs w:val="21"/>
          <w:highlight w:val="none"/>
        </w:rPr>
      </w:pPr>
      <w:r>
        <w:rPr>
          <w:rFonts w:hint="eastAsia" w:ascii="新宋体" w:hAnsi="新宋体" w:cs="新宋体"/>
          <w:b/>
          <w:color w:val="auto"/>
          <w:sz w:val="28"/>
          <w:szCs w:val="28"/>
          <w:highlight w:val="none"/>
          <w:lang w:val="en-US" w:eastAsia="zh-CN"/>
        </w:rPr>
        <w:t>1、</w:t>
      </w:r>
      <w:r>
        <w:rPr>
          <w:rFonts w:hint="eastAsia" w:ascii="新宋体" w:hAnsi="新宋体" w:cs="新宋体"/>
          <w:b/>
          <w:color w:val="auto"/>
          <w:sz w:val="28"/>
          <w:szCs w:val="28"/>
          <w:highlight w:val="none"/>
        </w:rPr>
        <w:t>投标人基本情况表</w:t>
      </w:r>
    </w:p>
    <w:tbl>
      <w:tblPr>
        <w:tblStyle w:val="41"/>
        <w:tblW w:w="9401"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711"/>
        <w:gridCol w:w="2049"/>
        <w:gridCol w:w="1880"/>
        <w:gridCol w:w="1880"/>
        <w:gridCol w:w="1881"/>
      </w:tblGrid>
      <w:tr w14:paraId="79F8928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1711" w:type="dxa"/>
            <w:tcBorders>
              <w:tl2br w:val="nil"/>
              <w:tr2bl w:val="nil"/>
            </w:tcBorders>
            <w:vAlign w:val="center"/>
          </w:tcPr>
          <w:p w14:paraId="0BBDA413">
            <w:pPr>
              <w:autoSpaceDE w:val="0"/>
              <w:autoSpaceDN w:val="0"/>
              <w:adjustRightInd w:val="0"/>
              <w:spacing w:line="400" w:lineRule="exact"/>
              <w:jc w:val="center"/>
              <w:rPr>
                <w:rFonts w:hint="eastAsia"/>
                <w:szCs w:val="21"/>
                <w:highlight w:val="none"/>
                <w:vertAlign w:val="baseline"/>
              </w:rPr>
            </w:pPr>
            <w:r>
              <w:rPr>
                <w:rFonts w:hint="eastAsia" w:ascii="新宋体" w:hAnsi="新宋体"/>
                <w:color w:val="auto"/>
                <w:szCs w:val="21"/>
                <w:highlight w:val="none"/>
              </w:rPr>
              <w:t>投标人名称</w:t>
            </w:r>
          </w:p>
        </w:tc>
        <w:tc>
          <w:tcPr>
            <w:tcW w:w="7690" w:type="dxa"/>
            <w:gridSpan w:val="4"/>
            <w:tcBorders>
              <w:tl2br w:val="nil"/>
              <w:tr2bl w:val="nil"/>
            </w:tcBorders>
            <w:vAlign w:val="center"/>
          </w:tcPr>
          <w:p w14:paraId="288D6610">
            <w:pPr>
              <w:autoSpaceDE w:val="0"/>
              <w:autoSpaceDN w:val="0"/>
              <w:adjustRightInd w:val="0"/>
              <w:spacing w:line="400" w:lineRule="exact"/>
              <w:jc w:val="center"/>
              <w:rPr>
                <w:rFonts w:hint="eastAsia"/>
                <w:szCs w:val="21"/>
                <w:highlight w:val="none"/>
                <w:vertAlign w:val="baseline"/>
              </w:rPr>
            </w:pPr>
          </w:p>
        </w:tc>
      </w:tr>
      <w:tr w14:paraId="0175E4D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1711" w:type="dxa"/>
            <w:tcBorders>
              <w:tl2br w:val="nil"/>
              <w:tr2bl w:val="nil"/>
            </w:tcBorders>
            <w:vAlign w:val="center"/>
          </w:tcPr>
          <w:p w14:paraId="6D45FCF5">
            <w:pPr>
              <w:autoSpaceDE w:val="0"/>
              <w:autoSpaceDN w:val="0"/>
              <w:adjustRightInd w:val="0"/>
              <w:spacing w:line="400" w:lineRule="exact"/>
              <w:jc w:val="center"/>
              <w:rPr>
                <w:rFonts w:hint="eastAsia"/>
                <w:szCs w:val="21"/>
                <w:highlight w:val="none"/>
                <w:vertAlign w:val="baseline"/>
              </w:rPr>
            </w:pPr>
            <w:r>
              <w:rPr>
                <w:rFonts w:hint="eastAsia" w:ascii="新宋体" w:hAnsi="新宋体"/>
                <w:color w:val="auto"/>
                <w:szCs w:val="21"/>
                <w:highlight w:val="none"/>
              </w:rPr>
              <w:t>注册地址</w:t>
            </w:r>
          </w:p>
        </w:tc>
        <w:tc>
          <w:tcPr>
            <w:tcW w:w="3929" w:type="dxa"/>
            <w:gridSpan w:val="2"/>
            <w:tcBorders>
              <w:tl2br w:val="nil"/>
              <w:tr2bl w:val="nil"/>
            </w:tcBorders>
            <w:vAlign w:val="center"/>
          </w:tcPr>
          <w:p w14:paraId="2133CC3D">
            <w:pPr>
              <w:autoSpaceDE w:val="0"/>
              <w:autoSpaceDN w:val="0"/>
              <w:adjustRightInd w:val="0"/>
              <w:spacing w:line="400" w:lineRule="exact"/>
              <w:jc w:val="center"/>
              <w:rPr>
                <w:rFonts w:hint="eastAsia"/>
                <w:szCs w:val="21"/>
                <w:highlight w:val="none"/>
                <w:vertAlign w:val="baseline"/>
              </w:rPr>
            </w:pPr>
          </w:p>
        </w:tc>
        <w:tc>
          <w:tcPr>
            <w:tcW w:w="1880" w:type="dxa"/>
            <w:tcBorders>
              <w:tl2br w:val="nil"/>
              <w:tr2bl w:val="nil"/>
            </w:tcBorders>
            <w:vAlign w:val="center"/>
          </w:tcPr>
          <w:p w14:paraId="5152CAEE">
            <w:pPr>
              <w:autoSpaceDE w:val="0"/>
              <w:autoSpaceDN w:val="0"/>
              <w:adjustRightInd w:val="0"/>
              <w:spacing w:line="400" w:lineRule="exact"/>
              <w:jc w:val="center"/>
              <w:rPr>
                <w:rFonts w:hint="eastAsia"/>
                <w:szCs w:val="21"/>
                <w:highlight w:val="none"/>
                <w:vertAlign w:val="baseline"/>
              </w:rPr>
            </w:pPr>
            <w:r>
              <w:rPr>
                <w:rFonts w:hint="eastAsia" w:ascii="新宋体" w:hAnsi="新宋体"/>
                <w:color w:val="auto"/>
                <w:szCs w:val="21"/>
                <w:highlight w:val="none"/>
              </w:rPr>
              <w:t>邮政编码</w:t>
            </w:r>
          </w:p>
        </w:tc>
        <w:tc>
          <w:tcPr>
            <w:tcW w:w="1881" w:type="dxa"/>
            <w:tcBorders>
              <w:tl2br w:val="nil"/>
              <w:tr2bl w:val="nil"/>
            </w:tcBorders>
            <w:vAlign w:val="center"/>
          </w:tcPr>
          <w:p w14:paraId="42DA327C">
            <w:pPr>
              <w:spacing w:line="440" w:lineRule="exact"/>
              <w:jc w:val="center"/>
              <w:rPr>
                <w:rFonts w:hint="eastAsia"/>
                <w:szCs w:val="21"/>
                <w:highlight w:val="none"/>
                <w:vertAlign w:val="baseline"/>
              </w:rPr>
            </w:pPr>
          </w:p>
        </w:tc>
      </w:tr>
      <w:tr w14:paraId="1ED6B48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1711" w:type="dxa"/>
            <w:vMerge w:val="restart"/>
            <w:tcBorders>
              <w:tl2br w:val="nil"/>
              <w:tr2bl w:val="nil"/>
            </w:tcBorders>
            <w:vAlign w:val="center"/>
          </w:tcPr>
          <w:p w14:paraId="316A8B95">
            <w:pPr>
              <w:spacing w:line="440" w:lineRule="exact"/>
              <w:jc w:val="center"/>
              <w:rPr>
                <w:rFonts w:hint="eastAsia"/>
                <w:szCs w:val="21"/>
                <w:highlight w:val="none"/>
                <w:vertAlign w:val="baseline"/>
              </w:rPr>
            </w:pPr>
            <w:r>
              <w:rPr>
                <w:rFonts w:hint="eastAsia" w:ascii="新宋体" w:hAnsi="新宋体"/>
                <w:color w:val="auto"/>
                <w:szCs w:val="21"/>
                <w:highlight w:val="none"/>
              </w:rPr>
              <w:t>联系方式</w:t>
            </w:r>
          </w:p>
        </w:tc>
        <w:tc>
          <w:tcPr>
            <w:tcW w:w="2049" w:type="dxa"/>
            <w:tcBorders>
              <w:tl2br w:val="nil"/>
              <w:tr2bl w:val="nil"/>
            </w:tcBorders>
            <w:vAlign w:val="center"/>
          </w:tcPr>
          <w:p w14:paraId="436BC76D">
            <w:pPr>
              <w:autoSpaceDE w:val="0"/>
              <w:autoSpaceDN w:val="0"/>
              <w:adjustRightInd w:val="0"/>
              <w:spacing w:line="400" w:lineRule="exact"/>
              <w:jc w:val="center"/>
              <w:rPr>
                <w:rFonts w:hint="eastAsia"/>
                <w:szCs w:val="21"/>
                <w:highlight w:val="none"/>
                <w:vertAlign w:val="baseline"/>
              </w:rPr>
            </w:pPr>
            <w:r>
              <w:rPr>
                <w:rFonts w:hint="eastAsia" w:ascii="新宋体" w:hAnsi="新宋体"/>
                <w:color w:val="auto"/>
                <w:szCs w:val="21"/>
                <w:highlight w:val="none"/>
              </w:rPr>
              <w:t>联系人</w:t>
            </w:r>
          </w:p>
        </w:tc>
        <w:tc>
          <w:tcPr>
            <w:tcW w:w="1880" w:type="dxa"/>
            <w:tcBorders>
              <w:tl2br w:val="nil"/>
              <w:tr2bl w:val="nil"/>
            </w:tcBorders>
            <w:vAlign w:val="center"/>
          </w:tcPr>
          <w:p w14:paraId="5A799274">
            <w:pPr>
              <w:autoSpaceDE w:val="0"/>
              <w:autoSpaceDN w:val="0"/>
              <w:adjustRightInd w:val="0"/>
              <w:spacing w:line="400" w:lineRule="exact"/>
              <w:jc w:val="center"/>
              <w:rPr>
                <w:rFonts w:hint="eastAsia"/>
                <w:szCs w:val="21"/>
                <w:highlight w:val="none"/>
                <w:vertAlign w:val="baseline"/>
              </w:rPr>
            </w:pPr>
          </w:p>
        </w:tc>
        <w:tc>
          <w:tcPr>
            <w:tcW w:w="1880" w:type="dxa"/>
            <w:tcBorders>
              <w:tl2br w:val="nil"/>
              <w:tr2bl w:val="nil"/>
            </w:tcBorders>
            <w:vAlign w:val="center"/>
          </w:tcPr>
          <w:p w14:paraId="1489E7DC">
            <w:pPr>
              <w:autoSpaceDE w:val="0"/>
              <w:autoSpaceDN w:val="0"/>
              <w:adjustRightInd w:val="0"/>
              <w:spacing w:line="400" w:lineRule="exact"/>
              <w:jc w:val="center"/>
              <w:rPr>
                <w:rFonts w:hint="eastAsia"/>
                <w:szCs w:val="21"/>
                <w:highlight w:val="none"/>
                <w:vertAlign w:val="baseline"/>
              </w:rPr>
            </w:pPr>
            <w:r>
              <w:rPr>
                <w:rFonts w:hint="eastAsia" w:ascii="新宋体" w:hAnsi="新宋体"/>
                <w:color w:val="auto"/>
                <w:szCs w:val="21"/>
                <w:highlight w:val="none"/>
              </w:rPr>
              <w:t>电话</w:t>
            </w:r>
          </w:p>
        </w:tc>
        <w:tc>
          <w:tcPr>
            <w:tcW w:w="1881" w:type="dxa"/>
            <w:tcBorders>
              <w:tl2br w:val="nil"/>
              <w:tr2bl w:val="nil"/>
            </w:tcBorders>
            <w:vAlign w:val="center"/>
          </w:tcPr>
          <w:p w14:paraId="1E1DD194">
            <w:pPr>
              <w:spacing w:line="440" w:lineRule="exact"/>
              <w:jc w:val="center"/>
              <w:rPr>
                <w:rFonts w:hint="eastAsia"/>
                <w:szCs w:val="21"/>
                <w:highlight w:val="none"/>
                <w:vertAlign w:val="baseline"/>
              </w:rPr>
            </w:pPr>
          </w:p>
        </w:tc>
      </w:tr>
      <w:tr w14:paraId="4BDD873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1711" w:type="dxa"/>
            <w:vMerge w:val="continue"/>
            <w:tcBorders>
              <w:tl2br w:val="nil"/>
              <w:tr2bl w:val="nil"/>
            </w:tcBorders>
            <w:vAlign w:val="center"/>
          </w:tcPr>
          <w:p w14:paraId="1378BA37">
            <w:pPr>
              <w:spacing w:line="440" w:lineRule="exact"/>
              <w:jc w:val="center"/>
              <w:rPr>
                <w:rFonts w:hint="eastAsia"/>
                <w:szCs w:val="21"/>
                <w:highlight w:val="none"/>
                <w:vertAlign w:val="baseline"/>
              </w:rPr>
            </w:pPr>
          </w:p>
        </w:tc>
        <w:tc>
          <w:tcPr>
            <w:tcW w:w="2049" w:type="dxa"/>
            <w:tcBorders>
              <w:tl2br w:val="nil"/>
              <w:tr2bl w:val="nil"/>
            </w:tcBorders>
            <w:vAlign w:val="center"/>
          </w:tcPr>
          <w:p w14:paraId="58FA72CB">
            <w:pPr>
              <w:autoSpaceDE w:val="0"/>
              <w:autoSpaceDN w:val="0"/>
              <w:adjustRightInd w:val="0"/>
              <w:spacing w:line="400" w:lineRule="exact"/>
              <w:jc w:val="center"/>
              <w:rPr>
                <w:rFonts w:hint="eastAsia"/>
                <w:szCs w:val="21"/>
                <w:highlight w:val="none"/>
                <w:vertAlign w:val="baseline"/>
              </w:rPr>
            </w:pPr>
            <w:r>
              <w:rPr>
                <w:rFonts w:hint="eastAsia" w:ascii="新宋体" w:hAnsi="新宋体"/>
                <w:color w:val="auto"/>
                <w:szCs w:val="21"/>
                <w:highlight w:val="none"/>
              </w:rPr>
              <w:t>传真</w:t>
            </w:r>
          </w:p>
        </w:tc>
        <w:tc>
          <w:tcPr>
            <w:tcW w:w="1880" w:type="dxa"/>
            <w:tcBorders>
              <w:tl2br w:val="nil"/>
              <w:tr2bl w:val="nil"/>
            </w:tcBorders>
            <w:vAlign w:val="center"/>
          </w:tcPr>
          <w:p w14:paraId="4F8DF604">
            <w:pPr>
              <w:autoSpaceDE w:val="0"/>
              <w:autoSpaceDN w:val="0"/>
              <w:adjustRightInd w:val="0"/>
              <w:spacing w:line="400" w:lineRule="exact"/>
              <w:jc w:val="center"/>
              <w:rPr>
                <w:rFonts w:hint="eastAsia"/>
                <w:szCs w:val="21"/>
                <w:highlight w:val="none"/>
                <w:vertAlign w:val="baseline"/>
              </w:rPr>
            </w:pPr>
          </w:p>
        </w:tc>
        <w:tc>
          <w:tcPr>
            <w:tcW w:w="1880" w:type="dxa"/>
            <w:tcBorders>
              <w:tl2br w:val="nil"/>
              <w:tr2bl w:val="nil"/>
            </w:tcBorders>
            <w:vAlign w:val="center"/>
          </w:tcPr>
          <w:p w14:paraId="6CA93BC1">
            <w:pPr>
              <w:autoSpaceDE w:val="0"/>
              <w:autoSpaceDN w:val="0"/>
              <w:adjustRightInd w:val="0"/>
              <w:spacing w:line="400" w:lineRule="exact"/>
              <w:jc w:val="center"/>
              <w:rPr>
                <w:rFonts w:hint="eastAsia"/>
                <w:szCs w:val="21"/>
                <w:highlight w:val="none"/>
                <w:vertAlign w:val="baseline"/>
              </w:rPr>
            </w:pPr>
            <w:r>
              <w:rPr>
                <w:rFonts w:hint="eastAsia" w:ascii="新宋体" w:hAnsi="新宋体"/>
                <w:color w:val="auto"/>
                <w:szCs w:val="21"/>
                <w:highlight w:val="none"/>
              </w:rPr>
              <w:t>网址</w:t>
            </w:r>
          </w:p>
        </w:tc>
        <w:tc>
          <w:tcPr>
            <w:tcW w:w="1881" w:type="dxa"/>
            <w:tcBorders>
              <w:tl2br w:val="nil"/>
              <w:tr2bl w:val="nil"/>
            </w:tcBorders>
            <w:vAlign w:val="center"/>
          </w:tcPr>
          <w:p w14:paraId="00604B97">
            <w:pPr>
              <w:spacing w:line="440" w:lineRule="exact"/>
              <w:jc w:val="center"/>
              <w:rPr>
                <w:rFonts w:hint="eastAsia"/>
                <w:szCs w:val="21"/>
                <w:highlight w:val="none"/>
                <w:vertAlign w:val="baseline"/>
              </w:rPr>
            </w:pPr>
          </w:p>
        </w:tc>
      </w:tr>
      <w:tr w14:paraId="47F4448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1711" w:type="dxa"/>
            <w:tcBorders>
              <w:tl2br w:val="nil"/>
              <w:tr2bl w:val="nil"/>
            </w:tcBorders>
            <w:vAlign w:val="center"/>
          </w:tcPr>
          <w:p w14:paraId="0F3978AB">
            <w:pPr>
              <w:spacing w:line="440" w:lineRule="exact"/>
              <w:jc w:val="center"/>
              <w:rPr>
                <w:rFonts w:hint="eastAsia"/>
                <w:szCs w:val="21"/>
                <w:highlight w:val="none"/>
                <w:vertAlign w:val="baseline"/>
              </w:rPr>
            </w:pPr>
            <w:r>
              <w:rPr>
                <w:rFonts w:hint="eastAsia" w:ascii="新宋体" w:hAnsi="新宋体"/>
                <w:color w:val="auto"/>
                <w:szCs w:val="21"/>
                <w:highlight w:val="none"/>
              </w:rPr>
              <w:t>单位性质</w:t>
            </w:r>
          </w:p>
        </w:tc>
        <w:tc>
          <w:tcPr>
            <w:tcW w:w="7690" w:type="dxa"/>
            <w:gridSpan w:val="4"/>
            <w:tcBorders>
              <w:tl2br w:val="nil"/>
              <w:tr2bl w:val="nil"/>
            </w:tcBorders>
            <w:vAlign w:val="center"/>
          </w:tcPr>
          <w:p w14:paraId="1015CC4B">
            <w:pPr>
              <w:spacing w:line="440" w:lineRule="exact"/>
              <w:jc w:val="center"/>
              <w:rPr>
                <w:rFonts w:hint="eastAsia"/>
                <w:szCs w:val="21"/>
                <w:highlight w:val="none"/>
                <w:vertAlign w:val="baseline"/>
              </w:rPr>
            </w:pPr>
          </w:p>
        </w:tc>
      </w:tr>
      <w:tr w14:paraId="153A85B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1711" w:type="dxa"/>
            <w:tcBorders>
              <w:tl2br w:val="nil"/>
              <w:tr2bl w:val="nil"/>
            </w:tcBorders>
            <w:vAlign w:val="center"/>
          </w:tcPr>
          <w:p w14:paraId="74171E09">
            <w:pPr>
              <w:autoSpaceDE w:val="0"/>
              <w:autoSpaceDN w:val="0"/>
              <w:adjustRightInd w:val="0"/>
              <w:spacing w:line="400" w:lineRule="exact"/>
              <w:jc w:val="center"/>
              <w:rPr>
                <w:rFonts w:hint="eastAsia"/>
                <w:szCs w:val="21"/>
                <w:highlight w:val="none"/>
                <w:vertAlign w:val="baseline"/>
              </w:rPr>
            </w:pPr>
            <w:r>
              <w:rPr>
                <w:rFonts w:hint="eastAsia" w:ascii="新宋体" w:hAnsi="新宋体"/>
                <w:color w:val="auto"/>
                <w:szCs w:val="21"/>
                <w:highlight w:val="none"/>
              </w:rPr>
              <w:t>法定代表人</w:t>
            </w:r>
          </w:p>
        </w:tc>
        <w:tc>
          <w:tcPr>
            <w:tcW w:w="2049" w:type="dxa"/>
            <w:tcBorders>
              <w:tl2br w:val="nil"/>
              <w:tr2bl w:val="nil"/>
            </w:tcBorders>
            <w:vAlign w:val="center"/>
          </w:tcPr>
          <w:p w14:paraId="715C4116">
            <w:pPr>
              <w:autoSpaceDE w:val="0"/>
              <w:autoSpaceDN w:val="0"/>
              <w:adjustRightInd w:val="0"/>
              <w:spacing w:line="400" w:lineRule="exact"/>
              <w:jc w:val="center"/>
              <w:rPr>
                <w:rFonts w:hint="eastAsia"/>
                <w:szCs w:val="21"/>
                <w:highlight w:val="none"/>
                <w:vertAlign w:val="baseline"/>
              </w:rPr>
            </w:pPr>
            <w:r>
              <w:rPr>
                <w:rFonts w:hint="eastAsia" w:ascii="新宋体" w:hAnsi="新宋体"/>
                <w:color w:val="auto"/>
                <w:szCs w:val="21"/>
                <w:highlight w:val="none"/>
              </w:rPr>
              <w:t>姓名</w:t>
            </w:r>
          </w:p>
        </w:tc>
        <w:tc>
          <w:tcPr>
            <w:tcW w:w="1880" w:type="dxa"/>
            <w:tcBorders>
              <w:tl2br w:val="nil"/>
              <w:tr2bl w:val="nil"/>
            </w:tcBorders>
            <w:vAlign w:val="center"/>
          </w:tcPr>
          <w:p w14:paraId="642509E5">
            <w:pPr>
              <w:spacing w:line="440" w:lineRule="exact"/>
              <w:jc w:val="center"/>
              <w:rPr>
                <w:rFonts w:hint="eastAsia"/>
                <w:szCs w:val="21"/>
                <w:highlight w:val="none"/>
                <w:vertAlign w:val="baseline"/>
              </w:rPr>
            </w:pPr>
          </w:p>
        </w:tc>
        <w:tc>
          <w:tcPr>
            <w:tcW w:w="1880" w:type="dxa"/>
            <w:tcBorders>
              <w:tl2br w:val="nil"/>
              <w:tr2bl w:val="nil"/>
            </w:tcBorders>
            <w:vAlign w:val="center"/>
          </w:tcPr>
          <w:p w14:paraId="64A40FF8">
            <w:pPr>
              <w:autoSpaceDE w:val="0"/>
              <w:autoSpaceDN w:val="0"/>
              <w:adjustRightInd w:val="0"/>
              <w:spacing w:line="400" w:lineRule="exact"/>
              <w:jc w:val="center"/>
              <w:rPr>
                <w:rFonts w:hint="eastAsia"/>
                <w:szCs w:val="21"/>
                <w:highlight w:val="none"/>
                <w:vertAlign w:val="baseline"/>
              </w:rPr>
            </w:pPr>
            <w:r>
              <w:rPr>
                <w:rFonts w:hint="eastAsia" w:ascii="新宋体" w:hAnsi="新宋体"/>
                <w:color w:val="auto"/>
                <w:szCs w:val="21"/>
                <w:highlight w:val="none"/>
              </w:rPr>
              <w:t>电话</w:t>
            </w:r>
          </w:p>
        </w:tc>
        <w:tc>
          <w:tcPr>
            <w:tcW w:w="1881" w:type="dxa"/>
            <w:tcBorders>
              <w:tl2br w:val="nil"/>
              <w:tr2bl w:val="nil"/>
            </w:tcBorders>
            <w:vAlign w:val="center"/>
          </w:tcPr>
          <w:p w14:paraId="6073AD6F">
            <w:pPr>
              <w:spacing w:line="440" w:lineRule="exact"/>
              <w:jc w:val="center"/>
              <w:rPr>
                <w:rFonts w:hint="eastAsia"/>
                <w:szCs w:val="21"/>
                <w:highlight w:val="none"/>
                <w:vertAlign w:val="baseline"/>
              </w:rPr>
            </w:pPr>
          </w:p>
        </w:tc>
      </w:tr>
      <w:tr w14:paraId="56BA7AE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0" w:hRule="atLeast"/>
          <w:jc w:val="center"/>
        </w:trPr>
        <w:tc>
          <w:tcPr>
            <w:tcW w:w="1711" w:type="dxa"/>
            <w:tcBorders>
              <w:tl2br w:val="nil"/>
              <w:tr2bl w:val="nil"/>
            </w:tcBorders>
            <w:vAlign w:val="center"/>
          </w:tcPr>
          <w:p w14:paraId="5DA0D69F">
            <w:pPr>
              <w:autoSpaceDE w:val="0"/>
              <w:autoSpaceDN w:val="0"/>
              <w:adjustRightInd w:val="0"/>
              <w:spacing w:line="400" w:lineRule="exact"/>
              <w:jc w:val="center"/>
              <w:rPr>
                <w:rFonts w:hint="eastAsia"/>
                <w:szCs w:val="21"/>
                <w:highlight w:val="none"/>
                <w:vertAlign w:val="baseline"/>
              </w:rPr>
            </w:pPr>
            <w:r>
              <w:rPr>
                <w:rFonts w:hint="eastAsia" w:ascii="新宋体" w:hAnsi="新宋体"/>
                <w:color w:val="auto"/>
                <w:szCs w:val="21"/>
                <w:highlight w:val="none"/>
                <w:lang w:val="en-US" w:eastAsia="zh-CN"/>
              </w:rPr>
              <w:t>项目</w:t>
            </w:r>
            <w:r>
              <w:rPr>
                <w:rFonts w:hint="eastAsia" w:ascii="新宋体" w:hAnsi="新宋体"/>
                <w:color w:val="auto"/>
                <w:szCs w:val="21"/>
                <w:highlight w:val="none"/>
              </w:rPr>
              <w:t>负责人</w:t>
            </w:r>
          </w:p>
        </w:tc>
        <w:tc>
          <w:tcPr>
            <w:tcW w:w="2049" w:type="dxa"/>
            <w:tcBorders>
              <w:tl2br w:val="nil"/>
              <w:tr2bl w:val="nil"/>
            </w:tcBorders>
            <w:vAlign w:val="center"/>
          </w:tcPr>
          <w:p w14:paraId="17BBD4DC">
            <w:pPr>
              <w:autoSpaceDE w:val="0"/>
              <w:autoSpaceDN w:val="0"/>
              <w:adjustRightInd w:val="0"/>
              <w:spacing w:line="400" w:lineRule="exact"/>
              <w:jc w:val="center"/>
              <w:rPr>
                <w:rFonts w:hint="eastAsia"/>
                <w:szCs w:val="21"/>
                <w:highlight w:val="none"/>
                <w:vertAlign w:val="baseline"/>
              </w:rPr>
            </w:pPr>
            <w:r>
              <w:rPr>
                <w:rFonts w:hint="eastAsia" w:ascii="新宋体" w:hAnsi="新宋体"/>
                <w:color w:val="auto"/>
                <w:szCs w:val="21"/>
                <w:highlight w:val="none"/>
              </w:rPr>
              <w:t>姓名</w:t>
            </w:r>
          </w:p>
        </w:tc>
        <w:tc>
          <w:tcPr>
            <w:tcW w:w="1880" w:type="dxa"/>
            <w:tcBorders>
              <w:tl2br w:val="nil"/>
              <w:tr2bl w:val="nil"/>
            </w:tcBorders>
            <w:vAlign w:val="center"/>
          </w:tcPr>
          <w:p w14:paraId="327C5F4F">
            <w:pPr>
              <w:spacing w:line="440" w:lineRule="exact"/>
              <w:jc w:val="center"/>
              <w:rPr>
                <w:rFonts w:hint="eastAsia"/>
                <w:szCs w:val="21"/>
                <w:highlight w:val="none"/>
                <w:vertAlign w:val="baseline"/>
              </w:rPr>
            </w:pPr>
          </w:p>
        </w:tc>
        <w:tc>
          <w:tcPr>
            <w:tcW w:w="1880" w:type="dxa"/>
            <w:tcBorders>
              <w:tl2br w:val="nil"/>
              <w:tr2bl w:val="nil"/>
            </w:tcBorders>
            <w:vAlign w:val="center"/>
          </w:tcPr>
          <w:p w14:paraId="4B5835D7">
            <w:pPr>
              <w:autoSpaceDE w:val="0"/>
              <w:autoSpaceDN w:val="0"/>
              <w:adjustRightInd w:val="0"/>
              <w:spacing w:line="400" w:lineRule="exact"/>
              <w:jc w:val="center"/>
              <w:rPr>
                <w:rFonts w:hint="eastAsia"/>
                <w:szCs w:val="21"/>
                <w:highlight w:val="none"/>
                <w:vertAlign w:val="baseline"/>
              </w:rPr>
            </w:pPr>
            <w:r>
              <w:rPr>
                <w:rFonts w:hint="eastAsia" w:ascii="新宋体" w:hAnsi="新宋体"/>
                <w:color w:val="auto"/>
                <w:szCs w:val="21"/>
                <w:highlight w:val="none"/>
              </w:rPr>
              <w:t>电话</w:t>
            </w:r>
          </w:p>
        </w:tc>
        <w:tc>
          <w:tcPr>
            <w:tcW w:w="1881" w:type="dxa"/>
            <w:tcBorders>
              <w:tl2br w:val="nil"/>
              <w:tr2bl w:val="nil"/>
            </w:tcBorders>
            <w:vAlign w:val="center"/>
          </w:tcPr>
          <w:p w14:paraId="279B2413">
            <w:pPr>
              <w:spacing w:line="440" w:lineRule="exact"/>
              <w:jc w:val="center"/>
              <w:rPr>
                <w:rFonts w:hint="eastAsia"/>
                <w:szCs w:val="21"/>
                <w:highlight w:val="none"/>
                <w:vertAlign w:val="baseline"/>
              </w:rPr>
            </w:pPr>
          </w:p>
        </w:tc>
      </w:tr>
      <w:tr w14:paraId="354A894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1711" w:type="dxa"/>
            <w:tcBorders>
              <w:tl2br w:val="nil"/>
              <w:tr2bl w:val="nil"/>
            </w:tcBorders>
            <w:vAlign w:val="center"/>
          </w:tcPr>
          <w:p w14:paraId="03F26E3B">
            <w:pPr>
              <w:autoSpaceDE w:val="0"/>
              <w:autoSpaceDN w:val="0"/>
              <w:adjustRightInd w:val="0"/>
              <w:spacing w:line="400" w:lineRule="exact"/>
              <w:jc w:val="center"/>
              <w:rPr>
                <w:rFonts w:hint="eastAsia"/>
                <w:szCs w:val="21"/>
                <w:highlight w:val="none"/>
                <w:vertAlign w:val="baseline"/>
              </w:rPr>
            </w:pPr>
            <w:r>
              <w:rPr>
                <w:rFonts w:hint="eastAsia" w:ascii="新宋体" w:hAnsi="新宋体"/>
                <w:color w:val="auto"/>
                <w:szCs w:val="21"/>
                <w:highlight w:val="none"/>
              </w:rPr>
              <w:t>企业资质等级</w:t>
            </w:r>
          </w:p>
        </w:tc>
        <w:tc>
          <w:tcPr>
            <w:tcW w:w="3929" w:type="dxa"/>
            <w:gridSpan w:val="2"/>
            <w:tcBorders>
              <w:tl2br w:val="nil"/>
              <w:tr2bl w:val="nil"/>
            </w:tcBorders>
            <w:vAlign w:val="center"/>
          </w:tcPr>
          <w:p w14:paraId="499BFADE">
            <w:pPr>
              <w:autoSpaceDE w:val="0"/>
              <w:autoSpaceDN w:val="0"/>
              <w:adjustRightInd w:val="0"/>
              <w:spacing w:line="400" w:lineRule="exact"/>
              <w:jc w:val="center"/>
              <w:rPr>
                <w:rFonts w:hint="eastAsia"/>
                <w:szCs w:val="21"/>
                <w:highlight w:val="none"/>
                <w:vertAlign w:val="baseline"/>
              </w:rPr>
            </w:pPr>
          </w:p>
        </w:tc>
        <w:tc>
          <w:tcPr>
            <w:tcW w:w="1880" w:type="dxa"/>
            <w:tcBorders>
              <w:tl2br w:val="nil"/>
              <w:tr2bl w:val="nil"/>
            </w:tcBorders>
            <w:vAlign w:val="center"/>
          </w:tcPr>
          <w:p w14:paraId="65111750">
            <w:pPr>
              <w:autoSpaceDE w:val="0"/>
              <w:autoSpaceDN w:val="0"/>
              <w:adjustRightInd w:val="0"/>
              <w:spacing w:line="400" w:lineRule="exact"/>
              <w:jc w:val="center"/>
              <w:rPr>
                <w:rFonts w:hint="eastAsia"/>
                <w:szCs w:val="21"/>
                <w:highlight w:val="none"/>
                <w:vertAlign w:val="baseline"/>
              </w:rPr>
            </w:pPr>
            <w:r>
              <w:rPr>
                <w:rFonts w:hint="eastAsia" w:ascii="新宋体" w:hAnsi="新宋体"/>
                <w:color w:val="auto"/>
                <w:szCs w:val="21"/>
                <w:highlight w:val="none"/>
              </w:rPr>
              <w:t>成立时间</w:t>
            </w:r>
          </w:p>
        </w:tc>
        <w:tc>
          <w:tcPr>
            <w:tcW w:w="1881" w:type="dxa"/>
            <w:tcBorders>
              <w:tl2br w:val="nil"/>
              <w:tr2bl w:val="nil"/>
            </w:tcBorders>
            <w:vAlign w:val="center"/>
          </w:tcPr>
          <w:p w14:paraId="49DCD7B3">
            <w:pPr>
              <w:spacing w:line="440" w:lineRule="exact"/>
              <w:jc w:val="center"/>
              <w:rPr>
                <w:rFonts w:hint="eastAsia"/>
                <w:szCs w:val="21"/>
                <w:highlight w:val="none"/>
                <w:vertAlign w:val="baseline"/>
              </w:rPr>
            </w:pPr>
          </w:p>
        </w:tc>
      </w:tr>
      <w:tr w14:paraId="21BCD22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1711" w:type="dxa"/>
            <w:tcBorders>
              <w:tl2br w:val="nil"/>
              <w:tr2bl w:val="nil"/>
            </w:tcBorders>
            <w:vAlign w:val="center"/>
          </w:tcPr>
          <w:p w14:paraId="15DC8D14">
            <w:pPr>
              <w:autoSpaceDE w:val="0"/>
              <w:autoSpaceDN w:val="0"/>
              <w:adjustRightInd w:val="0"/>
              <w:spacing w:line="400" w:lineRule="exact"/>
              <w:jc w:val="center"/>
              <w:rPr>
                <w:rFonts w:hint="eastAsia"/>
                <w:szCs w:val="21"/>
                <w:highlight w:val="none"/>
                <w:vertAlign w:val="baseline"/>
              </w:rPr>
            </w:pPr>
            <w:r>
              <w:rPr>
                <w:rFonts w:hint="eastAsia" w:ascii="新宋体" w:hAnsi="新宋体"/>
                <w:color w:val="auto"/>
                <w:szCs w:val="21"/>
                <w:highlight w:val="none"/>
              </w:rPr>
              <w:t>注册资金</w:t>
            </w:r>
          </w:p>
        </w:tc>
        <w:tc>
          <w:tcPr>
            <w:tcW w:w="2049" w:type="dxa"/>
            <w:tcBorders>
              <w:tl2br w:val="nil"/>
              <w:tr2bl w:val="nil"/>
            </w:tcBorders>
            <w:vAlign w:val="center"/>
          </w:tcPr>
          <w:p w14:paraId="6159667F">
            <w:pPr>
              <w:autoSpaceDE w:val="0"/>
              <w:autoSpaceDN w:val="0"/>
              <w:adjustRightInd w:val="0"/>
              <w:spacing w:line="400" w:lineRule="exact"/>
              <w:jc w:val="right"/>
              <w:rPr>
                <w:rFonts w:hint="eastAsia"/>
                <w:szCs w:val="21"/>
                <w:highlight w:val="none"/>
                <w:vertAlign w:val="baseline"/>
              </w:rPr>
            </w:pPr>
            <w:r>
              <w:rPr>
                <w:rFonts w:hint="eastAsia" w:ascii="新宋体" w:hAnsi="新宋体"/>
                <w:color w:val="auto"/>
                <w:szCs w:val="21"/>
                <w:highlight w:val="none"/>
                <w:lang w:val="en-US" w:eastAsia="zh-CN"/>
              </w:rPr>
              <w:t xml:space="preserve">  </w:t>
            </w:r>
            <w:r>
              <w:rPr>
                <w:rFonts w:hint="eastAsia" w:ascii="新宋体" w:hAnsi="新宋体"/>
                <w:color w:val="auto"/>
                <w:szCs w:val="21"/>
                <w:highlight w:val="none"/>
                <w:u w:val="single"/>
                <w:lang w:val="en-US" w:eastAsia="zh-CN"/>
              </w:rPr>
              <w:t xml:space="preserve">           </w:t>
            </w:r>
            <w:r>
              <w:rPr>
                <w:rFonts w:hint="eastAsia" w:ascii="新宋体" w:hAnsi="新宋体"/>
                <w:color w:val="auto"/>
                <w:szCs w:val="21"/>
                <w:highlight w:val="none"/>
              </w:rPr>
              <w:t>万元</w:t>
            </w:r>
          </w:p>
        </w:tc>
        <w:tc>
          <w:tcPr>
            <w:tcW w:w="1880" w:type="dxa"/>
            <w:vMerge w:val="restart"/>
            <w:tcBorders>
              <w:tl2br w:val="nil"/>
              <w:tr2bl w:val="nil"/>
            </w:tcBorders>
            <w:vAlign w:val="center"/>
          </w:tcPr>
          <w:p w14:paraId="38C3765B">
            <w:pPr>
              <w:spacing w:line="440" w:lineRule="exact"/>
              <w:jc w:val="center"/>
              <w:rPr>
                <w:rFonts w:hint="eastAsia"/>
                <w:szCs w:val="21"/>
                <w:highlight w:val="none"/>
                <w:vertAlign w:val="baseline"/>
              </w:rPr>
            </w:pPr>
            <w:r>
              <w:rPr>
                <w:rFonts w:hint="eastAsia" w:ascii="新宋体" w:hAnsi="新宋体"/>
                <w:color w:val="auto"/>
                <w:szCs w:val="21"/>
                <w:highlight w:val="none"/>
              </w:rPr>
              <w:t>固定资产</w:t>
            </w:r>
          </w:p>
        </w:tc>
        <w:tc>
          <w:tcPr>
            <w:tcW w:w="1880" w:type="dxa"/>
            <w:tcBorders>
              <w:tl2br w:val="nil"/>
              <w:tr2bl w:val="nil"/>
            </w:tcBorders>
            <w:vAlign w:val="center"/>
          </w:tcPr>
          <w:p w14:paraId="1E1D6A8D">
            <w:pPr>
              <w:autoSpaceDE w:val="0"/>
              <w:autoSpaceDN w:val="0"/>
              <w:adjustRightInd w:val="0"/>
              <w:spacing w:line="400" w:lineRule="exact"/>
              <w:jc w:val="center"/>
              <w:rPr>
                <w:rFonts w:hint="eastAsia"/>
                <w:szCs w:val="21"/>
                <w:highlight w:val="none"/>
                <w:vertAlign w:val="baseline"/>
              </w:rPr>
            </w:pPr>
            <w:r>
              <w:rPr>
                <w:rFonts w:hint="eastAsia" w:ascii="新宋体" w:hAnsi="新宋体"/>
                <w:color w:val="auto"/>
                <w:szCs w:val="21"/>
                <w:highlight w:val="none"/>
              </w:rPr>
              <w:t>原值</w:t>
            </w:r>
          </w:p>
        </w:tc>
        <w:tc>
          <w:tcPr>
            <w:tcW w:w="1881" w:type="dxa"/>
            <w:tcBorders>
              <w:tl2br w:val="nil"/>
              <w:tr2bl w:val="nil"/>
            </w:tcBorders>
            <w:vAlign w:val="center"/>
          </w:tcPr>
          <w:p w14:paraId="3DE5B439">
            <w:pPr>
              <w:autoSpaceDE w:val="0"/>
              <w:autoSpaceDN w:val="0"/>
              <w:adjustRightInd w:val="0"/>
              <w:spacing w:line="400" w:lineRule="exact"/>
              <w:jc w:val="right"/>
              <w:rPr>
                <w:rFonts w:hint="eastAsia"/>
                <w:szCs w:val="21"/>
                <w:highlight w:val="none"/>
                <w:vertAlign w:val="baseline"/>
              </w:rPr>
            </w:pPr>
            <w:r>
              <w:rPr>
                <w:rFonts w:hint="eastAsia" w:ascii="新宋体" w:hAnsi="新宋体"/>
                <w:color w:val="auto"/>
                <w:szCs w:val="21"/>
                <w:highlight w:val="none"/>
                <w:u w:val="single"/>
                <w:lang w:val="en-US" w:eastAsia="zh-CN"/>
              </w:rPr>
              <w:t xml:space="preserve">           </w:t>
            </w:r>
            <w:r>
              <w:rPr>
                <w:rFonts w:hint="eastAsia" w:ascii="新宋体" w:hAnsi="新宋体"/>
                <w:color w:val="auto"/>
                <w:szCs w:val="21"/>
                <w:highlight w:val="none"/>
              </w:rPr>
              <w:t>万元</w:t>
            </w:r>
          </w:p>
        </w:tc>
      </w:tr>
      <w:tr w14:paraId="0EB9916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1711" w:type="dxa"/>
            <w:tcBorders>
              <w:tl2br w:val="nil"/>
              <w:tr2bl w:val="nil"/>
            </w:tcBorders>
            <w:vAlign w:val="center"/>
          </w:tcPr>
          <w:p w14:paraId="3ADFAD96">
            <w:pPr>
              <w:autoSpaceDE w:val="0"/>
              <w:autoSpaceDN w:val="0"/>
              <w:adjustRightInd w:val="0"/>
              <w:spacing w:line="400" w:lineRule="exact"/>
              <w:jc w:val="center"/>
              <w:rPr>
                <w:rFonts w:hint="eastAsia"/>
                <w:szCs w:val="21"/>
                <w:highlight w:val="none"/>
                <w:vertAlign w:val="baseline"/>
              </w:rPr>
            </w:pPr>
            <w:r>
              <w:rPr>
                <w:rFonts w:hint="eastAsia" w:ascii="新宋体" w:hAnsi="新宋体"/>
                <w:color w:val="auto"/>
                <w:szCs w:val="21"/>
                <w:highlight w:val="none"/>
              </w:rPr>
              <w:t>流动资金</w:t>
            </w:r>
          </w:p>
        </w:tc>
        <w:tc>
          <w:tcPr>
            <w:tcW w:w="2049" w:type="dxa"/>
            <w:tcBorders>
              <w:tl2br w:val="nil"/>
              <w:tr2bl w:val="nil"/>
            </w:tcBorders>
            <w:vAlign w:val="center"/>
          </w:tcPr>
          <w:p w14:paraId="3A78A03A">
            <w:pPr>
              <w:autoSpaceDE w:val="0"/>
              <w:autoSpaceDN w:val="0"/>
              <w:adjustRightInd w:val="0"/>
              <w:spacing w:line="400" w:lineRule="exact"/>
              <w:jc w:val="right"/>
              <w:rPr>
                <w:rFonts w:hint="eastAsia"/>
                <w:szCs w:val="21"/>
                <w:highlight w:val="none"/>
                <w:vertAlign w:val="baseline"/>
              </w:rPr>
            </w:pPr>
            <w:r>
              <w:rPr>
                <w:rFonts w:hint="eastAsia" w:ascii="新宋体" w:hAnsi="新宋体"/>
                <w:color w:val="auto"/>
                <w:szCs w:val="21"/>
                <w:highlight w:val="none"/>
                <w:lang w:val="en-US" w:eastAsia="zh-CN"/>
              </w:rPr>
              <w:t xml:space="preserve">  </w:t>
            </w:r>
            <w:r>
              <w:rPr>
                <w:rFonts w:hint="eastAsia" w:ascii="新宋体" w:hAnsi="新宋体"/>
                <w:color w:val="auto"/>
                <w:szCs w:val="21"/>
                <w:highlight w:val="none"/>
                <w:u w:val="single"/>
                <w:lang w:val="en-US" w:eastAsia="zh-CN"/>
              </w:rPr>
              <w:t xml:space="preserve">           </w:t>
            </w:r>
            <w:r>
              <w:rPr>
                <w:rFonts w:hint="eastAsia" w:ascii="新宋体" w:hAnsi="新宋体"/>
                <w:color w:val="auto"/>
                <w:szCs w:val="21"/>
                <w:highlight w:val="none"/>
              </w:rPr>
              <w:t>万元</w:t>
            </w:r>
          </w:p>
        </w:tc>
        <w:tc>
          <w:tcPr>
            <w:tcW w:w="1880" w:type="dxa"/>
            <w:vMerge w:val="continue"/>
            <w:tcBorders>
              <w:tl2br w:val="nil"/>
              <w:tr2bl w:val="nil"/>
            </w:tcBorders>
            <w:vAlign w:val="center"/>
          </w:tcPr>
          <w:p w14:paraId="303B725D">
            <w:pPr>
              <w:spacing w:line="440" w:lineRule="exact"/>
              <w:jc w:val="center"/>
              <w:rPr>
                <w:rFonts w:hint="eastAsia"/>
                <w:szCs w:val="21"/>
                <w:highlight w:val="none"/>
                <w:vertAlign w:val="baseline"/>
              </w:rPr>
            </w:pPr>
          </w:p>
        </w:tc>
        <w:tc>
          <w:tcPr>
            <w:tcW w:w="1880" w:type="dxa"/>
            <w:tcBorders>
              <w:tl2br w:val="nil"/>
              <w:tr2bl w:val="nil"/>
            </w:tcBorders>
            <w:vAlign w:val="center"/>
          </w:tcPr>
          <w:p w14:paraId="32BF6463">
            <w:pPr>
              <w:autoSpaceDE w:val="0"/>
              <w:autoSpaceDN w:val="0"/>
              <w:adjustRightInd w:val="0"/>
              <w:spacing w:line="400" w:lineRule="exact"/>
              <w:jc w:val="center"/>
              <w:rPr>
                <w:rFonts w:hint="eastAsia"/>
                <w:szCs w:val="21"/>
                <w:highlight w:val="none"/>
                <w:vertAlign w:val="baseline"/>
              </w:rPr>
            </w:pPr>
            <w:r>
              <w:rPr>
                <w:rFonts w:hint="eastAsia" w:ascii="新宋体" w:hAnsi="新宋体"/>
                <w:color w:val="auto"/>
                <w:szCs w:val="21"/>
                <w:highlight w:val="none"/>
              </w:rPr>
              <w:t>净值</w:t>
            </w:r>
          </w:p>
        </w:tc>
        <w:tc>
          <w:tcPr>
            <w:tcW w:w="1881" w:type="dxa"/>
            <w:tcBorders>
              <w:tl2br w:val="nil"/>
              <w:tr2bl w:val="nil"/>
            </w:tcBorders>
            <w:vAlign w:val="center"/>
          </w:tcPr>
          <w:p w14:paraId="30A25A0E">
            <w:pPr>
              <w:autoSpaceDE w:val="0"/>
              <w:autoSpaceDN w:val="0"/>
              <w:adjustRightInd w:val="0"/>
              <w:spacing w:line="400" w:lineRule="exact"/>
              <w:jc w:val="right"/>
              <w:rPr>
                <w:rFonts w:hint="eastAsia"/>
                <w:szCs w:val="21"/>
                <w:highlight w:val="none"/>
                <w:vertAlign w:val="baseline"/>
              </w:rPr>
            </w:pPr>
            <w:r>
              <w:rPr>
                <w:rFonts w:hint="eastAsia" w:ascii="新宋体" w:hAnsi="新宋体"/>
                <w:color w:val="auto"/>
                <w:szCs w:val="21"/>
                <w:highlight w:val="none"/>
                <w:u w:val="single"/>
                <w:lang w:val="en-US" w:eastAsia="zh-CN"/>
              </w:rPr>
              <w:t xml:space="preserve">           </w:t>
            </w:r>
            <w:r>
              <w:rPr>
                <w:rFonts w:hint="eastAsia" w:ascii="新宋体" w:hAnsi="新宋体"/>
                <w:color w:val="auto"/>
                <w:szCs w:val="21"/>
                <w:highlight w:val="none"/>
              </w:rPr>
              <w:t>万元</w:t>
            </w:r>
          </w:p>
        </w:tc>
      </w:tr>
      <w:tr w14:paraId="3C3730A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1711" w:type="dxa"/>
            <w:tcBorders>
              <w:tl2br w:val="nil"/>
              <w:tr2bl w:val="nil"/>
            </w:tcBorders>
            <w:vAlign w:val="center"/>
          </w:tcPr>
          <w:p w14:paraId="2A979D98">
            <w:pPr>
              <w:autoSpaceDE w:val="0"/>
              <w:autoSpaceDN w:val="0"/>
              <w:adjustRightInd w:val="0"/>
              <w:spacing w:line="400" w:lineRule="exact"/>
              <w:jc w:val="center"/>
              <w:rPr>
                <w:rFonts w:hint="eastAsia" w:ascii="新宋体" w:hAnsi="新宋体"/>
                <w:color w:val="auto"/>
                <w:szCs w:val="21"/>
                <w:highlight w:val="none"/>
              </w:rPr>
            </w:pPr>
            <w:r>
              <w:rPr>
                <w:rFonts w:hint="eastAsia" w:ascii="新宋体" w:hAnsi="新宋体"/>
                <w:color w:val="auto"/>
                <w:szCs w:val="21"/>
                <w:highlight w:val="none"/>
              </w:rPr>
              <w:t>开户银行</w:t>
            </w:r>
          </w:p>
        </w:tc>
        <w:tc>
          <w:tcPr>
            <w:tcW w:w="2049" w:type="dxa"/>
            <w:tcBorders>
              <w:tl2br w:val="nil"/>
              <w:tr2bl w:val="nil"/>
            </w:tcBorders>
            <w:vAlign w:val="center"/>
          </w:tcPr>
          <w:p w14:paraId="2398D39F">
            <w:pPr>
              <w:autoSpaceDE w:val="0"/>
              <w:autoSpaceDN w:val="0"/>
              <w:adjustRightInd w:val="0"/>
              <w:spacing w:line="400" w:lineRule="exact"/>
              <w:jc w:val="center"/>
              <w:rPr>
                <w:rFonts w:hint="eastAsia" w:ascii="新宋体" w:hAnsi="新宋体"/>
                <w:color w:val="auto"/>
                <w:szCs w:val="21"/>
                <w:highlight w:val="none"/>
              </w:rPr>
            </w:pPr>
          </w:p>
        </w:tc>
        <w:tc>
          <w:tcPr>
            <w:tcW w:w="1880" w:type="dxa"/>
            <w:vMerge w:val="restart"/>
            <w:tcBorders>
              <w:tl2br w:val="nil"/>
              <w:tr2bl w:val="nil"/>
            </w:tcBorders>
            <w:vAlign w:val="center"/>
          </w:tcPr>
          <w:p w14:paraId="1D01A8C3">
            <w:pPr>
              <w:spacing w:line="440" w:lineRule="exact"/>
              <w:jc w:val="center"/>
              <w:rPr>
                <w:rFonts w:hint="eastAsia"/>
                <w:szCs w:val="21"/>
                <w:highlight w:val="none"/>
                <w:vertAlign w:val="baseline"/>
              </w:rPr>
            </w:pPr>
            <w:r>
              <w:rPr>
                <w:rFonts w:hint="eastAsia" w:ascii="新宋体" w:hAnsi="新宋体"/>
                <w:color w:val="auto"/>
                <w:szCs w:val="21"/>
                <w:highlight w:val="none"/>
              </w:rPr>
              <w:t>职工</w:t>
            </w:r>
            <w:r>
              <w:rPr>
                <w:rFonts w:hint="eastAsia" w:ascii="新宋体" w:hAnsi="新宋体"/>
                <w:color w:val="auto"/>
                <w:szCs w:val="21"/>
                <w:highlight w:val="none"/>
                <w:lang w:eastAsia="zh-CN"/>
              </w:rPr>
              <w:t>人数</w:t>
            </w:r>
          </w:p>
        </w:tc>
        <w:tc>
          <w:tcPr>
            <w:tcW w:w="1880" w:type="dxa"/>
            <w:tcBorders>
              <w:tl2br w:val="nil"/>
              <w:tr2bl w:val="nil"/>
            </w:tcBorders>
            <w:vAlign w:val="center"/>
          </w:tcPr>
          <w:p w14:paraId="76521CA8">
            <w:pPr>
              <w:autoSpaceDE w:val="0"/>
              <w:autoSpaceDN w:val="0"/>
              <w:adjustRightInd w:val="0"/>
              <w:spacing w:line="400" w:lineRule="exact"/>
              <w:jc w:val="center"/>
              <w:rPr>
                <w:rFonts w:hint="eastAsia" w:ascii="新宋体" w:hAnsi="新宋体"/>
                <w:color w:val="auto"/>
                <w:szCs w:val="21"/>
                <w:highlight w:val="none"/>
              </w:rPr>
            </w:pPr>
            <w:r>
              <w:rPr>
                <w:rFonts w:hint="eastAsia" w:ascii="新宋体" w:hAnsi="新宋体"/>
                <w:color w:val="auto"/>
                <w:szCs w:val="21"/>
                <w:highlight w:val="none"/>
              </w:rPr>
              <w:t>生产工人</w:t>
            </w:r>
          </w:p>
        </w:tc>
        <w:tc>
          <w:tcPr>
            <w:tcW w:w="1881" w:type="dxa"/>
            <w:tcBorders>
              <w:tl2br w:val="nil"/>
              <w:tr2bl w:val="nil"/>
            </w:tcBorders>
            <w:vAlign w:val="center"/>
          </w:tcPr>
          <w:p w14:paraId="4C6BB693">
            <w:pPr>
              <w:autoSpaceDE w:val="0"/>
              <w:autoSpaceDN w:val="0"/>
              <w:adjustRightInd w:val="0"/>
              <w:spacing w:line="400" w:lineRule="exact"/>
              <w:jc w:val="right"/>
              <w:rPr>
                <w:rFonts w:hint="eastAsia" w:ascii="新宋体" w:hAnsi="新宋体"/>
                <w:color w:val="auto"/>
                <w:szCs w:val="21"/>
                <w:highlight w:val="none"/>
              </w:rPr>
            </w:pPr>
            <w:r>
              <w:rPr>
                <w:rFonts w:hint="eastAsia" w:ascii="新宋体" w:hAnsi="新宋体"/>
                <w:bCs/>
                <w:color w:val="auto"/>
                <w:szCs w:val="21"/>
                <w:highlight w:val="none"/>
                <w:lang w:val="en-US" w:eastAsia="zh-CN"/>
              </w:rPr>
              <w:t xml:space="preserve">    </w:t>
            </w:r>
            <w:r>
              <w:rPr>
                <w:rFonts w:hint="eastAsia" w:ascii="新宋体" w:hAnsi="新宋体"/>
                <w:color w:val="auto"/>
                <w:szCs w:val="21"/>
                <w:highlight w:val="none"/>
                <w:u w:val="single"/>
                <w:lang w:val="en-US" w:eastAsia="zh-CN"/>
              </w:rPr>
              <w:t xml:space="preserve">         </w:t>
            </w:r>
            <w:r>
              <w:rPr>
                <w:rFonts w:hint="eastAsia" w:ascii="新宋体" w:hAnsi="新宋体"/>
                <w:bCs/>
                <w:color w:val="auto"/>
                <w:szCs w:val="21"/>
                <w:highlight w:val="none"/>
              </w:rPr>
              <w:t>人</w:t>
            </w:r>
          </w:p>
        </w:tc>
      </w:tr>
      <w:tr w14:paraId="3D42040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711" w:type="dxa"/>
            <w:tcBorders>
              <w:tl2br w:val="nil"/>
              <w:tr2bl w:val="nil"/>
            </w:tcBorders>
            <w:vAlign w:val="center"/>
          </w:tcPr>
          <w:p w14:paraId="070C9C70">
            <w:pPr>
              <w:autoSpaceDE w:val="0"/>
              <w:autoSpaceDN w:val="0"/>
              <w:adjustRightInd w:val="0"/>
              <w:spacing w:line="400" w:lineRule="exact"/>
              <w:jc w:val="center"/>
              <w:rPr>
                <w:rFonts w:hint="eastAsia" w:ascii="新宋体" w:hAnsi="新宋体"/>
                <w:color w:val="auto"/>
                <w:szCs w:val="21"/>
                <w:highlight w:val="none"/>
              </w:rPr>
            </w:pPr>
            <w:r>
              <w:rPr>
                <w:rFonts w:hint="eastAsia" w:ascii="新宋体" w:hAnsi="新宋体"/>
                <w:color w:val="auto"/>
                <w:szCs w:val="21"/>
                <w:highlight w:val="none"/>
              </w:rPr>
              <w:t>账号</w:t>
            </w:r>
          </w:p>
        </w:tc>
        <w:tc>
          <w:tcPr>
            <w:tcW w:w="2049" w:type="dxa"/>
            <w:tcBorders>
              <w:tl2br w:val="nil"/>
              <w:tr2bl w:val="nil"/>
            </w:tcBorders>
            <w:vAlign w:val="center"/>
          </w:tcPr>
          <w:p w14:paraId="14BD79E1">
            <w:pPr>
              <w:autoSpaceDE w:val="0"/>
              <w:autoSpaceDN w:val="0"/>
              <w:adjustRightInd w:val="0"/>
              <w:spacing w:line="400" w:lineRule="exact"/>
              <w:jc w:val="center"/>
              <w:rPr>
                <w:rFonts w:hint="eastAsia" w:ascii="新宋体" w:hAnsi="新宋体"/>
                <w:color w:val="auto"/>
                <w:szCs w:val="21"/>
                <w:highlight w:val="none"/>
              </w:rPr>
            </w:pPr>
            <w:r>
              <w:rPr>
                <w:rFonts w:hint="eastAsia" w:ascii="新宋体" w:hAnsi="新宋体"/>
                <w:color w:val="auto"/>
                <w:szCs w:val="21"/>
                <w:highlight w:val="none"/>
              </w:rPr>
              <w:t>基本银行账号</w:t>
            </w:r>
          </w:p>
        </w:tc>
        <w:tc>
          <w:tcPr>
            <w:tcW w:w="1880" w:type="dxa"/>
            <w:vMerge w:val="continue"/>
            <w:tcBorders>
              <w:tl2br w:val="nil"/>
              <w:tr2bl w:val="nil"/>
            </w:tcBorders>
            <w:vAlign w:val="center"/>
          </w:tcPr>
          <w:p w14:paraId="22925F7E">
            <w:pPr>
              <w:spacing w:line="440" w:lineRule="exact"/>
              <w:jc w:val="center"/>
              <w:rPr>
                <w:rFonts w:hint="eastAsia"/>
                <w:szCs w:val="21"/>
                <w:highlight w:val="none"/>
                <w:vertAlign w:val="baseline"/>
              </w:rPr>
            </w:pPr>
          </w:p>
        </w:tc>
        <w:tc>
          <w:tcPr>
            <w:tcW w:w="1880" w:type="dxa"/>
            <w:tcBorders>
              <w:tl2br w:val="nil"/>
              <w:tr2bl w:val="nil"/>
            </w:tcBorders>
            <w:vAlign w:val="center"/>
          </w:tcPr>
          <w:p w14:paraId="6805E851">
            <w:pPr>
              <w:autoSpaceDE w:val="0"/>
              <w:autoSpaceDN w:val="0"/>
              <w:adjustRightInd w:val="0"/>
              <w:spacing w:line="400" w:lineRule="exact"/>
              <w:jc w:val="center"/>
              <w:rPr>
                <w:rFonts w:hint="eastAsia" w:ascii="新宋体" w:hAnsi="新宋体"/>
                <w:color w:val="auto"/>
                <w:szCs w:val="21"/>
                <w:highlight w:val="none"/>
              </w:rPr>
            </w:pPr>
            <w:r>
              <w:rPr>
                <w:rFonts w:hint="eastAsia" w:ascii="新宋体" w:hAnsi="新宋体"/>
                <w:color w:val="auto"/>
                <w:szCs w:val="21"/>
                <w:highlight w:val="none"/>
              </w:rPr>
              <w:t>技术人员</w:t>
            </w:r>
          </w:p>
        </w:tc>
        <w:tc>
          <w:tcPr>
            <w:tcW w:w="1881" w:type="dxa"/>
            <w:tcBorders>
              <w:tl2br w:val="nil"/>
              <w:tr2bl w:val="nil"/>
            </w:tcBorders>
            <w:vAlign w:val="center"/>
          </w:tcPr>
          <w:p w14:paraId="4A08A92F">
            <w:pPr>
              <w:autoSpaceDE w:val="0"/>
              <w:autoSpaceDN w:val="0"/>
              <w:adjustRightInd w:val="0"/>
              <w:spacing w:line="400" w:lineRule="exact"/>
              <w:jc w:val="right"/>
              <w:rPr>
                <w:rFonts w:hint="eastAsia" w:ascii="新宋体" w:hAnsi="新宋体"/>
                <w:color w:val="auto"/>
                <w:szCs w:val="21"/>
                <w:highlight w:val="none"/>
              </w:rPr>
            </w:pPr>
            <w:r>
              <w:rPr>
                <w:rFonts w:hint="eastAsia" w:ascii="新宋体" w:hAnsi="新宋体"/>
                <w:bCs/>
                <w:color w:val="auto"/>
                <w:szCs w:val="21"/>
                <w:highlight w:val="none"/>
                <w:lang w:val="en-US" w:eastAsia="zh-CN"/>
              </w:rPr>
              <w:t xml:space="preserve">    </w:t>
            </w:r>
            <w:r>
              <w:rPr>
                <w:rFonts w:hint="eastAsia" w:ascii="新宋体" w:hAnsi="新宋体"/>
                <w:color w:val="auto"/>
                <w:szCs w:val="21"/>
                <w:highlight w:val="none"/>
                <w:u w:val="single"/>
                <w:lang w:val="en-US" w:eastAsia="zh-CN"/>
              </w:rPr>
              <w:t xml:space="preserve">         </w:t>
            </w:r>
            <w:r>
              <w:rPr>
                <w:rFonts w:hint="eastAsia" w:ascii="新宋体" w:hAnsi="新宋体"/>
                <w:bCs/>
                <w:color w:val="auto"/>
                <w:szCs w:val="21"/>
                <w:highlight w:val="none"/>
              </w:rPr>
              <w:t>人</w:t>
            </w:r>
          </w:p>
        </w:tc>
      </w:tr>
      <w:tr w14:paraId="60C71FA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000" w:hRule="atLeast"/>
          <w:jc w:val="center"/>
        </w:trPr>
        <w:tc>
          <w:tcPr>
            <w:tcW w:w="1711" w:type="dxa"/>
            <w:tcBorders>
              <w:tl2br w:val="nil"/>
              <w:tr2bl w:val="nil"/>
            </w:tcBorders>
            <w:vAlign w:val="center"/>
          </w:tcPr>
          <w:p w14:paraId="2FA37064">
            <w:pPr>
              <w:autoSpaceDE w:val="0"/>
              <w:autoSpaceDN w:val="0"/>
              <w:adjustRightInd w:val="0"/>
              <w:spacing w:line="400" w:lineRule="exact"/>
              <w:jc w:val="center"/>
              <w:rPr>
                <w:rFonts w:hint="eastAsia" w:ascii="新宋体" w:hAnsi="新宋体"/>
                <w:color w:val="auto"/>
                <w:szCs w:val="21"/>
                <w:highlight w:val="none"/>
              </w:rPr>
            </w:pPr>
            <w:r>
              <w:rPr>
                <w:rFonts w:hint="eastAsia" w:ascii="新宋体" w:hAnsi="新宋体"/>
                <w:color w:val="auto"/>
                <w:szCs w:val="21"/>
                <w:highlight w:val="none"/>
              </w:rPr>
              <w:t>经营范围</w:t>
            </w:r>
          </w:p>
        </w:tc>
        <w:tc>
          <w:tcPr>
            <w:tcW w:w="7690" w:type="dxa"/>
            <w:gridSpan w:val="4"/>
            <w:tcBorders>
              <w:tl2br w:val="nil"/>
              <w:tr2bl w:val="nil"/>
            </w:tcBorders>
            <w:vAlign w:val="center"/>
          </w:tcPr>
          <w:p w14:paraId="0A4F92D8">
            <w:pPr>
              <w:autoSpaceDE w:val="0"/>
              <w:autoSpaceDN w:val="0"/>
              <w:adjustRightInd w:val="0"/>
              <w:spacing w:line="400" w:lineRule="exact"/>
              <w:jc w:val="center"/>
              <w:rPr>
                <w:rFonts w:hint="eastAsia" w:ascii="新宋体" w:hAnsi="新宋体"/>
                <w:color w:val="auto"/>
                <w:szCs w:val="21"/>
                <w:highlight w:val="none"/>
              </w:rPr>
            </w:pPr>
          </w:p>
        </w:tc>
      </w:tr>
      <w:tr w14:paraId="58872A6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615" w:hRule="atLeast"/>
          <w:jc w:val="center"/>
        </w:trPr>
        <w:tc>
          <w:tcPr>
            <w:tcW w:w="1711" w:type="dxa"/>
            <w:tcBorders>
              <w:tl2br w:val="nil"/>
              <w:tr2bl w:val="nil"/>
            </w:tcBorders>
            <w:vAlign w:val="center"/>
          </w:tcPr>
          <w:p w14:paraId="7E618C7D">
            <w:pPr>
              <w:autoSpaceDE w:val="0"/>
              <w:autoSpaceDN w:val="0"/>
              <w:adjustRightInd w:val="0"/>
              <w:spacing w:line="400" w:lineRule="exact"/>
              <w:jc w:val="center"/>
              <w:rPr>
                <w:rFonts w:hint="eastAsia" w:ascii="新宋体" w:hAnsi="新宋体"/>
                <w:color w:val="auto"/>
                <w:szCs w:val="21"/>
                <w:highlight w:val="none"/>
              </w:rPr>
            </w:pPr>
            <w:r>
              <w:rPr>
                <w:rFonts w:hint="eastAsia" w:ascii="新宋体" w:hAnsi="新宋体"/>
                <w:color w:val="auto"/>
                <w:szCs w:val="21"/>
                <w:highlight w:val="none"/>
              </w:rPr>
              <w:t>备注</w:t>
            </w:r>
          </w:p>
        </w:tc>
        <w:tc>
          <w:tcPr>
            <w:tcW w:w="7690" w:type="dxa"/>
            <w:gridSpan w:val="4"/>
            <w:tcBorders>
              <w:tl2br w:val="nil"/>
              <w:tr2bl w:val="nil"/>
            </w:tcBorders>
            <w:vAlign w:val="center"/>
          </w:tcPr>
          <w:p w14:paraId="226779B6">
            <w:pPr>
              <w:autoSpaceDE w:val="0"/>
              <w:autoSpaceDN w:val="0"/>
              <w:adjustRightInd w:val="0"/>
              <w:spacing w:line="400" w:lineRule="exact"/>
              <w:jc w:val="center"/>
              <w:rPr>
                <w:rFonts w:hint="eastAsia" w:ascii="新宋体" w:hAnsi="新宋体"/>
                <w:color w:val="auto"/>
                <w:szCs w:val="21"/>
                <w:highlight w:val="none"/>
              </w:rPr>
            </w:pPr>
          </w:p>
        </w:tc>
      </w:tr>
    </w:tbl>
    <w:p w14:paraId="314D3DE3">
      <w:pPr>
        <w:spacing w:line="440" w:lineRule="exact"/>
        <w:rPr>
          <w:rFonts w:hint="eastAsia"/>
          <w:szCs w:val="21"/>
          <w:highlight w:val="none"/>
        </w:rPr>
      </w:pPr>
    </w:p>
    <w:p w14:paraId="3A31B019">
      <w:pPr>
        <w:pStyle w:val="80"/>
        <w:keepNext w:val="0"/>
        <w:keepLines w:val="0"/>
        <w:pageBreakBefore w:val="0"/>
        <w:kinsoku/>
        <w:wordWrap/>
        <w:overflowPunct/>
        <w:topLinePunct w:val="0"/>
        <w:autoSpaceDE/>
        <w:autoSpaceDN/>
        <w:bidi w:val="0"/>
        <w:adjustRightInd/>
        <w:snapToGrid/>
        <w:spacing w:line="500" w:lineRule="exact"/>
        <w:ind w:left="0" w:leftChars="0" w:right="0" w:rightChars="0" w:firstLine="0" w:firstLineChars="0"/>
        <w:jc w:val="left"/>
        <w:textAlignment w:val="auto"/>
        <w:rPr>
          <w:rFonts w:hint="eastAsia" w:ascii="新宋体" w:hAnsi="新宋体"/>
          <w:b w:val="0"/>
          <w:color w:val="auto"/>
          <w:sz w:val="21"/>
          <w:szCs w:val="21"/>
          <w:highlight w:val="none"/>
        </w:rPr>
      </w:pPr>
      <w:r>
        <w:rPr>
          <w:rFonts w:hint="eastAsia" w:ascii="新宋体" w:hAnsi="新宋体"/>
          <w:b w:val="0"/>
          <w:color w:val="auto"/>
          <w:sz w:val="21"/>
          <w:szCs w:val="21"/>
          <w:highlight w:val="none"/>
          <w:lang w:val="en-US" w:eastAsia="zh-CN"/>
        </w:rPr>
        <w:t xml:space="preserve">                                             </w:t>
      </w:r>
      <w:r>
        <w:rPr>
          <w:rFonts w:hint="eastAsia" w:ascii="新宋体" w:hAnsi="新宋体"/>
          <w:b w:val="0"/>
          <w:color w:val="auto"/>
          <w:sz w:val="21"/>
          <w:szCs w:val="21"/>
          <w:highlight w:val="none"/>
        </w:rPr>
        <w:t>投标人：</w:t>
      </w:r>
      <w:r>
        <w:rPr>
          <w:rFonts w:ascii="新宋体" w:hAnsi="新宋体"/>
          <w:b w:val="0"/>
          <w:color w:val="auto"/>
          <w:sz w:val="21"/>
          <w:szCs w:val="21"/>
          <w:highlight w:val="none"/>
          <w:u w:val="single"/>
        </w:rPr>
        <w:t xml:space="preserve">             </w:t>
      </w:r>
      <w:r>
        <w:rPr>
          <w:rFonts w:hint="eastAsia" w:ascii="新宋体" w:hAnsi="新宋体"/>
          <w:b w:val="0"/>
          <w:color w:val="auto"/>
          <w:sz w:val="21"/>
          <w:szCs w:val="21"/>
          <w:highlight w:val="none"/>
          <w:u w:val="single"/>
        </w:rPr>
        <w:t xml:space="preserve">  （单位全称、盖章）   </w:t>
      </w:r>
    </w:p>
    <w:p w14:paraId="5110104E">
      <w:pPr>
        <w:pStyle w:val="80"/>
        <w:keepNext w:val="0"/>
        <w:keepLines w:val="0"/>
        <w:pageBreakBefore w:val="0"/>
        <w:kinsoku/>
        <w:wordWrap/>
        <w:overflowPunct/>
        <w:topLinePunct w:val="0"/>
        <w:autoSpaceDE/>
        <w:autoSpaceDN/>
        <w:bidi w:val="0"/>
        <w:adjustRightInd/>
        <w:snapToGrid/>
        <w:spacing w:line="500" w:lineRule="exact"/>
        <w:ind w:left="0" w:leftChars="0" w:right="0" w:rightChars="0" w:firstLine="0" w:firstLineChars="0"/>
        <w:jc w:val="left"/>
        <w:textAlignment w:val="auto"/>
        <w:rPr>
          <w:rFonts w:hint="eastAsia" w:ascii="新宋体" w:hAnsi="新宋体"/>
          <w:b w:val="0"/>
          <w:color w:val="auto"/>
          <w:sz w:val="21"/>
          <w:szCs w:val="21"/>
          <w:highlight w:val="none"/>
        </w:rPr>
      </w:pPr>
      <w:r>
        <w:rPr>
          <w:rFonts w:hint="eastAsia" w:ascii="新宋体" w:hAnsi="新宋体"/>
          <w:b w:val="0"/>
          <w:color w:val="auto"/>
          <w:sz w:val="21"/>
          <w:szCs w:val="21"/>
          <w:highlight w:val="none"/>
          <w:lang w:val="en-US" w:eastAsia="zh-CN"/>
        </w:rPr>
        <w:t xml:space="preserve">                                             </w:t>
      </w:r>
      <w:r>
        <w:rPr>
          <w:rFonts w:hint="eastAsia" w:ascii="新宋体" w:hAnsi="新宋体"/>
          <w:b w:val="0"/>
          <w:color w:val="auto"/>
          <w:sz w:val="21"/>
          <w:szCs w:val="21"/>
          <w:highlight w:val="none"/>
        </w:rPr>
        <w:t>法定代表人或授权代表：</w:t>
      </w:r>
      <w:r>
        <w:rPr>
          <w:rFonts w:hint="eastAsia" w:ascii="新宋体" w:hAnsi="新宋体"/>
          <w:b w:val="0"/>
          <w:color w:val="auto"/>
          <w:sz w:val="21"/>
          <w:szCs w:val="21"/>
          <w:highlight w:val="none"/>
          <w:u w:val="single"/>
        </w:rPr>
        <w:t xml:space="preserve">     （</w:t>
      </w:r>
      <w:r>
        <w:rPr>
          <w:rFonts w:hint="eastAsia" w:ascii="新宋体" w:hAnsi="新宋体"/>
          <w:b w:val="0"/>
          <w:color w:val="auto"/>
          <w:sz w:val="21"/>
          <w:szCs w:val="21"/>
          <w:highlight w:val="none"/>
          <w:u w:val="single"/>
          <w:lang w:eastAsia="zh-CN"/>
        </w:rPr>
        <w:t>盖章或签字</w:t>
      </w:r>
      <w:r>
        <w:rPr>
          <w:rFonts w:hint="eastAsia" w:ascii="新宋体" w:hAnsi="新宋体"/>
          <w:b w:val="0"/>
          <w:color w:val="auto"/>
          <w:sz w:val="21"/>
          <w:szCs w:val="21"/>
          <w:highlight w:val="none"/>
          <w:u w:val="single"/>
        </w:rPr>
        <w:t xml:space="preserve">）    </w:t>
      </w:r>
    </w:p>
    <w:p w14:paraId="33137F7A">
      <w:pPr>
        <w:spacing w:line="440" w:lineRule="exact"/>
        <w:rPr>
          <w:rFonts w:hint="eastAsia"/>
          <w:szCs w:val="21"/>
          <w:highlight w:val="none"/>
        </w:rPr>
      </w:pPr>
      <w:r>
        <w:rPr>
          <w:rFonts w:hint="eastAsia" w:ascii="新宋体" w:hAnsi="新宋体"/>
          <w:b w:val="0"/>
          <w:color w:val="auto"/>
          <w:sz w:val="21"/>
          <w:szCs w:val="21"/>
          <w:highlight w:val="none"/>
          <w:lang w:val="en-US" w:eastAsia="zh-CN"/>
        </w:rPr>
        <w:t xml:space="preserve">                                             </w:t>
      </w:r>
      <w:r>
        <w:rPr>
          <w:rFonts w:hint="eastAsia" w:ascii="新宋体" w:hAnsi="新宋体"/>
          <w:b w:val="0"/>
          <w:color w:val="auto"/>
          <w:sz w:val="21"/>
          <w:szCs w:val="21"/>
          <w:highlight w:val="none"/>
        </w:rPr>
        <w:t>投标日期：</w:t>
      </w:r>
      <w:r>
        <w:rPr>
          <w:rFonts w:hint="eastAsia" w:ascii="新宋体" w:hAnsi="新宋体"/>
          <w:b w:val="0"/>
          <w:color w:val="auto"/>
          <w:sz w:val="21"/>
          <w:szCs w:val="21"/>
          <w:highlight w:val="none"/>
          <w:u w:val="single"/>
        </w:rPr>
        <w:t xml:space="preserve">        </w:t>
      </w:r>
      <w:r>
        <w:rPr>
          <w:rFonts w:hint="eastAsia" w:ascii="新宋体" w:hAnsi="新宋体"/>
          <w:b w:val="0"/>
          <w:color w:val="auto"/>
          <w:sz w:val="21"/>
          <w:szCs w:val="21"/>
          <w:highlight w:val="none"/>
        </w:rPr>
        <w:t>年</w:t>
      </w:r>
      <w:r>
        <w:rPr>
          <w:rFonts w:hint="eastAsia" w:ascii="新宋体" w:hAnsi="新宋体"/>
          <w:b w:val="0"/>
          <w:color w:val="auto"/>
          <w:sz w:val="21"/>
          <w:szCs w:val="21"/>
          <w:highlight w:val="none"/>
          <w:u w:val="single"/>
        </w:rPr>
        <w:t xml:space="preserve">    </w:t>
      </w:r>
      <w:r>
        <w:rPr>
          <w:rFonts w:hint="eastAsia" w:ascii="新宋体" w:hAnsi="新宋体"/>
          <w:b w:val="0"/>
          <w:color w:val="auto"/>
          <w:sz w:val="21"/>
          <w:szCs w:val="21"/>
          <w:highlight w:val="none"/>
        </w:rPr>
        <w:t>月</w:t>
      </w:r>
      <w:r>
        <w:rPr>
          <w:rFonts w:hint="eastAsia" w:ascii="新宋体" w:hAnsi="新宋体"/>
          <w:b w:val="0"/>
          <w:color w:val="auto"/>
          <w:sz w:val="21"/>
          <w:szCs w:val="21"/>
          <w:highlight w:val="none"/>
          <w:u w:val="single"/>
        </w:rPr>
        <w:t xml:space="preserve">    </w:t>
      </w:r>
      <w:r>
        <w:rPr>
          <w:rFonts w:hint="eastAsia" w:ascii="新宋体" w:hAnsi="新宋体"/>
          <w:b w:val="0"/>
          <w:color w:val="auto"/>
          <w:sz w:val="21"/>
          <w:szCs w:val="21"/>
          <w:highlight w:val="none"/>
        </w:rPr>
        <w:t>日</w:t>
      </w:r>
    </w:p>
    <w:p w14:paraId="034BB178">
      <w:pPr>
        <w:rPr>
          <w:rFonts w:hint="eastAsia" w:ascii="新宋体" w:hAnsi="新宋体" w:cs="新宋体"/>
          <w:b/>
          <w:color w:val="auto"/>
          <w:sz w:val="28"/>
          <w:szCs w:val="28"/>
          <w:highlight w:val="none"/>
        </w:rPr>
      </w:pPr>
      <w:r>
        <w:rPr>
          <w:rFonts w:hint="eastAsia" w:ascii="新宋体" w:hAnsi="新宋体" w:cs="新宋体"/>
          <w:b/>
          <w:color w:val="auto"/>
          <w:sz w:val="28"/>
          <w:szCs w:val="28"/>
          <w:highlight w:val="none"/>
        </w:rPr>
        <w:br w:type="page"/>
      </w:r>
    </w:p>
    <w:p w14:paraId="61DF9B49">
      <w:pPr>
        <w:keepNext w:val="0"/>
        <w:keepLines w:val="0"/>
        <w:pageBreakBefore w:val="0"/>
        <w:widowControl w:val="0"/>
        <w:numPr>
          <w:ilvl w:val="0"/>
          <w:numId w:val="18"/>
        </w:numPr>
        <w:kinsoku/>
        <w:wordWrap/>
        <w:overflowPunct/>
        <w:topLinePunct w:val="0"/>
        <w:autoSpaceDE/>
        <w:autoSpaceDN/>
        <w:bidi w:val="0"/>
        <w:adjustRightInd/>
        <w:snapToGrid/>
        <w:spacing w:line="360" w:lineRule="exact"/>
        <w:textAlignment w:val="auto"/>
        <w:rPr>
          <w:rFonts w:hint="eastAsia" w:ascii="新宋体" w:hAnsi="新宋体" w:cs="新宋体"/>
          <w:b/>
          <w:color w:val="auto"/>
          <w:sz w:val="28"/>
          <w:szCs w:val="28"/>
          <w:highlight w:val="none"/>
        </w:rPr>
      </w:pPr>
      <w:r>
        <w:rPr>
          <w:rFonts w:hint="eastAsia" w:ascii="新宋体" w:hAnsi="新宋体" w:cs="新宋体"/>
          <w:b/>
          <w:color w:val="auto"/>
          <w:sz w:val="28"/>
          <w:szCs w:val="28"/>
          <w:highlight w:val="none"/>
        </w:rPr>
        <w:t>投标人资格文件</w:t>
      </w:r>
    </w:p>
    <w:p w14:paraId="58A5A01D">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2.1资质</w:t>
      </w:r>
    </w:p>
    <w:p w14:paraId="6777D501">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（1）在中华人民共和国境内注册，依法取得并有效存续的营业执照（含电子营业执照）/事业单位法人证书/民办非企业单位登记证书/非企业专业服务机构执业许可/自然人的提供身份证明文件。</w:t>
      </w:r>
    </w:p>
    <w:p w14:paraId="5E883152">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2）法定代表人（负责人）参加投标的，须出具法定代表人（负责人）身份证明书及身份证正反两面扫描件或护照资料页扫描件；法定代表人（负责人）授权委托代理人参加投标的，须出具法定代表人（负责人）授权委托书及委托代理人身份证正反两面扫描件或护照资料页扫描件。</w:t>
      </w:r>
    </w:p>
    <w:p w14:paraId="250E75EF">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3）财务状况报告：提供2025年度财务审计报告（成立时间至开标时间不足一年的可提供成立后任意时段的资产负债表）；或提供基本存款账户信息及开标日期前三个月内其基本存款账户开户银行出具的资信证明；或财政部门认可的政府采购专业担保机构出具的投标担保函（依法不需要提供财务状况的供应商应提供相关证明）。</w:t>
      </w:r>
    </w:p>
    <w:p w14:paraId="61FBE58F">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4）税收缴纳证明：提供投标响应文件截止时间一年内至少一个月的纳税证明或完税证明（任意税种），纳税证明或完税证明上应有代收机构或税务机关的公章或业务专用章（依法不需要缴纳税收的供应商应提供相关证明）。</w:t>
      </w:r>
    </w:p>
    <w:p w14:paraId="3355C0F7">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5）社会保障资金缴纳证明：提供投标响应文件截止时间一年内至少一个月的社会保障资金缴存单据或社保机构开具的社会保险参保缴费情况证明，单据或证明上应有社保机构或代收机构的公章或业务专用章（依法不需要缴纳社会保障资金的供应商应提供相关证明）。</w:t>
      </w:r>
    </w:p>
    <w:p w14:paraId="4EEE807A">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（6）具有履行合同所必需的设备和专业技术能力书面声明函。</w:t>
      </w:r>
    </w:p>
    <w:p w14:paraId="78AD2D19">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（7）参加政府采购活动前三年内，在经营活动中没有重大违法记录的书面声明。</w:t>
      </w:r>
    </w:p>
    <w:p w14:paraId="2FF0E9EC">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（8）工业产品厂家须具备《中华人民共和国工业产品生产许可证管理条例实施办法》目录产品生产资质，直接接触食品的材料和相关产品须满足《食品安全法》相关法律法规。</w:t>
      </w:r>
    </w:p>
    <w:p w14:paraId="22E48F53">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（9）本项目不接受联合体投标。</w:t>
      </w:r>
    </w:p>
    <w:p w14:paraId="4B97BCAB">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10）单位负责人为同一人或者存在直接控股、管理关系的不同供应商，不得参加同一合同项下的政府采购活动。为采购项目提供整体设计、规范编制或者项目管理、监理、检测等服务的供应商，不得再参加该采购项目的其他采购活动。</w:t>
      </w:r>
    </w:p>
    <w:p w14:paraId="1DCA91C4">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11）本项目专门面向中小企业采购，供应商须提供《中小企业声明函》。供应商为监狱企业的视同小型和微型企业，须提供由省级以上监狱管理局、戒毒管理局(含新疆生产建设兵团)出具的属于监狱企业的证明文件。供应商为残疾人福利性单位的视同小型和微型企业，须提供《残疾人福利性单位声明函》。</w:t>
      </w:r>
    </w:p>
    <w:p w14:paraId="5E81ED12">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both"/>
        <w:textAlignment w:val="auto"/>
        <w:rPr>
          <w:rFonts w:hint="eastAsia" w:ascii="宋体" w:hAnsi="宋体" w:eastAsia="宋体" w:cs="宋体"/>
          <w:i w:val="0"/>
          <w:iCs w:val="0"/>
          <w:caps w:val="0"/>
          <w:color w:val="333333"/>
          <w:spacing w:val="0"/>
          <w:sz w:val="24"/>
          <w:szCs w:val="24"/>
          <w:shd w:val="clear" w:fill="FFFFFF"/>
        </w:rPr>
      </w:pPr>
    </w:p>
    <w:p w14:paraId="541685E2">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both"/>
        <w:textAlignment w:val="auto"/>
        <w:rPr>
          <w:rFonts w:hint="eastAsia" w:ascii="宋体" w:hAnsi="宋体" w:eastAsia="宋体" w:cs="宋体"/>
          <w:i w:val="0"/>
          <w:iCs w:val="0"/>
          <w:caps w:val="0"/>
          <w:color w:val="333333"/>
          <w:spacing w:val="0"/>
          <w:sz w:val="24"/>
          <w:szCs w:val="24"/>
          <w:shd w:val="clear" w:fill="FFFFFF"/>
        </w:rPr>
      </w:pPr>
    </w:p>
    <w:p w14:paraId="2782B5C7">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both"/>
        <w:textAlignment w:val="auto"/>
        <w:rPr>
          <w:rFonts w:hint="eastAsia" w:ascii="宋体" w:hAnsi="宋体" w:eastAsia="宋体" w:cs="宋体"/>
          <w:i w:val="0"/>
          <w:iCs w:val="0"/>
          <w:caps w:val="0"/>
          <w:color w:val="333333"/>
          <w:spacing w:val="0"/>
          <w:sz w:val="24"/>
          <w:szCs w:val="24"/>
          <w:shd w:val="clear" w:fill="FFFFFF"/>
        </w:rPr>
      </w:pPr>
    </w:p>
    <w:p w14:paraId="5D918D22">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both"/>
        <w:textAlignment w:val="auto"/>
        <w:rPr>
          <w:rFonts w:hint="eastAsia" w:ascii="宋体" w:hAnsi="宋体" w:eastAsia="宋体" w:cs="宋体"/>
          <w:i w:val="0"/>
          <w:iCs w:val="0"/>
          <w:caps w:val="0"/>
          <w:color w:val="333333"/>
          <w:spacing w:val="0"/>
          <w:sz w:val="24"/>
          <w:szCs w:val="24"/>
          <w:shd w:val="clear" w:fill="FFFFFF"/>
        </w:rPr>
      </w:pPr>
    </w:p>
    <w:p w14:paraId="5E16E803">
      <w:pPr>
        <w:spacing w:line="440" w:lineRule="exact"/>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rPr>
        <w:t>2.</w:t>
      </w:r>
      <w:r>
        <w:rPr>
          <w:rFonts w:hint="eastAsia" w:ascii="宋体" w:hAnsi="宋体" w:cs="宋体"/>
          <w:b/>
          <w:color w:val="auto"/>
          <w:sz w:val="21"/>
          <w:szCs w:val="21"/>
          <w:highlight w:val="none"/>
          <w:lang w:val="en-US" w:eastAsia="zh-CN"/>
        </w:rPr>
        <w:t>2</w:t>
      </w:r>
      <w:r>
        <w:rPr>
          <w:rFonts w:hint="eastAsia" w:ascii="宋体" w:hAnsi="宋体" w:eastAsia="宋体" w:cs="宋体"/>
          <w:b/>
          <w:color w:val="auto"/>
          <w:sz w:val="21"/>
          <w:szCs w:val="21"/>
          <w:highlight w:val="none"/>
        </w:rPr>
        <w:t>投标声明</w:t>
      </w:r>
      <w:r>
        <w:rPr>
          <w:rFonts w:hint="eastAsia" w:ascii="宋体" w:hAnsi="宋体" w:cs="宋体"/>
          <w:b/>
          <w:color w:val="auto"/>
          <w:sz w:val="21"/>
          <w:szCs w:val="21"/>
          <w:highlight w:val="none"/>
          <w:lang w:val="en-US" w:eastAsia="zh-CN"/>
        </w:rPr>
        <w:t>书</w:t>
      </w:r>
    </w:p>
    <w:p w14:paraId="48962505">
      <w:pPr>
        <w:spacing w:line="440" w:lineRule="exact"/>
        <w:rPr>
          <w:rFonts w:hint="default" w:ascii="宋体" w:hAnsi="宋体" w:eastAsia="宋体" w:cs="宋体"/>
          <w:b/>
          <w:color w:val="auto"/>
          <w:sz w:val="21"/>
          <w:szCs w:val="21"/>
          <w:highlight w:val="none"/>
          <w:lang w:eastAsia="zh-CN"/>
        </w:rPr>
      </w:pPr>
    </w:p>
    <w:p w14:paraId="55FE6699">
      <w:pPr>
        <w:pStyle w:val="11"/>
        <w:keepNext w:val="0"/>
        <w:keepLines w:val="0"/>
        <w:pageBreakBefore w:val="0"/>
        <w:widowControl w:val="0"/>
        <w:kinsoku/>
        <w:wordWrap/>
        <w:overflowPunct/>
        <w:topLinePunct w:val="0"/>
        <w:autoSpaceDE/>
        <w:autoSpaceDN/>
        <w:bidi w:val="0"/>
        <w:adjustRightInd/>
        <w:snapToGrid/>
        <w:spacing w:after="327" w:afterLines="100" w:line="240" w:lineRule="auto"/>
        <w:ind w:left="0" w:leftChars="0" w:right="0" w:rightChars="0" w:firstLine="0" w:firstLineChars="0"/>
        <w:jc w:val="center"/>
        <w:textAlignment w:val="auto"/>
        <w:outlineLvl w:val="9"/>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lang w:eastAsia="zh-CN"/>
        </w:rPr>
        <w:t>（</w:t>
      </w:r>
      <w:r>
        <w:rPr>
          <w:rFonts w:hint="eastAsia" w:cs="Times New Roman"/>
          <w:b/>
          <w:color w:val="auto"/>
          <w:sz w:val="21"/>
          <w:szCs w:val="21"/>
          <w:highlight w:val="none"/>
          <w:lang w:val="en-US" w:eastAsia="zh-CN"/>
        </w:rPr>
        <w:t>1</w:t>
      </w:r>
      <w:r>
        <w:rPr>
          <w:rFonts w:hint="default" w:ascii="Times New Roman" w:hAnsi="Times New Roman" w:eastAsia="宋体" w:cs="Times New Roman"/>
          <w:b/>
          <w:color w:val="auto"/>
          <w:sz w:val="21"/>
          <w:szCs w:val="21"/>
          <w:highlight w:val="none"/>
          <w:lang w:eastAsia="zh-CN"/>
        </w:rPr>
        <w:t>）</w:t>
      </w:r>
      <w:r>
        <w:rPr>
          <w:rFonts w:hint="default" w:ascii="Times New Roman" w:hAnsi="Times New Roman" w:eastAsia="宋体" w:cs="Times New Roman"/>
          <w:b/>
          <w:color w:val="auto"/>
          <w:sz w:val="21"/>
          <w:szCs w:val="21"/>
          <w:highlight w:val="none"/>
        </w:rPr>
        <w:t>投标声明书</w:t>
      </w:r>
    </w:p>
    <w:p w14:paraId="5DBC6774">
      <w:pPr>
        <w:pStyle w:val="11"/>
        <w:spacing w:after="120" w:afterLines="50" w:line="360" w:lineRule="auto"/>
        <w:ind w:firstLine="0"/>
        <w:rPr>
          <w:rFonts w:hint="default" w:ascii="Times New Roman" w:hAnsi="Times New Roman" w:eastAsia="宋体" w:cs="Times New Roman"/>
          <w:b/>
          <w:color w:val="auto"/>
          <w:sz w:val="21"/>
          <w:szCs w:val="21"/>
          <w:highlight w:val="none"/>
        </w:rPr>
      </w:pPr>
      <w:r>
        <w:rPr>
          <w:rFonts w:hint="eastAsia" w:cs="Times New Roman"/>
          <w:b/>
          <w:color w:val="auto"/>
          <w:sz w:val="21"/>
          <w:szCs w:val="21"/>
          <w:highlight w:val="none"/>
          <w:lang w:eastAsia="zh-CN"/>
        </w:rPr>
        <w:t>瑞恒项目管理有限公司</w:t>
      </w:r>
      <w:r>
        <w:rPr>
          <w:rFonts w:hint="default" w:ascii="Times New Roman" w:hAnsi="Times New Roman" w:eastAsia="宋体" w:cs="Times New Roman"/>
          <w:b/>
          <w:color w:val="auto"/>
          <w:sz w:val="21"/>
          <w:szCs w:val="21"/>
          <w:highlight w:val="none"/>
        </w:rPr>
        <w:t>：</w:t>
      </w:r>
    </w:p>
    <w:p w14:paraId="0F86844E">
      <w:pPr>
        <w:pStyle w:val="11"/>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573" w:firstLineChars="0"/>
        <w:jc w:val="both"/>
        <w:textAlignment w:val="auto"/>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我公司                   （投标人名称），就参加               采购项目（采购项目编号：             ）投标事宜，在此郑重声明：</w:t>
      </w:r>
    </w:p>
    <w:p w14:paraId="19E15F4C">
      <w:pPr>
        <w:pStyle w:val="11"/>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573" w:firstLineChars="0"/>
        <w:jc w:val="both"/>
        <w:textAlignment w:val="auto"/>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1、我公司所提交的所有证明文件及投标文件全部真实有效；</w:t>
      </w:r>
    </w:p>
    <w:p w14:paraId="2E98653A">
      <w:pPr>
        <w:pStyle w:val="11"/>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573" w:firstLineChars="0"/>
        <w:jc w:val="both"/>
        <w:textAlignment w:val="auto"/>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2、我公司近3年来无因安全事故、质量事故、投标违规等不良记录被政府有关部门处罚或仍在处罚期限内的情形存在；</w:t>
      </w:r>
    </w:p>
    <w:p w14:paraId="6DE5AEA5">
      <w:pPr>
        <w:pStyle w:val="11"/>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573" w:firstLineChars="0"/>
        <w:jc w:val="both"/>
        <w:textAlignment w:val="auto"/>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3、我公司近3年来无违规违法经营受到责令停产(或停止经营)、吊销生产许可证（或经营许可证）、较大数额罚款等行政处罚的情形存在；</w:t>
      </w:r>
    </w:p>
    <w:p w14:paraId="4AA1B747">
      <w:pPr>
        <w:pStyle w:val="11"/>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573" w:firstLineChars="0"/>
        <w:jc w:val="both"/>
        <w:textAlignment w:val="auto"/>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4、我公司无企业财产被查封、冻结或处于破产状态或严重亏损状态等情形存在；</w:t>
      </w:r>
    </w:p>
    <w:p w14:paraId="60EA22F3">
      <w:pPr>
        <w:pStyle w:val="11"/>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573" w:firstLineChars="0"/>
        <w:jc w:val="both"/>
        <w:textAlignment w:val="auto"/>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5、我公司承诺在投标过程中，保证不予其他单位围标、串标，不出让</w:t>
      </w:r>
      <w:r>
        <w:rPr>
          <w:rFonts w:hint="eastAsia" w:cs="Times New Roman"/>
          <w:color w:val="auto"/>
          <w:sz w:val="21"/>
          <w:szCs w:val="21"/>
          <w:highlight w:val="none"/>
          <w:lang w:eastAsia="zh-CN"/>
        </w:rPr>
        <w:t>投标</w:t>
      </w:r>
      <w:r>
        <w:rPr>
          <w:rFonts w:hint="default" w:ascii="Times New Roman" w:hAnsi="Times New Roman" w:eastAsia="宋体" w:cs="Times New Roman"/>
          <w:color w:val="auto"/>
          <w:sz w:val="21"/>
          <w:szCs w:val="21"/>
          <w:highlight w:val="none"/>
        </w:rPr>
        <w:t>资格，不采取不正当手段诋毁、排挤其他</w:t>
      </w:r>
      <w:r>
        <w:rPr>
          <w:rFonts w:hint="eastAsia" w:ascii="Times New Roman" w:hAnsi="Times New Roman" w:eastAsia="宋体" w:cs="Times New Roman"/>
          <w:color w:val="auto"/>
          <w:sz w:val="21"/>
          <w:szCs w:val="21"/>
          <w:highlight w:val="none"/>
          <w:lang w:eastAsia="zh-CN"/>
        </w:rPr>
        <w:t>投标人</w:t>
      </w:r>
      <w:r>
        <w:rPr>
          <w:rFonts w:hint="default" w:ascii="Times New Roman" w:hAnsi="Times New Roman" w:eastAsia="宋体" w:cs="Times New Roman"/>
          <w:color w:val="auto"/>
          <w:sz w:val="21"/>
          <w:szCs w:val="21"/>
          <w:highlight w:val="none"/>
        </w:rPr>
        <w:t>，不向采购人、采购代理机构、评标委员会成员行贿</w:t>
      </w:r>
      <w:r>
        <w:rPr>
          <w:rFonts w:hint="eastAsia" w:ascii="Times New Roman" w:hAnsi="Times New Roman" w:eastAsia="宋体" w:cs="Times New Roman"/>
          <w:color w:val="auto"/>
          <w:sz w:val="21"/>
          <w:szCs w:val="21"/>
          <w:highlight w:val="none"/>
          <w:lang w:eastAsia="zh-CN"/>
        </w:rPr>
        <w:t>；</w:t>
      </w:r>
    </w:p>
    <w:p w14:paraId="0E46452C">
      <w:pPr>
        <w:pStyle w:val="11"/>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573" w:firstLineChars="0"/>
        <w:jc w:val="both"/>
        <w:textAlignment w:val="auto"/>
        <w:outlineLvl w:val="9"/>
        <w:rPr>
          <w:rFonts w:hint="eastAsia" w:cs="Times New Roman"/>
          <w:color w:val="auto"/>
          <w:sz w:val="21"/>
          <w:szCs w:val="21"/>
          <w:highlight w:val="none"/>
          <w:lang w:eastAsia="zh-CN"/>
        </w:rPr>
      </w:pPr>
      <w:r>
        <w:rPr>
          <w:rFonts w:hint="default" w:ascii="Times New Roman" w:hAnsi="Times New Roman" w:eastAsia="宋体" w:cs="Times New Roman"/>
          <w:color w:val="auto"/>
          <w:sz w:val="21"/>
          <w:szCs w:val="21"/>
          <w:highlight w:val="none"/>
        </w:rPr>
        <w:t>6、我公司参加政府采购活动近3年内，在经营活动中没有重大违法记录</w:t>
      </w:r>
      <w:r>
        <w:rPr>
          <w:rFonts w:hint="eastAsia" w:cs="Times New Roman"/>
          <w:color w:val="auto"/>
          <w:sz w:val="21"/>
          <w:szCs w:val="21"/>
          <w:highlight w:val="none"/>
          <w:lang w:eastAsia="zh-CN"/>
        </w:rPr>
        <w:t>；</w:t>
      </w:r>
    </w:p>
    <w:p w14:paraId="383F9BA8">
      <w:pPr>
        <w:pStyle w:val="11"/>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573" w:firstLineChars="0"/>
        <w:jc w:val="both"/>
        <w:textAlignment w:val="auto"/>
        <w:outlineLvl w:val="9"/>
        <w:rPr>
          <w:rFonts w:hint="eastAsia" w:cs="Times New Roman"/>
          <w:color w:val="auto"/>
          <w:sz w:val="21"/>
          <w:szCs w:val="21"/>
          <w:highlight w:val="none"/>
          <w:lang w:eastAsia="zh-CN"/>
        </w:rPr>
      </w:pPr>
      <w:r>
        <w:rPr>
          <w:rFonts w:hint="eastAsia" w:cs="Times New Roman"/>
          <w:color w:val="auto"/>
          <w:sz w:val="21"/>
          <w:szCs w:val="21"/>
          <w:highlight w:val="none"/>
          <w:lang w:val="en-US" w:eastAsia="zh-CN"/>
        </w:rPr>
        <w:t>7、</w:t>
      </w:r>
      <w:r>
        <w:rPr>
          <w:rFonts w:hint="eastAsia" w:cs="Times New Roman"/>
          <w:color w:val="auto"/>
          <w:sz w:val="21"/>
          <w:szCs w:val="21"/>
          <w:highlight w:val="none"/>
          <w:lang w:eastAsia="zh-CN"/>
        </w:rPr>
        <w:t>我公司参加本次公开招标项目为非联合体。</w:t>
      </w:r>
    </w:p>
    <w:p w14:paraId="5C605106">
      <w:pPr>
        <w:pStyle w:val="11"/>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573" w:firstLineChars="0"/>
        <w:jc w:val="both"/>
        <w:textAlignment w:val="auto"/>
        <w:outlineLvl w:val="9"/>
        <w:rPr>
          <w:rFonts w:hint="default"/>
          <w:lang w:val="en-US" w:eastAsia="zh-CN"/>
        </w:rPr>
      </w:pPr>
      <w:r>
        <w:rPr>
          <w:rFonts w:hint="eastAsia" w:cs="Times New Roman"/>
          <w:color w:val="auto"/>
          <w:sz w:val="21"/>
          <w:szCs w:val="21"/>
          <w:highlight w:val="none"/>
          <w:lang w:val="en-US" w:eastAsia="zh-CN"/>
        </w:rPr>
        <w:t>8、无与我公司单位负责人为同一人或者存在直接控股、管理关系的不同供应商。无为采购项目提供整体设计、规范编制或者项目管理、监理、检测等服务的供应商。</w:t>
      </w:r>
    </w:p>
    <w:p w14:paraId="7CF49FEF">
      <w:pPr>
        <w:pStyle w:val="11"/>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573" w:firstLineChars="0"/>
        <w:jc w:val="both"/>
        <w:textAlignment w:val="auto"/>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以上声明若有违反，一经查实，我公司愿意接受政府有关部门的相应处罚，并愿意承担由此带来的法律后果。</w:t>
      </w:r>
    </w:p>
    <w:p w14:paraId="3346F860">
      <w:pPr>
        <w:pStyle w:val="11"/>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570"/>
        <w:jc w:val="both"/>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特此声明！</w:t>
      </w:r>
    </w:p>
    <w:p w14:paraId="5CB2D18F">
      <w:pPr>
        <w:pStyle w:val="11"/>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570"/>
        <w:jc w:val="both"/>
        <w:textAlignment w:val="auto"/>
        <w:rPr>
          <w:rFonts w:hint="default" w:ascii="Times New Roman" w:hAnsi="Times New Roman" w:eastAsia="宋体" w:cs="Times New Roman"/>
          <w:color w:val="auto"/>
          <w:sz w:val="21"/>
          <w:szCs w:val="21"/>
          <w:highlight w:val="none"/>
        </w:rPr>
      </w:pPr>
    </w:p>
    <w:p w14:paraId="60D69F6C">
      <w:pPr>
        <w:pStyle w:val="11"/>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570"/>
        <w:jc w:val="both"/>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声  明  人</w:t>
      </w:r>
      <w:r>
        <w:rPr>
          <w:rFonts w:hint="eastAsia"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u w:val="single"/>
        </w:rPr>
        <w:t xml:space="preserve">                      </w:t>
      </w:r>
      <w:r>
        <w:rPr>
          <w:rFonts w:hint="eastAsia" w:ascii="Times New Roman" w:hAnsi="Times New Roman" w:eastAsia="宋体" w:cs="Times New Roman"/>
          <w:color w:val="auto"/>
          <w:sz w:val="21"/>
          <w:szCs w:val="21"/>
          <w:highlight w:val="none"/>
          <w:lang w:eastAsia="zh-CN"/>
        </w:rPr>
        <w:t>（投标人</w:t>
      </w:r>
      <w:r>
        <w:rPr>
          <w:rFonts w:hint="default" w:ascii="Times New Roman" w:hAnsi="Times New Roman" w:eastAsia="宋体" w:cs="Times New Roman"/>
          <w:color w:val="auto"/>
          <w:sz w:val="21"/>
          <w:szCs w:val="21"/>
          <w:highlight w:val="none"/>
        </w:rPr>
        <w:t>名称、</w:t>
      </w:r>
      <w:r>
        <w:rPr>
          <w:rFonts w:hint="eastAsia" w:cs="Times New Roman"/>
          <w:color w:val="auto"/>
          <w:sz w:val="21"/>
          <w:szCs w:val="21"/>
          <w:highlight w:val="none"/>
          <w:lang w:eastAsia="zh-CN"/>
        </w:rPr>
        <w:t>盖章</w:t>
      </w:r>
      <w:r>
        <w:rPr>
          <w:rFonts w:hint="eastAsia" w:ascii="Times New Roman" w:hAnsi="Times New Roman" w:eastAsia="宋体" w:cs="Times New Roman"/>
          <w:color w:val="auto"/>
          <w:sz w:val="21"/>
          <w:szCs w:val="21"/>
          <w:highlight w:val="none"/>
          <w:lang w:eastAsia="zh-CN"/>
        </w:rPr>
        <w:t>）</w:t>
      </w:r>
    </w:p>
    <w:p w14:paraId="095E1E49">
      <w:pPr>
        <w:pStyle w:val="11"/>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573"/>
        <w:jc w:val="both"/>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法定代表人：</w:t>
      </w:r>
      <w:r>
        <w:rPr>
          <w:rFonts w:hint="default" w:ascii="Times New Roman" w:hAnsi="Times New Roman" w:eastAsia="宋体" w:cs="Times New Roman"/>
          <w:color w:val="auto"/>
          <w:sz w:val="21"/>
          <w:szCs w:val="21"/>
          <w:highlight w:val="none"/>
          <w:u w:val="single"/>
        </w:rPr>
        <w:t xml:space="preserve">   </w:t>
      </w:r>
      <w:r>
        <w:rPr>
          <w:rFonts w:hint="default" w:ascii="Times New Roman" w:hAnsi="Times New Roman" w:eastAsia="宋体" w:cs="Times New Roman"/>
          <w:color w:val="auto"/>
          <w:sz w:val="21"/>
          <w:szCs w:val="21"/>
          <w:highlight w:val="none"/>
          <w:u w:val="single"/>
          <w:lang w:val="en-US" w:eastAsia="zh-CN"/>
        </w:rPr>
        <w:t xml:space="preserve">   </w:t>
      </w:r>
      <w:r>
        <w:rPr>
          <w:rFonts w:hint="eastAsia" w:ascii="Times New Roman" w:hAnsi="Times New Roman" w:eastAsia="宋体" w:cs="Times New Roman"/>
          <w:color w:val="auto"/>
          <w:sz w:val="21"/>
          <w:szCs w:val="21"/>
          <w:highlight w:val="none"/>
          <w:u w:val="single"/>
          <w:lang w:val="en-US" w:eastAsia="zh-CN"/>
        </w:rPr>
        <w:t xml:space="preserve">               </w:t>
      </w:r>
      <w:r>
        <w:rPr>
          <w:rFonts w:hint="default" w:ascii="Times New Roman" w:hAnsi="Times New Roman" w:eastAsia="宋体" w:cs="Times New Roman"/>
          <w:color w:val="auto"/>
          <w:sz w:val="21"/>
          <w:szCs w:val="21"/>
          <w:highlight w:val="none"/>
          <w:u w:val="single"/>
          <w:lang w:val="en-US" w:eastAsia="zh-CN"/>
        </w:rPr>
        <w:t xml:space="preserve"> </w:t>
      </w:r>
      <w:r>
        <w:rPr>
          <w:rFonts w:hint="default" w:ascii="Times New Roman" w:hAnsi="Times New Roman" w:eastAsia="宋体" w:cs="Times New Roman"/>
          <w:color w:val="auto"/>
          <w:sz w:val="21"/>
          <w:szCs w:val="21"/>
          <w:highlight w:val="none"/>
          <w:u w:val="single"/>
        </w:rPr>
        <w:t xml:space="preserve"> </w:t>
      </w:r>
      <w:r>
        <w:rPr>
          <w:rFonts w:hint="default" w:ascii="Times New Roman" w:hAnsi="Times New Roman" w:eastAsia="宋体" w:cs="Times New Roman"/>
          <w:color w:val="auto"/>
          <w:sz w:val="21"/>
          <w:szCs w:val="21"/>
          <w:highlight w:val="none"/>
        </w:rPr>
        <w:t>（</w:t>
      </w:r>
      <w:r>
        <w:rPr>
          <w:rFonts w:hint="eastAsia" w:cs="Times New Roman"/>
          <w:color w:val="auto"/>
          <w:sz w:val="21"/>
          <w:szCs w:val="21"/>
          <w:highlight w:val="none"/>
          <w:lang w:eastAsia="zh-CN"/>
        </w:rPr>
        <w:t>盖章或签字</w:t>
      </w:r>
      <w:r>
        <w:rPr>
          <w:rFonts w:hint="default" w:ascii="Times New Roman" w:hAnsi="Times New Roman" w:eastAsia="宋体" w:cs="Times New Roman"/>
          <w:color w:val="auto"/>
          <w:sz w:val="21"/>
          <w:szCs w:val="21"/>
          <w:highlight w:val="none"/>
        </w:rPr>
        <w:t>）</w:t>
      </w:r>
    </w:p>
    <w:p w14:paraId="1555982C">
      <w:pPr>
        <w:pStyle w:val="11"/>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573"/>
        <w:jc w:val="both"/>
        <w:textAlignment w:va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rPr>
        <w:t xml:space="preserve">日      期： </w:t>
      </w:r>
      <w:r>
        <w:rPr>
          <w:rFonts w:hint="default" w:ascii="Times New Roman" w:hAnsi="Times New Roman" w:eastAsia="宋体" w:cs="Times New Roman"/>
          <w:color w:val="auto"/>
          <w:sz w:val="21"/>
          <w:szCs w:val="21"/>
          <w:highlight w:val="none"/>
          <w:u w:val="single"/>
        </w:rPr>
        <w:t xml:space="preserve">  </w:t>
      </w:r>
      <w:r>
        <w:rPr>
          <w:rFonts w:hint="default" w:ascii="Times New Roman" w:hAnsi="Times New Roman" w:eastAsia="宋体" w:cs="Times New Roman"/>
          <w:color w:val="auto"/>
          <w:sz w:val="21"/>
          <w:szCs w:val="21"/>
          <w:highlight w:val="none"/>
          <w:u w:val="single"/>
          <w:lang w:val="en-US" w:eastAsia="zh-CN"/>
        </w:rPr>
        <w:t xml:space="preserve">   </w:t>
      </w:r>
      <w:r>
        <w:rPr>
          <w:rFonts w:hint="default" w:ascii="Times New Roman" w:hAnsi="Times New Roman" w:eastAsia="宋体" w:cs="Times New Roman"/>
          <w:color w:val="auto"/>
          <w:sz w:val="21"/>
          <w:szCs w:val="21"/>
          <w:highlight w:val="none"/>
          <w:lang w:eastAsia="zh-CN"/>
        </w:rPr>
        <w:t>年</w:t>
      </w:r>
      <w:r>
        <w:rPr>
          <w:rFonts w:hint="default" w:ascii="Times New Roman" w:hAnsi="Times New Roman" w:eastAsia="宋体" w:cs="Times New Roman"/>
          <w:color w:val="auto"/>
          <w:sz w:val="21"/>
          <w:szCs w:val="21"/>
          <w:highlight w:val="none"/>
          <w:u w:val="single"/>
          <w:lang w:val="en-US" w:eastAsia="zh-CN"/>
        </w:rPr>
        <w:t xml:space="preserve">   </w:t>
      </w:r>
      <w:r>
        <w:rPr>
          <w:rFonts w:hint="default" w:ascii="Times New Roman" w:hAnsi="Times New Roman" w:eastAsia="宋体" w:cs="Times New Roman"/>
          <w:color w:val="auto"/>
          <w:sz w:val="21"/>
          <w:szCs w:val="21"/>
          <w:highlight w:val="none"/>
          <w:lang w:eastAsia="zh-CN"/>
        </w:rPr>
        <w:t>月</w:t>
      </w:r>
      <w:r>
        <w:rPr>
          <w:rFonts w:hint="default" w:ascii="Times New Roman" w:hAnsi="Times New Roman" w:eastAsia="宋体" w:cs="Times New Roman"/>
          <w:color w:val="auto"/>
          <w:sz w:val="21"/>
          <w:szCs w:val="21"/>
          <w:highlight w:val="none"/>
          <w:u w:val="single"/>
          <w:lang w:val="en-US" w:eastAsia="zh-CN"/>
        </w:rPr>
        <w:t xml:space="preserve">   </w:t>
      </w:r>
      <w:r>
        <w:rPr>
          <w:rFonts w:hint="default" w:ascii="Times New Roman" w:hAnsi="Times New Roman" w:eastAsia="宋体" w:cs="Times New Roman"/>
          <w:color w:val="auto"/>
          <w:sz w:val="21"/>
          <w:szCs w:val="21"/>
          <w:highlight w:val="none"/>
          <w:lang w:eastAsia="zh-CN"/>
        </w:rPr>
        <w:t>日</w:t>
      </w:r>
    </w:p>
    <w:p w14:paraId="303EAC8C">
      <w:pPr>
        <w:pStyle w:val="11"/>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573"/>
        <w:jc w:val="both"/>
        <w:textAlignment w:val="auto"/>
        <w:rPr>
          <w:rFonts w:hint="default" w:ascii="Times New Roman" w:hAnsi="Times New Roman" w:eastAsia="宋体" w:cs="Times New Roman"/>
          <w:color w:val="auto"/>
          <w:sz w:val="21"/>
          <w:szCs w:val="21"/>
          <w:highlight w:val="none"/>
          <w:lang w:eastAsia="zh-CN"/>
        </w:rPr>
      </w:pPr>
    </w:p>
    <w:p w14:paraId="44BE1F23">
      <w:pPr>
        <w:pStyle w:val="16"/>
        <w:jc w:val="both"/>
        <w:rPr>
          <w:rFonts w:hint="default"/>
        </w:rPr>
      </w:pPr>
    </w:p>
    <w:p w14:paraId="672115C5">
      <w:pPr>
        <w:rPr>
          <w:rFonts w:hint="default"/>
        </w:rPr>
      </w:pPr>
    </w:p>
    <w:p w14:paraId="7AB7683D">
      <w:pPr>
        <w:rPr>
          <w:rFonts w:hint="eastAsia" w:ascii="Times New Roman" w:hAnsi="Times New Roman" w:eastAsia="宋体" w:cs="Times New Roman"/>
          <w:b/>
          <w:color w:val="auto"/>
          <w:kern w:val="2"/>
          <w:sz w:val="21"/>
          <w:szCs w:val="21"/>
          <w:highlight w:val="none"/>
          <w:lang w:val="en-US" w:eastAsia="zh-CN" w:bidi="ar-SA"/>
        </w:rPr>
      </w:pPr>
    </w:p>
    <w:p w14:paraId="2E48BB69">
      <w:pPr>
        <w:jc w:val="center"/>
        <w:rPr>
          <w:rFonts w:hint="eastAsia" w:ascii="Times New Roman" w:hAnsi="Times New Roman" w:eastAsia="宋体" w:cs="Times New Roman"/>
          <w:b/>
          <w:color w:val="auto"/>
          <w:kern w:val="2"/>
          <w:sz w:val="21"/>
          <w:szCs w:val="21"/>
          <w:highlight w:val="none"/>
          <w:lang w:val="en-US" w:eastAsia="zh-CN" w:bidi="ar-SA"/>
        </w:rPr>
      </w:pPr>
      <w:r>
        <w:rPr>
          <w:rFonts w:hint="eastAsia" w:ascii="Times New Roman" w:hAnsi="Times New Roman" w:eastAsia="宋体" w:cs="Times New Roman"/>
          <w:b/>
          <w:color w:val="auto"/>
          <w:kern w:val="2"/>
          <w:sz w:val="21"/>
          <w:szCs w:val="21"/>
          <w:highlight w:val="none"/>
          <w:lang w:val="en-US" w:eastAsia="zh-CN" w:bidi="ar-SA"/>
        </w:rPr>
        <w:t>（</w:t>
      </w:r>
      <w:r>
        <w:rPr>
          <w:rFonts w:hint="eastAsia" w:cs="Times New Roman"/>
          <w:b/>
          <w:color w:val="auto"/>
          <w:kern w:val="2"/>
          <w:sz w:val="21"/>
          <w:szCs w:val="21"/>
          <w:highlight w:val="none"/>
          <w:lang w:val="en-US" w:eastAsia="zh-CN" w:bidi="ar-SA"/>
        </w:rPr>
        <w:t>2</w:t>
      </w:r>
      <w:r>
        <w:rPr>
          <w:rFonts w:hint="eastAsia" w:ascii="Times New Roman" w:hAnsi="Times New Roman" w:eastAsia="宋体" w:cs="Times New Roman"/>
          <w:b/>
          <w:color w:val="auto"/>
          <w:kern w:val="2"/>
          <w:sz w:val="21"/>
          <w:szCs w:val="21"/>
          <w:highlight w:val="none"/>
          <w:lang w:val="en-US" w:eastAsia="zh-CN" w:bidi="ar-SA"/>
        </w:rPr>
        <w:t>）投标人具有履行本合同所必需的设备和专业技术能力的说明及承诺</w:t>
      </w:r>
    </w:p>
    <w:p w14:paraId="0BFD65BA">
      <w:pPr>
        <w:spacing w:line="440" w:lineRule="exact"/>
        <w:rPr>
          <w:rFonts w:hint="default" w:ascii="Times New Roman" w:hAnsi="Times New Roman" w:eastAsia="宋体" w:cs="Times New Roman"/>
          <w:color w:val="auto"/>
          <w:sz w:val="21"/>
          <w:szCs w:val="21"/>
          <w:highlight w:val="none"/>
        </w:rPr>
      </w:pPr>
    </w:p>
    <w:p w14:paraId="6346FE35">
      <w:pPr>
        <w:spacing w:line="440" w:lineRule="exac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致：</w:t>
      </w:r>
      <w:r>
        <w:rPr>
          <w:rFonts w:hint="default" w:ascii="Times New Roman" w:hAnsi="Times New Roman" w:eastAsia="宋体" w:cs="Times New Roman"/>
          <w:color w:val="auto"/>
          <w:sz w:val="21"/>
          <w:szCs w:val="21"/>
          <w:highlight w:val="none"/>
          <w:u w:val="single"/>
        </w:rPr>
        <w:t xml:space="preserve">     （采购人名称）  </w:t>
      </w:r>
      <w:r>
        <w:rPr>
          <w:rFonts w:hint="eastAsia" w:ascii="Times New Roman" w:hAnsi="Times New Roman" w:eastAsia="宋体" w:cs="Times New Roman"/>
          <w:color w:val="auto"/>
          <w:sz w:val="21"/>
          <w:szCs w:val="21"/>
          <w:highlight w:val="none"/>
          <w:u w:val="single"/>
          <w:lang w:val="en-US" w:eastAsia="zh-CN"/>
        </w:rPr>
        <w:t xml:space="preserve"> </w:t>
      </w:r>
      <w:r>
        <w:rPr>
          <w:rFonts w:hint="default" w:ascii="Times New Roman" w:hAnsi="Times New Roman" w:eastAsia="宋体" w:cs="Times New Roman"/>
          <w:color w:val="auto"/>
          <w:sz w:val="21"/>
          <w:szCs w:val="21"/>
          <w:highlight w:val="none"/>
          <w:u w:val="single"/>
        </w:rPr>
        <w:t xml:space="preserve">  </w:t>
      </w:r>
      <w:r>
        <w:rPr>
          <w:rFonts w:hint="default" w:ascii="Times New Roman" w:hAnsi="Times New Roman" w:eastAsia="宋体" w:cs="Times New Roman"/>
          <w:color w:val="auto"/>
          <w:sz w:val="21"/>
          <w:szCs w:val="21"/>
          <w:highlight w:val="none"/>
        </w:rPr>
        <w:t>：</w:t>
      </w:r>
    </w:p>
    <w:p w14:paraId="3F770B62">
      <w:pPr>
        <w:spacing w:line="440" w:lineRule="exact"/>
        <w:ind w:firstLine="42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我公司</w:t>
      </w:r>
      <w:r>
        <w:rPr>
          <w:rFonts w:hint="default" w:ascii="Times New Roman" w:hAnsi="Times New Roman" w:eastAsia="宋体" w:cs="Times New Roman"/>
          <w:color w:val="auto"/>
          <w:sz w:val="21"/>
          <w:szCs w:val="21"/>
          <w:highlight w:val="none"/>
          <w:u w:val="single"/>
        </w:rPr>
        <w:t xml:space="preserve">               </w:t>
      </w:r>
      <w:r>
        <w:rPr>
          <w:rFonts w:hint="default" w:ascii="Times New Roman" w:hAnsi="Times New Roman" w:eastAsia="宋体" w:cs="Times New Roman"/>
          <w:color w:val="auto"/>
          <w:sz w:val="21"/>
          <w:szCs w:val="21"/>
          <w:highlight w:val="none"/>
        </w:rPr>
        <w:t>（</w:t>
      </w:r>
      <w:r>
        <w:rPr>
          <w:rFonts w:hint="eastAsia" w:ascii="Times New Roman" w:hAnsi="Times New Roman" w:eastAsia="宋体" w:cs="Times New Roman"/>
          <w:color w:val="auto"/>
          <w:sz w:val="21"/>
          <w:szCs w:val="21"/>
          <w:highlight w:val="none"/>
          <w:lang w:eastAsia="zh-CN"/>
        </w:rPr>
        <w:t>投标人</w:t>
      </w:r>
      <w:r>
        <w:rPr>
          <w:rFonts w:hint="default" w:ascii="Times New Roman" w:hAnsi="Times New Roman" w:eastAsia="宋体" w:cs="Times New Roman"/>
          <w:color w:val="auto"/>
          <w:sz w:val="21"/>
          <w:szCs w:val="21"/>
          <w:highlight w:val="none"/>
        </w:rPr>
        <w:t>名称）于</w:t>
      </w:r>
      <w:r>
        <w:rPr>
          <w:rFonts w:hint="default" w:ascii="Times New Roman" w:hAnsi="Times New Roman" w:eastAsia="宋体" w:cs="Times New Roman"/>
          <w:color w:val="auto"/>
          <w:sz w:val="21"/>
          <w:szCs w:val="21"/>
          <w:highlight w:val="none"/>
          <w:u w:val="single"/>
        </w:rPr>
        <w:t xml:space="preserve">      </w:t>
      </w:r>
      <w:r>
        <w:rPr>
          <w:rFonts w:hint="default" w:ascii="Times New Roman" w:hAnsi="Times New Roman" w:eastAsia="宋体" w:cs="Times New Roman"/>
          <w:color w:val="auto"/>
          <w:sz w:val="21"/>
          <w:szCs w:val="21"/>
          <w:highlight w:val="none"/>
        </w:rPr>
        <w:t>年</w:t>
      </w:r>
      <w:r>
        <w:rPr>
          <w:rFonts w:hint="default" w:ascii="Times New Roman" w:hAnsi="Times New Roman" w:eastAsia="宋体" w:cs="Times New Roman"/>
          <w:color w:val="auto"/>
          <w:sz w:val="21"/>
          <w:szCs w:val="21"/>
          <w:highlight w:val="none"/>
          <w:u w:val="single"/>
        </w:rPr>
        <w:t xml:space="preserve">      </w:t>
      </w:r>
      <w:r>
        <w:rPr>
          <w:rFonts w:hint="default" w:ascii="Times New Roman" w:hAnsi="Times New Roman" w:eastAsia="宋体" w:cs="Times New Roman"/>
          <w:color w:val="auto"/>
          <w:sz w:val="21"/>
          <w:szCs w:val="21"/>
          <w:highlight w:val="none"/>
        </w:rPr>
        <w:t>月</w:t>
      </w:r>
      <w:r>
        <w:rPr>
          <w:rFonts w:hint="default" w:ascii="Times New Roman" w:hAnsi="Times New Roman" w:eastAsia="宋体" w:cs="Times New Roman"/>
          <w:color w:val="auto"/>
          <w:sz w:val="21"/>
          <w:szCs w:val="21"/>
          <w:highlight w:val="none"/>
          <w:u w:val="single"/>
        </w:rPr>
        <w:t xml:space="preserve">      </w:t>
      </w:r>
      <w:r>
        <w:rPr>
          <w:rFonts w:hint="default" w:ascii="Times New Roman" w:hAnsi="Times New Roman" w:eastAsia="宋体" w:cs="Times New Roman"/>
          <w:color w:val="auto"/>
          <w:sz w:val="21"/>
          <w:szCs w:val="21"/>
          <w:highlight w:val="none"/>
        </w:rPr>
        <w:t>日在中华人民共和国境内</w:t>
      </w:r>
      <w:r>
        <w:rPr>
          <w:rFonts w:hint="eastAsia" w:ascii="Times New Roman" w:hAnsi="Times New Roman" w:eastAsia="宋体" w:cs="Times New Roman"/>
          <w:color w:val="auto"/>
          <w:sz w:val="21"/>
          <w:szCs w:val="21"/>
          <w:highlight w:val="none"/>
          <w:u w:val="single"/>
          <w:lang w:val="en-US" w:eastAsia="zh-CN"/>
        </w:rPr>
        <w:t xml:space="preserve">     </w:t>
      </w:r>
      <w:r>
        <w:rPr>
          <w:rFonts w:hint="default" w:ascii="Times New Roman" w:hAnsi="Times New Roman" w:eastAsia="宋体" w:cs="Times New Roman"/>
          <w:color w:val="auto"/>
          <w:sz w:val="21"/>
          <w:szCs w:val="21"/>
          <w:highlight w:val="none"/>
          <w:u w:val="single"/>
        </w:rPr>
        <w:t>（详细注册地址）</w:t>
      </w:r>
      <w:r>
        <w:rPr>
          <w:rFonts w:hint="eastAsia" w:ascii="Times New Roman" w:hAnsi="Times New Roman" w:eastAsia="宋体" w:cs="Times New Roman"/>
          <w:color w:val="auto"/>
          <w:sz w:val="21"/>
          <w:szCs w:val="21"/>
          <w:highlight w:val="none"/>
          <w:u w:val="single"/>
          <w:lang w:val="en-US" w:eastAsia="zh-CN"/>
        </w:rPr>
        <w:t xml:space="preserve">    </w:t>
      </w:r>
      <w:r>
        <w:rPr>
          <w:rFonts w:hint="default" w:ascii="Times New Roman" w:hAnsi="Times New Roman" w:eastAsia="宋体" w:cs="Times New Roman"/>
          <w:color w:val="auto"/>
          <w:sz w:val="21"/>
          <w:szCs w:val="21"/>
          <w:highlight w:val="none"/>
        </w:rPr>
        <w:t>合法注册并经营，公司主营业务为</w:t>
      </w:r>
      <w:r>
        <w:rPr>
          <w:rFonts w:hint="default" w:ascii="Times New Roman" w:hAnsi="Times New Roman" w:eastAsia="宋体" w:cs="Times New Roman"/>
          <w:color w:val="auto"/>
          <w:sz w:val="21"/>
          <w:szCs w:val="21"/>
          <w:highlight w:val="none"/>
          <w:u w:val="single"/>
        </w:rPr>
        <w:t xml:space="preserve">       </w:t>
      </w:r>
      <w:r>
        <w:rPr>
          <w:rFonts w:hint="eastAsia" w:ascii="Times New Roman" w:hAnsi="Times New Roman" w:eastAsia="宋体" w:cs="Times New Roman"/>
          <w:color w:val="auto"/>
          <w:sz w:val="21"/>
          <w:szCs w:val="21"/>
          <w:highlight w:val="none"/>
          <w:u w:val="single"/>
          <w:lang w:val="en-US" w:eastAsia="zh-CN"/>
        </w:rPr>
        <w:t xml:space="preserve">   </w:t>
      </w:r>
      <w:r>
        <w:rPr>
          <w:rFonts w:hint="default" w:ascii="Times New Roman" w:hAnsi="Times New Roman" w:eastAsia="宋体" w:cs="Times New Roman"/>
          <w:color w:val="auto"/>
          <w:sz w:val="21"/>
          <w:szCs w:val="21"/>
          <w:highlight w:val="none"/>
          <w:u w:val="single"/>
        </w:rPr>
        <w:t xml:space="preserve">        </w:t>
      </w:r>
      <w:r>
        <w:rPr>
          <w:rFonts w:hint="default" w:ascii="Times New Roman" w:hAnsi="Times New Roman" w:eastAsia="宋体" w:cs="Times New Roman"/>
          <w:color w:val="auto"/>
          <w:sz w:val="21"/>
          <w:szCs w:val="21"/>
          <w:highlight w:val="none"/>
        </w:rPr>
        <w:t>，营业（生产经营）面积为</w:t>
      </w:r>
      <w:r>
        <w:rPr>
          <w:rFonts w:hint="default" w:ascii="Times New Roman" w:hAnsi="Times New Roman" w:eastAsia="宋体" w:cs="Times New Roman"/>
          <w:color w:val="auto"/>
          <w:sz w:val="21"/>
          <w:szCs w:val="21"/>
          <w:highlight w:val="none"/>
          <w:u w:val="single"/>
        </w:rPr>
        <w:t xml:space="preserve">               </w:t>
      </w:r>
      <w:r>
        <w:rPr>
          <w:rFonts w:hint="default" w:ascii="Times New Roman" w:hAnsi="Times New Roman" w:eastAsia="宋体" w:cs="Times New Roman"/>
          <w:color w:val="auto"/>
          <w:sz w:val="21"/>
          <w:szCs w:val="21"/>
          <w:highlight w:val="none"/>
        </w:rPr>
        <w:t>，现有员工数量为</w:t>
      </w:r>
      <w:r>
        <w:rPr>
          <w:rFonts w:hint="default" w:ascii="Times New Roman" w:hAnsi="Times New Roman" w:eastAsia="宋体" w:cs="Times New Roman"/>
          <w:color w:val="auto"/>
          <w:sz w:val="21"/>
          <w:szCs w:val="21"/>
          <w:highlight w:val="none"/>
          <w:u w:val="single"/>
        </w:rPr>
        <w:t xml:space="preserve">               </w:t>
      </w:r>
      <w:r>
        <w:rPr>
          <w:rFonts w:hint="default" w:ascii="Times New Roman" w:hAnsi="Times New Roman" w:eastAsia="宋体" w:cs="Times New Roman"/>
          <w:color w:val="auto"/>
          <w:sz w:val="21"/>
          <w:szCs w:val="21"/>
          <w:highlight w:val="none"/>
        </w:rPr>
        <w:t>，其中与履行本合同相关的专业技术人员有</w:t>
      </w:r>
      <w:r>
        <w:rPr>
          <w:rFonts w:hint="eastAsia" w:ascii="Times New Roman" w:hAnsi="Times New Roman" w:eastAsia="宋体" w:cs="Times New Roman"/>
          <w:color w:val="auto"/>
          <w:sz w:val="21"/>
          <w:szCs w:val="21"/>
          <w:highlight w:val="none"/>
          <w:u w:val="single"/>
          <w:lang w:val="en-US" w:eastAsia="zh-CN"/>
        </w:rPr>
        <w:t xml:space="preserve">      </w:t>
      </w:r>
      <w:r>
        <w:rPr>
          <w:rFonts w:hint="default" w:ascii="Times New Roman" w:hAnsi="Times New Roman" w:eastAsia="宋体" w:cs="Times New Roman"/>
          <w:color w:val="auto"/>
          <w:sz w:val="21"/>
          <w:szCs w:val="21"/>
          <w:highlight w:val="none"/>
          <w:u w:val="single"/>
        </w:rPr>
        <w:t>（专业能力、数量）</w:t>
      </w:r>
      <w:r>
        <w:rPr>
          <w:rFonts w:hint="eastAsia" w:ascii="Times New Roman" w:hAnsi="Times New Roman" w:eastAsia="宋体" w:cs="Times New Roman"/>
          <w:color w:val="auto"/>
          <w:sz w:val="21"/>
          <w:szCs w:val="21"/>
          <w:highlight w:val="none"/>
          <w:u w:val="single"/>
          <w:lang w:val="en-US" w:eastAsia="zh-CN"/>
        </w:rPr>
        <w:t xml:space="preserve">      </w:t>
      </w:r>
      <w:r>
        <w:rPr>
          <w:rFonts w:hint="default" w:ascii="Times New Roman" w:hAnsi="Times New Roman" w:eastAsia="宋体" w:cs="Times New Roman"/>
          <w:color w:val="auto"/>
          <w:sz w:val="21"/>
          <w:szCs w:val="21"/>
          <w:highlight w:val="none"/>
        </w:rPr>
        <w:t>，本公司郑重承诺，具有履行本合同所必需的设备和专业技术能力。</w:t>
      </w:r>
    </w:p>
    <w:p w14:paraId="6C93059D">
      <w:pPr>
        <w:spacing w:line="440" w:lineRule="exact"/>
        <w:ind w:firstLine="420"/>
        <w:rPr>
          <w:rFonts w:hint="default" w:ascii="Times New Roman" w:hAnsi="Times New Roman" w:eastAsia="宋体" w:cs="Times New Roman"/>
          <w:color w:val="auto"/>
          <w:sz w:val="21"/>
          <w:szCs w:val="21"/>
          <w:highlight w:val="none"/>
        </w:rPr>
      </w:pPr>
    </w:p>
    <w:p w14:paraId="3E54AF54">
      <w:pPr>
        <w:spacing w:line="440" w:lineRule="exact"/>
        <w:rPr>
          <w:rFonts w:hint="default" w:ascii="Times New Roman" w:hAnsi="Times New Roman" w:eastAsia="宋体" w:cs="Times New Roman"/>
          <w:color w:val="auto"/>
          <w:sz w:val="21"/>
          <w:szCs w:val="21"/>
          <w:highlight w:val="none"/>
        </w:rPr>
      </w:pPr>
    </w:p>
    <w:p w14:paraId="752515D7">
      <w:pPr>
        <w:spacing w:line="440" w:lineRule="exact"/>
        <w:rPr>
          <w:rFonts w:hint="default" w:ascii="Times New Roman" w:hAnsi="Times New Roman" w:eastAsia="宋体" w:cs="Times New Roman"/>
          <w:color w:val="auto"/>
          <w:sz w:val="21"/>
          <w:szCs w:val="21"/>
          <w:highlight w:val="none"/>
        </w:rPr>
      </w:pPr>
    </w:p>
    <w:p w14:paraId="6DFA278C">
      <w:pPr>
        <w:pStyle w:val="11"/>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570"/>
        <w:jc w:val="both"/>
        <w:textAlignment w:val="auto"/>
        <w:rPr>
          <w:rFonts w:hint="default"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eastAsia="zh-CN"/>
        </w:rPr>
        <w:t>承</w:t>
      </w:r>
      <w:r>
        <w:rPr>
          <w:rFonts w:hint="eastAsia" w:ascii="Times New Roman" w:hAnsi="Times New Roman" w:eastAsia="宋体" w:cs="Times New Roman"/>
          <w:color w:val="auto"/>
          <w:sz w:val="21"/>
          <w:szCs w:val="21"/>
          <w:highlight w:val="none"/>
          <w:lang w:val="en-US" w:eastAsia="zh-CN"/>
        </w:rPr>
        <w:t xml:space="preserve">  </w:t>
      </w:r>
      <w:r>
        <w:rPr>
          <w:rFonts w:hint="eastAsia" w:ascii="Times New Roman" w:hAnsi="Times New Roman" w:eastAsia="宋体" w:cs="Times New Roman"/>
          <w:color w:val="auto"/>
          <w:sz w:val="21"/>
          <w:szCs w:val="21"/>
          <w:highlight w:val="none"/>
          <w:lang w:eastAsia="zh-CN"/>
        </w:rPr>
        <w:t>诺</w:t>
      </w:r>
      <w:r>
        <w:rPr>
          <w:rFonts w:hint="default" w:ascii="Times New Roman" w:hAnsi="Times New Roman" w:eastAsia="宋体" w:cs="Times New Roman"/>
          <w:color w:val="auto"/>
          <w:sz w:val="21"/>
          <w:szCs w:val="21"/>
          <w:highlight w:val="none"/>
        </w:rPr>
        <w:t xml:space="preserve">  人</w:t>
      </w:r>
      <w:r>
        <w:rPr>
          <w:rFonts w:hint="eastAsia"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u w:val="single"/>
        </w:rPr>
        <w:t xml:space="preserve">                </w:t>
      </w:r>
      <w:r>
        <w:rPr>
          <w:rFonts w:hint="eastAsia" w:ascii="Times New Roman" w:hAnsi="Times New Roman" w:eastAsia="宋体" w:cs="Times New Roman"/>
          <w:color w:val="auto"/>
          <w:sz w:val="21"/>
          <w:szCs w:val="21"/>
          <w:highlight w:val="none"/>
          <w:u w:val="single"/>
          <w:lang w:val="en-US" w:eastAsia="zh-CN"/>
        </w:rPr>
        <w:t xml:space="preserve"> </w:t>
      </w:r>
      <w:r>
        <w:rPr>
          <w:rFonts w:hint="default" w:ascii="Times New Roman" w:hAnsi="Times New Roman" w:eastAsia="宋体" w:cs="Times New Roman"/>
          <w:color w:val="auto"/>
          <w:sz w:val="21"/>
          <w:szCs w:val="21"/>
          <w:highlight w:val="none"/>
          <w:u w:val="single"/>
        </w:rPr>
        <w:t xml:space="preserve">      </w:t>
      </w:r>
      <w:r>
        <w:rPr>
          <w:rFonts w:hint="eastAsia" w:ascii="Times New Roman" w:hAnsi="Times New Roman" w:eastAsia="宋体" w:cs="Times New Roman"/>
          <w:color w:val="auto"/>
          <w:sz w:val="21"/>
          <w:szCs w:val="21"/>
          <w:highlight w:val="none"/>
          <w:lang w:eastAsia="zh-CN"/>
        </w:rPr>
        <w:t>（投标人</w:t>
      </w:r>
      <w:r>
        <w:rPr>
          <w:rFonts w:hint="default" w:ascii="Times New Roman" w:hAnsi="Times New Roman" w:eastAsia="宋体" w:cs="Times New Roman"/>
          <w:color w:val="auto"/>
          <w:sz w:val="21"/>
          <w:szCs w:val="21"/>
          <w:highlight w:val="none"/>
        </w:rPr>
        <w:t>名称、</w:t>
      </w:r>
      <w:r>
        <w:rPr>
          <w:rFonts w:hint="eastAsia" w:cs="Times New Roman"/>
          <w:color w:val="auto"/>
          <w:sz w:val="21"/>
          <w:szCs w:val="21"/>
          <w:highlight w:val="none"/>
          <w:lang w:eastAsia="zh-CN"/>
        </w:rPr>
        <w:t>盖章</w:t>
      </w:r>
      <w:r>
        <w:rPr>
          <w:rFonts w:hint="eastAsia" w:ascii="Times New Roman" w:hAnsi="Times New Roman" w:eastAsia="宋体" w:cs="Times New Roman"/>
          <w:color w:val="auto"/>
          <w:sz w:val="21"/>
          <w:szCs w:val="21"/>
          <w:highlight w:val="none"/>
          <w:lang w:eastAsia="zh-CN"/>
        </w:rPr>
        <w:t>）</w:t>
      </w:r>
    </w:p>
    <w:p w14:paraId="7E4834B9">
      <w:pPr>
        <w:pStyle w:val="11"/>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573"/>
        <w:jc w:val="both"/>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法定代表人：</w:t>
      </w:r>
      <w:r>
        <w:rPr>
          <w:rFonts w:hint="default" w:ascii="Times New Roman" w:hAnsi="Times New Roman" w:eastAsia="宋体" w:cs="Times New Roman"/>
          <w:color w:val="auto"/>
          <w:sz w:val="21"/>
          <w:szCs w:val="21"/>
          <w:highlight w:val="none"/>
          <w:u w:val="single"/>
        </w:rPr>
        <w:t xml:space="preserve">   </w:t>
      </w:r>
      <w:r>
        <w:rPr>
          <w:rFonts w:hint="default" w:ascii="Times New Roman" w:hAnsi="Times New Roman" w:eastAsia="宋体" w:cs="Times New Roman"/>
          <w:color w:val="auto"/>
          <w:sz w:val="21"/>
          <w:szCs w:val="21"/>
          <w:highlight w:val="none"/>
          <w:u w:val="single"/>
          <w:lang w:val="en-US" w:eastAsia="zh-CN"/>
        </w:rPr>
        <w:t xml:space="preserve">   </w:t>
      </w:r>
      <w:r>
        <w:rPr>
          <w:rFonts w:hint="eastAsia" w:ascii="Times New Roman" w:hAnsi="Times New Roman" w:eastAsia="宋体" w:cs="Times New Roman"/>
          <w:color w:val="auto"/>
          <w:sz w:val="21"/>
          <w:szCs w:val="21"/>
          <w:highlight w:val="none"/>
          <w:u w:val="single"/>
          <w:lang w:val="en-US" w:eastAsia="zh-CN"/>
        </w:rPr>
        <w:t xml:space="preserve">               </w:t>
      </w:r>
      <w:r>
        <w:rPr>
          <w:rFonts w:hint="default" w:ascii="Times New Roman" w:hAnsi="Times New Roman" w:eastAsia="宋体" w:cs="Times New Roman"/>
          <w:color w:val="auto"/>
          <w:sz w:val="21"/>
          <w:szCs w:val="21"/>
          <w:highlight w:val="none"/>
          <w:u w:val="single"/>
          <w:lang w:val="en-US" w:eastAsia="zh-CN"/>
        </w:rPr>
        <w:t xml:space="preserve"> </w:t>
      </w:r>
      <w:r>
        <w:rPr>
          <w:rFonts w:hint="default" w:ascii="Times New Roman" w:hAnsi="Times New Roman" w:eastAsia="宋体" w:cs="Times New Roman"/>
          <w:color w:val="auto"/>
          <w:sz w:val="21"/>
          <w:szCs w:val="21"/>
          <w:highlight w:val="none"/>
          <w:u w:val="single"/>
        </w:rPr>
        <w:t xml:space="preserve"> </w:t>
      </w:r>
      <w:r>
        <w:rPr>
          <w:rFonts w:hint="default" w:ascii="Times New Roman" w:hAnsi="Times New Roman" w:eastAsia="宋体" w:cs="Times New Roman"/>
          <w:color w:val="auto"/>
          <w:sz w:val="21"/>
          <w:szCs w:val="21"/>
          <w:highlight w:val="none"/>
        </w:rPr>
        <w:t>（</w:t>
      </w:r>
      <w:r>
        <w:rPr>
          <w:rFonts w:hint="eastAsia" w:cs="Times New Roman"/>
          <w:color w:val="auto"/>
          <w:sz w:val="21"/>
          <w:szCs w:val="21"/>
          <w:highlight w:val="none"/>
          <w:lang w:eastAsia="zh-CN"/>
        </w:rPr>
        <w:t>盖章或签字</w:t>
      </w:r>
      <w:r>
        <w:rPr>
          <w:rFonts w:hint="default" w:ascii="Times New Roman" w:hAnsi="Times New Roman" w:eastAsia="宋体" w:cs="Times New Roman"/>
          <w:color w:val="auto"/>
          <w:sz w:val="21"/>
          <w:szCs w:val="21"/>
          <w:highlight w:val="none"/>
        </w:rPr>
        <w:t>）</w:t>
      </w:r>
    </w:p>
    <w:p w14:paraId="5CDD0E7C">
      <w:pPr>
        <w:pStyle w:val="11"/>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573"/>
        <w:jc w:val="both"/>
        <w:textAlignment w:va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rPr>
        <w:t xml:space="preserve">日      期： </w:t>
      </w:r>
      <w:r>
        <w:rPr>
          <w:rFonts w:hint="default" w:ascii="Times New Roman" w:hAnsi="Times New Roman" w:eastAsia="宋体" w:cs="Times New Roman"/>
          <w:color w:val="auto"/>
          <w:sz w:val="21"/>
          <w:szCs w:val="21"/>
          <w:highlight w:val="none"/>
          <w:u w:val="single"/>
        </w:rPr>
        <w:t xml:space="preserve">  </w:t>
      </w:r>
      <w:r>
        <w:rPr>
          <w:rFonts w:hint="default" w:ascii="Times New Roman" w:hAnsi="Times New Roman" w:eastAsia="宋体" w:cs="Times New Roman"/>
          <w:color w:val="auto"/>
          <w:sz w:val="21"/>
          <w:szCs w:val="21"/>
          <w:highlight w:val="none"/>
          <w:u w:val="single"/>
          <w:lang w:val="en-US" w:eastAsia="zh-CN"/>
        </w:rPr>
        <w:t xml:space="preserve">   </w:t>
      </w:r>
      <w:r>
        <w:rPr>
          <w:rFonts w:hint="default" w:ascii="Times New Roman" w:hAnsi="Times New Roman" w:eastAsia="宋体" w:cs="Times New Roman"/>
          <w:color w:val="auto"/>
          <w:sz w:val="21"/>
          <w:szCs w:val="21"/>
          <w:highlight w:val="none"/>
          <w:lang w:eastAsia="zh-CN"/>
        </w:rPr>
        <w:t>年</w:t>
      </w:r>
      <w:r>
        <w:rPr>
          <w:rFonts w:hint="default" w:ascii="Times New Roman" w:hAnsi="Times New Roman" w:eastAsia="宋体" w:cs="Times New Roman"/>
          <w:color w:val="auto"/>
          <w:sz w:val="21"/>
          <w:szCs w:val="21"/>
          <w:highlight w:val="none"/>
          <w:u w:val="single"/>
          <w:lang w:val="en-US" w:eastAsia="zh-CN"/>
        </w:rPr>
        <w:t xml:space="preserve">   </w:t>
      </w:r>
      <w:r>
        <w:rPr>
          <w:rFonts w:hint="default" w:ascii="Times New Roman" w:hAnsi="Times New Roman" w:eastAsia="宋体" w:cs="Times New Roman"/>
          <w:color w:val="auto"/>
          <w:sz w:val="21"/>
          <w:szCs w:val="21"/>
          <w:highlight w:val="none"/>
          <w:lang w:eastAsia="zh-CN"/>
        </w:rPr>
        <w:t>月</w:t>
      </w:r>
      <w:r>
        <w:rPr>
          <w:rFonts w:hint="default" w:ascii="Times New Roman" w:hAnsi="Times New Roman" w:eastAsia="宋体" w:cs="Times New Roman"/>
          <w:color w:val="auto"/>
          <w:sz w:val="21"/>
          <w:szCs w:val="21"/>
          <w:highlight w:val="none"/>
          <w:u w:val="single"/>
          <w:lang w:val="en-US" w:eastAsia="zh-CN"/>
        </w:rPr>
        <w:t xml:space="preserve">   </w:t>
      </w:r>
      <w:r>
        <w:rPr>
          <w:rFonts w:hint="default" w:ascii="Times New Roman" w:hAnsi="Times New Roman" w:eastAsia="宋体" w:cs="Times New Roman"/>
          <w:color w:val="auto"/>
          <w:sz w:val="21"/>
          <w:szCs w:val="21"/>
          <w:highlight w:val="none"/>
          <w:lang w:eastAsia="zh-CN"/>
        </w:rPr>
        <w:t>日</w:t>
      </w:r>
    </w:p>
    <w:p w14:paraId="46ACDCB9">
      <w:pPr>
        <w:spacing w:line="440" w:lineRule="exact"/>
        <w:rPr>
          <w:rFonts w:hint="default" w:ascii="Times New Roman" w:hAnsi="Times New Roman" w:eastAsia="宋体" w:cs="Times New Roman"/>
          <w:color w:val="auto"/>
          <w:sz w:val="21"/>
          <w:szCs w:val="21"/>
          <w:highlight w:val="none"/>
        </w:rPr>
      </w:pPr>
    </w:p>
    <w:p w14:paraId="386B0E24">
      <w:pPr>
        <w:spacing w:line="440" w:lineRule="exact"/>
        <w:rPr>
          <w:rFonts w:hint="default" w:ascii="Times New Roman" w:hAnsi="Times New Roman" w:eastAsia="宋体" w:cs="Times New Roman"/>
          <w:color w:val="auto"/>
          <w:sz w:val="21"/>
          <w:szCs w:val="21"/>
          <w:highlight w:val="none"/>
        </w:rPr>
      </w:pPr>
    </w:p>
    <w:p w14:paraId="66459F02">
      <w:pPr>
        <w:spacing w:line="440" w:lineRule="exact"/>
        <w:rPr>
          <w:rFonts w:hint="default" w:ascii="Times New Roman" w:hAnsi="Times New Roman" w:eastAsia="宋体" w:cs="Times New Roman"/>
          <w:color w:val="auto"/>
          <w:sz w:val="21"/>
          <w:szCs w:val="21"/>
          <w:highlight w:val="none"/>
        </w:rPr>
      </w:pPr>
    </w:p>
    <w:p w14:paraId="0935C174">
      <w:pPr>
        <w:spacing w:line="440" w:lineRule="exact"/>
        <w:rPr>
          <w:rFonts w:hint="default" w:ascii="Times New Roman" w:hAnsi="Times New Roman" w:eastAsia="宋体" w:cs="Times New Roman"/>
          <w:color w:val="auto"/>
          <w:sz w:val="21"/>
          <w:szCs w:val="21"/>
          <w:highlight w:val="none"/>
        </w:rPr>
      </w:pPr>
    </w:p>
    <w:p w14:paraId="10B1B230">
      <w:pPr>
        <w:spacing w:line="440" w:lineRule="exact"/>
        <w:rPr>
          <w:rFonts w:hint="default" w:ascii="Times New Roman" w:hAnsi="Times New Roman" w:eastAsia="宋体" w:cs="Times New Roman"/>
          <w:color w:val="auto"/>
          <w:sz w:val="21"/>
          <w:szCs w:val="21"/>
          <w:highlight w:val="none"/>
        </w:rPr>
      </w:pPr>
    </w:p>
    <w:p w14:paraId="28EE71F3">
      <w:pPr>
        <w:spacing w:line="440" w:lineRule="exact"/>
        <w:rPr>
          <w:rFonts w:hint="default" w:ascii="Times New Roman" w:hAnsi="Times New Roman" w:eastAsia="宋体" w:cs="Times New Roman"/>
          <w:color w:val="auto"/>
          <w:sz w:val="21"/>
          <w:szCs w:val="21"/>
          <w:highlight w:val="none"/>
        </w:rPr>
      </w:pPr>
    </w:p>
    <w:p w14:paraId="11C6EFCC">
      <w:pPr>
        <w:spacing w:line="440" w:lineRule="exact"/>
        <w:rPr>
          <w:rFonts w:hint="default" w:ascii="Times New Roman" w:hAnsi="Times New Roman" w:eastAsia="宋体" w:cs="Times New Roman"/>
          <w:color w:val="auto"/>
          <w:sz w:val="21"/>
          <w:szCs w:val="21"/>
          <w:highlight w:val="none"/>
        </w:rPr>
      </w:pPr>
    </w:p>
    <w:p w14:paraId="4DEED906">
      <w:pPr>
        <w:spacing w:line="440" w:lineRule="exact"/>
        <w:rPr>
          <w:rFonts w:hint="default" w:ascii="Times New Roman" w:hAnsi="Times New Roman" w:eastAsia="宋体" w:cs="Times New Roman"/>
          <w:color w:val="auto"/>
          <w:sz w:val="21"/>
          <w:szCs w:val="21"/>
          <w:highlight w:val="none"/>
        </w:rPr>
      </w:pPr>
    </w:p>
    <w:p w14:paraId="51F2AB9C">
      <w:pPr>
        <w:spacing w:line="440" w:lineRule="exact"/>
        <w:rPr>
          <w:rFonts w:hint="default" w:ascii="Times New Roman" w:hAnsi="Times New Roman" w:eastAsia="宋体" w:cs="Times New Roman"/>
          <w:color w:val="auto"/>
          <w:sz w:val="21"/>
          <w:szCs w:val="21"/>
          <w:highlight w:val="none"/>
        </w:rPr>
      </w:pPr>
    </w:p>
    <w:p w14:paraId="0AF1E10E">
      <w:pPr>
        <w:spacing w:line="440" w:lineRule="exact"/>
        <w:rPr>
          <w:rFonts w:hint="default" w:ascii="Times New Roman" w:hAnsi="Times New Roman" w:eastAsia="宋体" w:cs="Times New Roman"/>
          <w:color w:val="auto"/>
          <w:sz w:val="21"/>
          <w:szCs w:val="21"/>
          <w:highlight w:val="none"/>
        </w:rPr>
      </w:pPr>
    </w:p>
    <w:p w14:paraId="16B2CFCC">
      <w:pPr>
        <w:spacing w:line="440" w:lineRule="exact"/>
        <w:rPr>
          <w:rFonts w:hint="default" w:ascii="Times New Roman" w:hAnsi="Times New Roman" w:eastAsia="宋体" w:cs="Times New Roman"/>
          <w:color w:val="auto"/>
          <w:sz w:val="21"/>
          <w:szCs w:val="21"/>
          <w:highlight w:val="none"/>
        </w:rPr>
      </w:pPr>
    </w:p>
    <w:p w14:paraId="16B5B426">
      <w:pPr>
        <w:spacing w:line="440" w:lineRule="exact"/>
        <w:rPr>
          <w:rFonts w:hint="default" w:ascii="Times New Roman" w:hAnsi="Times New Roman" w:eastAsia="宋体" w:cs="Times New Roman"/>
          <w:color w:val="auto"/>
          <w:sz w:val="21"/>
          <w:szCs w:val="21"/>
          <w:highlight w:val="none"/>
        </w:rPr>
      </w:pPr>
    </w:p>
    <w:p w14:paraId="10CF86BE">
      <w:pPr>
        <w:spacing w:line="440" w:lineRule="exact"/>
        <w:rPr>
          <w:rFonts w:hint="default" w:ascii="Times New Roman" w:hAnsi="Times New Roman" w:eastAsia="宋体" w:cs="Times New Roman"/>
          <w:color w:val="auto"/>
          <w:sz w:val="21"/>
          <w:szCs w:val="21"/>
          <w:highlight w:val="none"/>
        </w:rPr>
      </w:pPr>
    </w:p>
    <w:p w14:paraId="55FCD378">
      <w:pPr>
        <w:spacing w:line="440" w:lineRule="exact"/>
        <w:rPr>
          <w:rFonts w:hint="default" w:ascii="Times New Roman" w:hAnsi="Times New Roman" w:eastAsia="宋体" w:cs="Times New Roman"/>
          <w:color w:val="auto"/>
          <w:sz w:val="21"/>
          <w:szCs w:val="21"/>
          <w:highlight w:val="none"/>
        </w:rPr>
      </w:pPr>
    </w:p>
    <w:p w14:paraId="7358117E">
      <w:pPr>
        <w:rPr>
          <w:rFonts w:hint="default" w:ascii="宋体" w:hAnsi="宋体" w:eastAsia="宋体" w:cs="宋体"/>
          <w:b/>
          <w:color w:val="auto"/>
          <w:sz w:val="21"/>
          <w:szCs w:val="21"/>
          <w:highlight w:val="none"/>
          <w:lang w:val="en-US" w:eastAsia="zh-CN"/>
        </w:rPr>
      </w:pPr>
      <w:r>
        <w:rPr>
          <w:rFonts w:hint="default" w:ascii="宋体" w:hAnsi="宋体" w:eastAsia="宋体" w:cs="宋体"/>
          <w:b/>
          <w:color w:val="auto"/>
          <w:sz w:val="21"/>
          <w:szCs w:val="21"/>
          <w:highlight w:val="none"/>
          <w:lang w:val="en-US" w:eastAsia="zh-CN"/>
        </w:rPr>
        <w:br w:type="page"/>
      </w:r>
    </w:p>
    <w:p w14:paraId="434ED3FB">
      <w:pPr>
        <w:spacing w:line="440" w:lineRule="exact"/>
        <w:rPr>
          <w:rFonts w:hint="default" w:ascii="宋体" w:hAnsi="宋体" w:eastAsia="宋体" w:cs="宋体"/>
          <w:b/>
          <w:color w:val="auto"/>
          <w:sz w:val="21"/>
          <w:szCs w:val="21"/>
          <w:highlight w:val="none"/>
        </w:rPr>
      </w:pPr>
      <w:r>
        <w:rPr>
          <w:rFonts w:hint="default" w:ascii="宋体" w:hAnsi="宋体" w:eastAsia="宋体" w:cs="宋体"/>
          <w:b/>
          <w:color w:val="auto"/>
          <w:sz w:val="21"/>
          <w:szCs w:val="21"/>
          <w:highlight w:val="none"/>
          <w:lang w:val="en-US" w:eastAsia="zh-CN"/>
        </w:rPr>
        <w:t>2.</w:t>
      </w:r>
      <w:r>
        <w:rPr>
          <w:rFonts w:hint="eastAsia" w:ascii="宋体" w:hAnsi="宋体" w:cs="宋体"/>
          <w:b/>
          <w:color w:val="auto"/>
          <w:sz w:val="21"/>
          <w:szCs w:val="21"/>
          <w:highlight w:val="none"/>
          <w:lang w:val="en-US" w:eastAsia="zh-CN"/>
        </w:rPr>
        <w:t>3</w:t>
      </w:r>
      <w:r>
        <w:rPr>
          <w:rFonts w:hint="default" w:ascii="宋体" w:hAnsi="宋体" w:eastAsia="宋体" w:cs="宋体"/>
          <w:b/>
          <w:color w:val="auto"/>
          <w:sz w:val="21"/>
          <w:szCs w:val="21"/>
          <w:highlight w:val="none"/>
          <w:lang w:eastAsia="zh-CN"/>
        </w:rPr>
        <w:t>其他证明材料：享受</w:t>
      </w:r>
      <w:r>
        <w:rPr>
          <w:rFonts w:hint="default" w:ascii="宋体" w:hAnsi="宋体" w:eastAsia="宋体" w:cs="宋体"/>
          <w:b/>
          <w:color w:val="auto"/>
          <w:sz w:val="21"/>
          <w:szCs w:val="21"/>
          <w:highlight w:val="none"/>
        </w:rPr>
        <w:t>政府采购</w:t>
      </w:r>
      <w:r>
        <w:rPr>
          <w:rFonts w:hint="default" w:ascii="宋体" w:hAnsi="宋体" w:eastAsia="宋体" w:cs="宋体"/>
          <w:b/>
          <w:color w:val="auto"/>
          <w:sz w:val="21"/>
          <w:szCs w:val="21"/>
          <w:highlight w:val="none"/>
          <w:lang w:eastAsia="zh-CN"/>
        </w:rPr>
        <w:t>优惠</w:t>
      </w:r>
      <w:r>
        <w:rPr>
          <w:rFonts w:hint="default" w:ascii="宋体" w:hAnsi="宋体" w:eastAsia="宋体" w:cs="宋体"/>
          <w:b/>
          <w:color w:val="auto"/>
          <w:sz w:val="21"/>
          <w:szCs w:val="21"/>
          <w:highlight w:val="none"/>
        </w:rPr>
        <w:t>政策产品</w:t>
      </w:r>
      <w:r>
        <w:rPr>
          <w:rFonts w:hint="default" w:ascii="宋体" w:hAnsi="宋体" w:eastAsia="宋体" w:cs="宋体"/>
          <w:b/>
          <w:color w:val="auto"/>
          <w:sz w:val="21"/>
          <w:szCs w:val="21"/>
          <w:highlight w:val="none"/>
          <w:lang w:eastAsia="zh-CN"/>
        </w:rPr>
        <w:t>的</w:t>
      </w:r>
      <w:r>
        <w:rPr>
          <w:rFonts w:hint="default" w:ascii="宋体" w:hAnsi="宋体" w:eastAsia="宋体" w:cs="宋体"/>
          <w:b/>
          <w:color w:val="auto"/>
          <w:sz w:val="21"/>
          <w:szCs w:val="21"/>
          <w:highlight w:val="none"/>
        </w:rPr>
        <w:t>证明材料</w:t>
      </w:r>
      <w:r>
        <w:rPr>
          <w:rFonts w:hint="default" w:ascii="宋体" w:hAnsi="宋体" w:eastAsia="宋体" w:cs="宋体"/>
          <w:b/>
          <w:color w:val="auto"/>
          <w:sz w:val="21"/>
          <w:szCs w:val="21"/>
          <w:highlight w:val="none"/>
          <w:lang w:eastAsia="zh-CN"/>
        </w:rPr>
        <w:t>（如有）</w:t>
      </w:r>
    </w:p>
    <w:p w14:paraId="494633D4">
      <w:pPr>
        <w:spacing w:line="460" w:lineRule="exact"/>
        <w:ind w:right="105" w:rightChars="50" w:firstLine="211" w:firstLineChars="100"/>
        <w:rPr>
          <w:rFonts w:asciiTheme="minorEastAsia" w:hAnsiTheme="minorEastAsia" w:eastAsiaTheme="minorEastAsia"/>
          <w:b/>
        </w:rPr>
      </w:pPr>
      <w:r>
        <w:rPr>
          <w:rFonts w:hint="eastAsia" w:asciiTheme="minorEastAsia" w:hAnsiTheme="minorEastAsia" w:eastAsiaTheme="minorEastAsia"/>
          <w:b/>
        </w:rPr>
        <w:t>1、中小企业声明函（货物）</w:t>
      </w:r>
    </w:p>
    <w:p w14:paraId="7651EEA4">
      <w:pPr>
        <w:spacing w:line="460" w:lineRule="exact"/>
        <w:ind w:right="105" w:rightChars="50" w:firstLine="420" w:firstLineChars="200"/>
        <w:rPr>
          <w:rFonts w:asciiTheme="minorEastAsia" w:hAnsiTheme="minorEastAsia" w:eastAsiaTheme="minorEastAsia"/>
        </w:rPr>
      </w:pPr>
      <w:r>
        <w:rPr>
          <w:rFonts w:asciiTheme="minorEastAsia" w:hAnsiTheme="minorEastAsia" w:eastAsiaTheme="minorEastAsia"/>
        </w:rPr>
        <w:t>说明：投标人</w:t>
      </w:r>
      <w:r>
        <w:rPr>
          <w:rFonts w:hint="eastAsia" w:asciiTheme="minorEastAsia" w:hAnsiTheme="minorEastAsia" w:eastAsiaTheme="minorEastAsia"/>
        </w:rPr>
        <w:t>在填报前请认真阅读《工业和信息化部、国家统计局、国家发展和改革委员会、财政部关于印发中小企业划型标准规定的通知》（工信部联企业〔2011〕300号）和《财政部、工业和信息化部关于印发〈政府采购促进中小企业发展管理办法〉的通知》（财库〔20</w:t>
      </w:r>
      <w:r>
        <w:rPr>
          <w:rFonts w:asciiTheme="minorEastAsia" w:hAnsiTheme="minorEastAsia" w:eastAsiaTheme="minorEastAsia"/>
        </w:rPr>
        <w:t>20</w:t>
      </w:r>
      <w:r>
        <w:rPr>
          <w:rFonts w:hint="eastAsia" w:asciiTheme="minorEastAsia" w:hAnsiTheme="minorEastAsia" w:eastAsiaTheme="minorEastAsia"/>
        </w:rPr>
        <w:t>〕</w:t>
      </w:r>
      <w:r>
        <w:rPr>
          <w:rFonts w:asciiTheme="minorEastAsia" w:hAnsiTheme="minorEastAsia" w:eastAsiaTheme="minorEastAsia"/>
        </w:rPr>
        <w:t>46</w:t>
      </w:r>
      <w:r>
        <w:rPr>
          <w:rFonts w:hint="eastAsia" w:asciiTheme="minorEastAsia" w:hAnsiTheme="minorEastAsia" w:eastAsiaTheme="minorEastAsia"/>
        </w:rPr>
        <w:t>号）相关规定。</w:t>
      </w:r>
    </w:p>
    <w:p w14:paraId="36FB4762">
      <w:pPr>
        <w:spacing w:line="460" w:lineRule="exact"/>
        <w:ind w:right="105" w:rightChars="50"/>
        <w:rPr>
          <w:rFonts w:asciiTheme="minorEastAsia" w:hAnsiTheme="minorEastAsia" w:eastAsiaTheme="minorEastAsia"/>
          <w:b/>
        </w:rPr>
      </w:pPr>
    </w:p>
    <w:p w14:paraId="2F4D930C">
      <w:pPr>
        <w:spacing w:line="460" w:lineRule="exact"/>
        <w:ind w:right="105" w:rightChars="50" w:firstLine="211" w:firstLineChars="100"/>
        <w:rPr>
          <w:rFonts w:asciiTheme="minorEastAsia" w:hAnsiTheme="minorEastAsia" w:eastAsiaTheme="minorEastAsia"/>
          <w:b/>
        </w:rPr>
      </w:pPr>
      <w:r>
        <w:rPr>
          <w:rFonts w:hint="eastAsia" w:asciiTheme="minorEastAsia" w:hAnsiTheme="minorEastAsia" w:eastAsiaTheme="minorEastAsia"/>
          <w:b/>
          <w:lang w:val="en-US" w:eastAsia="zh-CN"/>
        </w:rPr>
        <w:t>2</w:t>
      </w:r>
      <w:r>
        <w:rPr>
          <w:rFonts w:hint="eastAsia" w:asciiTheme="minorEastAsia" w:hAnsiTheme="minorEastAsia" w:eastAsiaTheme="minorEastAsia"/>
          <w:b/>
        </w:rPr>
        <w:t>、残疾人福利性单位声明函</w:t>
      </w:r>
    </w:p>
    <w:p w14:paraId="44F3157E">
      <w:pPr>
        <w:spacing w:line="460" w:lineRule="exact"/>
        <w:ind w:right="105" w:rightChars="50" w:firstLine="420" w:firstLineChars="200"/>
        <w:rPr>
          <w:rFonts w:asciiTheme="minorEastAsia" w:hAnsiTheme="minorEastAsia" w:eastAsiaTheme="minorEastAsia"/>
        </w:rPr>
      </w:pPr>
      <w:r>
        <w:rPr>
          <w:rFonts w:hint="eastAsia" w:asciiTheme="minorEastAsia" w:hAnsiTheme="minorEastAsia" w:eastAsiaTheme="minorEastAsia"/>
        </w:rPr>
        <w:t>说明：</w:t>
      </w:r>
      <w:r>
        <w:rPr>
          <w:rFonts w:asciiTheme="minorEastAsia" w:hAnsiTheme="minorEastAsia" w:eastAsiaTheme="minorEastAsia"/>
        </w:rPr>
        <w:t>投标人</w:t>
      </w:r>
      <w:r>
        <w:rPr>
          <w:rFonts w:hint="eastAsia" w:asciiTheme="minorEastAsia" w:hAnsiTheme="minorEastAsia" w:eastAsiaTheme="minorEastAsia"/>
        </w:rPr>
        <w:t>为残疾人福利性单位的，应按下文给定格式填写声明函。</w:t>
      </w:r>
      <w:r>
        <w:rPr>
          <w:rFonts w:asciiTheme="minorEastAsia" w:hAnsiTheme="minorEastAsia" w:eastAsiaTheme="minorEastAsia"/>
        </w:rPr>
        <w:t>未提供或未按给定格式提供声明函的，</w:t>
      </w:r>
      <w:r>
        <w:rPr>
          <w:rFonts w:hint="eastAsia" w:asciiTheme="minorEastAsia" w:hAnsiTheme="minorEastAsia" w:eastAsiaTheme="minorEastAsia"/>
        </w:rPr>
        <w:t>将不能享受招标文件规定的价格优惠政策，但不影响投标文件的有效性。</w:t>
      </w:r>
    </w:p>
    <w:p w14:paraId="3FA4AEC5">
      <w:pPr>
        <w:spacing w:line="460" w:lineRule="exact"/>
        <w:ind w:right="105" w:rightChars="50" w:firstLine="420" w:firstLineChars="200"/>
        <w:rPr>
          <w:rFonts w:asciiTheme="minorEastAsia" w:hAnsiTheme="minorEastAsia" w:eastAsiaTheme="minorEastAsia"/>
        </w:rPr>
      </w:pPr>
      <w:r>
        <w:rPr>
          <w:rFonts w:hint="eastAsia" w:asciiTheme="minorEastAsia" w:hAnsiTheme="minorEastAsia" w:eastAsiaTheme="minorEastAsia"/>
        </w:rPr>
        <w:t>投标人在填报前请认真阅读《财政部、民政部、中国残疾人联合会关于促进残疾人就业政府采购政策的通知》（财库〔2017〕141号）相关规定。</w:t>
      </w:r>
    </w:p>
    <w:p w14:paraId="3244FEDD">
      <w:pPr>
        <w:spacing w:line="460" w:lineRule="exact"/>
        <w:ind w:right="105" w:rightChars="50" w:firstLine="211" w:firstLineChars="100"/>
        <w:rPr>
          <w:rFonts w:asciiTheme="minorEastAsia" w:hAnsiTheme="minorEastAsia" w:eastAsiaTheme="minorEastAsia"/>
          <w:b/>
        </w:rPr>
      </w:pPr>
    </w:p>
    <w:p w14:paraId="6208D257">
      <w:pPr>
        <w:spacing w:line="460" w:lineRule="exact"/>
        <w:ind w:right="105" w:rightChars="50" w:firstLine="211" w:firstLineChars="100"/>
        <w:rPr>
          <w:rFonts w:asciiTheme="minorEastAsia" w:hAnsiTheme="minorEastAsia" w:eastAsiaTheme="minorEastAsia"/>
          <w:b/>
        </w:rPr>
      </w:pPr>
      <w:r>
        <w:rPr>
          <w:rFonts w:hint="eastAsia" w:asciiTheme="minorEastAsia" w:hAnsiTheme="minorEastAsia" w:eastAsiaTheme="minorEastAsia"/>
          <w:b/>
          <w:lang w:val="en-US" w:eastAsia="zh-CN"/>
        </w:rPr>
        <w:t>3</w:t>
      </w:r>
      <w:r>
        <w:rPr>
          <w:rFonts w:hint="eastAsia" w:asciiTheme="minorEastAsia" w:hAnsiTheme="minorEastAsia" w:eastAsiaTheme="minorEastAsia"/>
          <w:b/>
        </w:rPr>
        <w:t>、监狱企业证明</w:t>
      </w:r>
    </w:p>
    <w:p w14:paraId="6FF0F30E">
      <w:pPr>
        <w:spacing w:line="460" w:lineRule="exact"/>
        <w:ind w:right="105" w:rightChars="50" w:firstLine="420" w:firstLineChars="200"/>
        <w:rPr>
          <w:rFonts w:asciiTheme="minorEastAsia" w:hAnsiTheme="minorEastAsia" w:eastAsiaTheme="minorEastAsia"/>
        </w:rPr>
      </w:pPr>
      <w:r>
        <w:rPr>
          <w:rFonts w:asciiTheme="minorEastAsia" w:hAnsiTheme="minorEastAsia" w:eastAsiaTheme="minorEastAsia"/>
        </w:rPr>
        <w:t>说明：投标人为监狱企业</w:t>
      </w:r>
      <w:r>
        <w:rPr>
          <w:rFonts w:hint="eastAsia" w:asciiTheme="minorEastAsia" w:hAnsiTheme="minorEastAsia" w:eastAsiaTheme="minorEastAsia"/>
        </w:rPr>
        <w:t>的</w:t>
      </w:r>
      <w:r>
        <w:rPr>
          <w:rFonts w:asciiTheme="minorEastAsia" w:hAnsiTheme="minorEastAsia" w:eastAsiaTheme="minorEastAsia"/>
        </w:rPr>
        <w:t>，应当提供由省级以上监狱管理局、戒毒管理局（含新疆生产建设兵团）出具的属于监狱企业的证明</w:t>
      </w:r>
      <w:r>
        <w:rPr>
          <w:rFonts w:hint="eastAsia" w:asciiTheme="minorEastAsia" w:hAnsiTheme="minorEastAsia" w:eastAsiaTheme="minorEastAsia"/>
        </w:rPr>
        <w:t>函</w:t>
      </w:r>
      <w:r>
        <w:rPr>
          <w:rFonts w:asciiTheme="minorEastAsia" w:hAnsiTheme="minorEastAsia" w:eastAsiaTheme="minorEastAsia"/>
        </w:rPr>
        <w:t>（格式不</w:t>
      </w:r>
      <w:r>
        <w:rPr>
          <w:rFonts w:hint="eastAsia" w:asciiTheme="minorEastAsia" w:hAnsiTheme="minorEastAsia" w:eastAsiaTheme="minorEastAsia"/>
        </w:rPr>
        <w:t>限</w:t>
      </w:r>
      <w:r>
        <w:rPr>
          <w:rFonts w:asciiTheme="minorEastAsia" w:hAnsiTheme="minorEastAsia" w:eastAsiaTheme="minorEastAsia"/>
        </w:rPr>
        <w:t>）。未提供证明</w:t>
      </w:r>
      <w:r>
        <w:rPr>
          <w:rFonts w:hint="eastAsia" w:asciiTheme="minorEastAsia" w:hAnsiTheme="minorEastAsia" w:eastAsiaTheme="minorEastAsia"/>
        </w:rPr>
        <w:t>函</w:t>
      </w:r>
      <w:r>
        <w:rPr>
          <w:rFonts w:asciiTheme="minorEastAsia" w:hAnsiTheme="minorEastAsia" w:eastAsiaTheme="minorEastAsia"/>
        </w:rPr>
        <w:t>的</w:t>
      </w:r>
      <w:r>
        <w:rPr>
          <w:rFonts w:hint="eastAsia" w:asciiTheme="minorEastAsia" w:hAnsiTheme="minorEastAsia" w:eastAsiaTheme="minorEastAsia"/>
        </w:rPr>
        <w:t>，</w:t>
      </w:r>
      <w:r>
        <w:rPr>
          <w:rFonts w:asciiTheme="minorEastAsia" w:hAnsiTheme="minorEastAsia" w:eastAsiaTheme="minorEastAsia"/>
        </w:rPr>
        <w:t>将不能享受</w:t>
      </w:r>
      <w:r>
        <w:rPr>
          <w:rFonts w:hint="eastAsia" w:asciiTheme="minorEastAsia" w:hAnsiTheme="minorEastAsia" w:eastAsiaTheme="minorEastAsia"/>
        </w:rPr>
        <w:t>招标文件</w:t>
      </w:r>
      <w:r>
        <w:rPr>
          <w:rFonts w:asciiTheme="minorEastAsia" w:hAnsiTheme="minorEastAsia" w:eastAsiaTheme="minorEastAsia"/>
        </w:rPr>
        <w:t>规定的价格</w:t>
      </w:r>
      <w:r>
        <w:rPr>
          <w:rFonts w:hint="eastAsia" w:asciiTheme="minorEastAsia" w:hAnsiTheme="minorEastAsia" w:eastAsiaTheme="minorEastAsia"/>
        </w:rPr>
        <w:t>优惠政策</w:t>
      </w:r>
      <w:r>
        <w:rPr>
          <w:rFonts w:asciiTheme="minorEastAsia" w:hAnsiTheme="minorEastAsia" w:eastAsiaTheme="minorEastAsia"/>
        </w:rPr>
        <w:t>，但不影响</w:t>
      </w:r>
      <w:r>
        <w:rPr>
          <w:rFonts w:hint="eastAsia" w:asciiTheme="minorEastAsia" w:hAnsiTheme="minorEastAsia" w:eastAsiaTheme="minorEastAsia"/>
        </w:rPr>
        <w:t>投标文件</w:t>
      </w:r>
      <w:r>
        <w:rPr>
          <w:rFonts w:asciiTheme="minorEastAsia" w:hAnsiTheme="minorEastAsia" w:eastAsiaTheme="minorEastAsia"/>
        </w:rPr>
        <w:t>的有效性。</w:t>
      </w:r>
    </w:p>
    <w:p w14:paraId="762B772B">
      <w:pPr>
        <w:spacing w:line="460" w:lineRule="exact"/>
        <w:ind w:right="105" w:rightChars="50" w:firstLine="211" w:firstLineChars="100"/>
        <w:rPr>
          <w:rFonts w:asciiTheme="minorEastAsia" w:hAnsiTheme="minorEastAsia" w:eastAsiaTheme="minorEastAsia"/>
          <w:b/>
        </w:rPr>
      </w:pPr>
    </w:p>
    <w:p w14:paraId="57BAEB1E">
      <w:pPr>
        <w:pStyle w:val="67"/>
        <w:spacing w:line="500" w:lineRule="exact"/>
        <w:rPr>
          <w:rFonts w:hint="eastAsia" w:ascii="宋体" w:hAnsi="宋体" w:eastAsia="宋体" w:cs="宋体"/>
          <w:sz w:val="21"/>
          <w:szCs w:val="21"/>
          <w:highlight w:val="none"/>
        </w:rPr>
      </w:pPr>
    </w:p>
    <w:p w14:paraId="4E760361">
      <w:pPr>
        <w:pStyle w:val="67"/>
        <w:spacing w:line="500" w:lineRule="exact"/>
        <w:rPr>
          <w:rFonts w:hint="eastAsia" w:ascii="宋体" w:hAnsi="宋体" w:eastAsia="宋体" w:cs="宋体"/>
          <w:sz w:val="21"/>
          <w:szCs w:val="21"/>
          <w:highlight w:val="none"/>
        </w:rPr>
      </w:pPr>
    </w:p>
    <w:p w14:paraId="1B4F654F">
      <w:pPr>
        <w:pStyle w:val="67"/>
        <w:spacing w:line="500" w:lineRule="exact"/>
        <w:rPr>
          <w:rFonts w:hint="eastAsia" w:ascii="宋体" w:hAnsi="宋体" w:eastAsia="宋体" w:cs="宋体"/>
          <w:sz w:val="21"/>
          <w:szCs w:val="21"/>
          <w:highlight w:val="none"/>
        </w:rPr>
      </w:pPr>
    </w:p>
    <w:p w14:paraId="5F95C798">
      <w:pPr>
        <w:pStyle w:val="67"/>
        <w:spacing w:line="500" w:lineRule="exact"/>
        <w:rPr>
          <w:rFonts w:hint="eastAsia" w:ascii="宋体" w:hAnsi="宋体" w:eastAsia="宋体" w:cs="宋体"/>
          <w:sz w:val="21"/>
          <w:szCs w:val="21"/>
          <w:highlight w:val="none"/>
        </w:rPr>
      </w:pPr>
    </w:p>
    <w:p w14:paraId="4974A1C2">
      <w:pPr>
        <w:pStyle w:val="11"/>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0" w:firstLineChars="0"/>
        <w:jc w:val="both"/>
        <w:textAlignment w:val="auto"/>
        <w:outlineLvl w:val="9"/>
        <w:rPr>
          <w:rFonts w:hint="eastAsia" w:ascii="新宋体" w:hAnsi="新宋体" w:eastAsia="新宋体" w:cs="新宋体"/>
          <w:color w:val="auto"/>
          <w:sz w:val="28"/>
          <w:szCs w:val="28"/>
          <w:highlight w:val="none"/>
          <w:lang w:val="en-US" w:eastAsia="zh-CN"/>
        </w:rPr>
      </w:pPr>
    </w:p>
    <w:p w14:paraId="4F116001">
      <w:pPr>
        <w:pStyle w:val="11"/>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0" w:firstLineChars="0"/>
        <w:jc w:val="both"/>
        <w:textAlignment w:val="auto"/>
        <w:outlineLvl w:val="9"/>
        <w:rPr>
          <w:rFonts w:hint="eastAsia" w:ascii="新宋体" w:hAnsi="新宋体" w:eastAsia="新宋体" w:cs="新宋体"/>
          <w:color w:val="auto"/>
          <w:sz w:val="28"/>
          <w:szCs w:val="28"/>
          <w:highlight w:val="none"/>
          <w:lang w:val="en-US" w:eastAsia="zh-CN"/>
        </w:rPr>
      </w:pPr>
    </w:p>
    <w:p w14:paraId="01211868">
      <w:pPr>
        <w:pStyle w:val="11"/>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0" w:firstLineChars="0"/>
        <w:jc w:val="both"/>
        <w:textAlignment w:val="auto"/>
        <w:outlineLvl w:val="9"/>
        <w:rPr>
          <w:rFonts w:hint="eastAsia" w:ascii="新宋体" w:hAnsi="新宋体" w:eastAsia="新宋体" w:cs="新宋体"/>
          <w:color w:val="auto"/>
          <w:sz w:val="28"/>
          <w:szCs w:val="28"/>
          <w:highlight w:val="none"/>
          <w:lang w:val="en-US" w:eastAsia="zh-CN"/>
        </w:rPr>
      </w:pPr>
    </w:p>
    <w:p w14:paraId="1ED92973">
      <w:pPr>
        <w:pStyle w:val="11"/>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0" w:firstLineChars="0"/>
        <w:jc w:val="both"/>
        <w:textAlignment w:val="auto"/>
        <w:outlineLvl w:val="9"/>
        <w:rPr>
          <w:rFonts w:hint="eastAsia" w:ascii="新宋体" w:hAnsi="新宋体" w:eastAsia="新宋体" w:cs="新宋体"/>
          <w:color w:val="auto"/>
          <w:sz w:val="28"/>
          <w:szCs w:val="28"/>
          <w:highlight w:val="none"/>
          <w:lang w:val="en-US" w:eastAsia="zh-CN"/>
        </w:rPr>
      </w:pPr>
    </w:p>
    <w:p w14:paraId="160FD87D">
      <w:pPr>
        <w:pStyle w:val="11"/>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0" w:firstLineChars="0"/>
        <w:jc w:val="both"/>
        <w:textAlignment w:val="auto"/>
        <w:outlineLvl w:val="9"/>
        <w:rPr>
          <w:rFonts w:hint="eastAsia" w:ascii="新宋体" w:hAnsi="新宋体" w:eastAsia="新宋体" w:cs="新宋体"/>
          <w:color w:val="auto"/>
          <w:sz w:val="28"/>
          <w:szCs w:val="28"/>
          <w:highlight w:val="none"/>
          <w:lang w:val="en-US" w:eastAsia="zh-CN"/>
        </w:rPr>
      </w:pPr>
    </w:p>
    <w:p w14:paraId="64F36BA0">
      <w:pPr>
        <w:pStyle w:val="11"/>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0" w:firstLineChars="0"/>
        <w:jc w:val="both"/>
        <w:textAlignment w:val="auto"/>
        <w:outlineLvl w:val="9"/>
        <w:rPr>
          <w:rFonts w:hint="eastAsia" w:ascii="新宋体" w:hAnsi="新宋体" w:eastAsia="新宋体" w:cs="新宋体"/>
          <w:color w:val="auto"/>
          <w:sz w:val="28"/>
          <w:szCs w:val="28"/>
          <w:highlight w:val="none"/>
          <w:lang w:val="en-US" w:eastAsia="zh-CN"/>
        </w:rPr>
      </w:pPr>
    </w:p>
    <w:p w14:paraId="0C7720F0">
      <w:pPr>
        <w:pStyle w:val="11"/>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0" w:firstLineChars="0"/>
        <w:jc w:val="both"/>
        <w:textAlignment w:val="auto"/>
        <w:outlineLvl w:val="9"/>
        <w:rPr>
          <w:rFonts w:hint="eastAsia" w:ascii="新宋体" w:hAnsi="新宋体" w:eastAsia="新宋体" w:cs="新宋体"/>
          <w:color w:val="auto"/>
          <w:sz w:val="28"/>
          <w:szCs w:val="28"/>
          <w:highlight w:val="none"/>
          <w:lang w:val="en-US" w:eastAsia="zh-CN"/>
        </w:rPr>
      </w:pPr>
    </w:p>
    <w:p w14:paraId="6C88FB4B">
      <w:pPr>
        <w:pStyle w:val="12"/>
        <w:rPr>
          <w:rFonts w:hint="eastAsia"/>
          <w:lang w:val="en-US" w:eastAsia="zh-CN"/>
        </w:rPr>
      </w:pPr>
    </w:p>
    <w:p w14:paraId="4C2F7ADA">
      <w:pPr>
        <w:rPr>
          <w:rFonts w:hint="eastAsia"/>
          <w:lang w:val="en-US" w:eastAsia="zh-CN"/>
        </w:rPr>
      </w:pPr>
    </w:p>
    <w:p w14:paraId="36D8F1E6">
      <w:pPr>
        <w:spacing w:line="440" w:lineRule="exact"/>
        <w:rPr>
          <w:rFonts w:hint="eastAsia" w:ascii="宋体" w:hAnsi="宋体" w:eastAsia="宋体" w:cs="宋体"/>
          <w:b/>
          <w:color w:val="auto"/>
          <w:sz w:val="21"/>
          <w:szCs w:val="21"/>
          <w:highlight w:val="none"/>
        </w:rPr>
      </w:pPr>
    </w:p>
    <w:p w14:paraId="7A339889">
      <w:pPr>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2.</w:t>
      </w:r>
      <w:r>
        <w:rPr>
          <w:rFonts w:hint="eastAsia" w:ascii="宋体" w:hAnsi="宋体" w:cs="宋体"/>
          <w:b/>
          <w:color w:val="auto"/>
          <w:sz w:val="21"/>
          <w:szCs w:val="21"/>
          <w:highlight w:val="none"/>
          <w:lang w:val="en-US" w:eastAsia="zh-CN"/>
        </w:rPr>
        <w:t>4</w:t>
      </w:r>
      <w:r>
        <w:rPr>
          <w:rFonts w:hint="eastAsia" w:ascii="宋体" w:hAnsi="宋体" w:eastAsia="宋体" w:cs="宋体"/>
          <w:b/>
          <w:color w:val="auto"/>
          <w:sz w:val="21"/>
          <w:szCs w:val="21"/>
          <w:highlight w:val="none"/>
        </w:rPr>
        <w:t>投标人</w:t>
      </w:r>
      <w:r>
        <w:rPr>
          <w:rFonts w:hint="eastAsia" w:ascii="宋体" w:hAnsi="宋体" w:eastAsia="宋体" w:cs="宋体"/>
          <w:b/>
          <w:color w:val="auto"/>
          <w:sz w:val="21"/>
          <w:szCs w:val="21"/>
          <w:highlight w:val="none"/>
          <w:lang w:eastAsia="zh-CN"/>
        </w:rPr>
        <w:t>类似项目业绩</w:t>
      </w:r>
      <w:r>
        <w:rPr>
          <w:rFonts w:hint="eastAsia" w:ascii="宋体" w:hAnsi="宋体" w:eastAsia="宋体" w:cs="宋体"/>
          <w:b/>
          <w:color w:val="auto"/>
          <w:sz w:val="21"/>
          <w:szCs w:val="21"/>
          <w:highlight w:val="none"/>
        </w:rPr>
        <w:t>一览表</w:t>
      </w:r>
    </w:p>
    <w:p w14:paraId="25D4FC58">
      <w:pPr>
        <w:spacing w:line="440" w:lineRule="exact"/>
        <w:jc w:val="center"/>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lang w:eastAsia="zh-CN"/>
        </w:rPr>
        <w:t>类似项目业绩</w:t>
      </w:r>
      <w:r>
        <w:rPr>
          <w:rFonts w:hint="default" w:ascii="Times New Roman" w:hAnsi="Times New Roman" w:eastAsia="宋体" w:cs="Times New Roman"/>
          <w:b/>
          <w:color w:val="auto"/>
          <w:sz w:val="21"/>
          <w:szCs w:val="21"/>
          <w:highlight w:val="none"/>
        </w:rPr>
        <w:t>一览表</w:t>
      </w:r>
    </w:p>
    <w:p w14:paraId="77474C56">
      <w:pPr>
        <w:spacing w:line="440" w:lineRule="exac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投标人名称：</w:t>
      </w:r>
      <w:r>
        <w:rPr>
          <w:rFonts w:hint="default" w:ascii="Times New Roman" w:hAnsi="Times New Roman" w:eastAsia="宋体" w:cs="Times New Roman"/>
          <w:color w:val="auto"/>
          <w:sz w:val="21"/>
          <w:szCs w:val="21"/>
          <w:highlight w:val="none"/>
          <w:u w:val="single"/>
        </w:rPr>
        <w:t xml:space="preserve">        </w:t>
      </w:r>
      <w:r>
        <w:rPr>
          <w:rFonts w:hint="eastAsia" w:ascii="Times New Roman" w:hAnsi="Times New Roman" w:eastAsia="宋体" w:cs="Times New Roman"/>
          <w:color w:val="auto"/>
          <w:sz w:val="21"/>
          <w:szCs w:val="21"/>
          <w:highlight w:val="none"/>
          <w:u w:val="single"/>
          <w:lang w:val="en-US" w:eastAsia="zh-CN"/>
        </w:rPr>
        <w:t xml:space="preserve">  </w:t>
      </w:r>
      <w:r>
        <w:rPr>
          <w:rFonts w:hint="default" w:ascii="Times New Roman" w:hAnsi="Times New Roman" w:eastAsia="宋体" w:cs="Times New Roman"/>
          <w:color w:val="auto"/>
          <w:sz w:val="21"/>
          <w:szCs w:val="21"/>
          <w:highlight w:val="none"/>
          <w:u w:val="single"/>
        </w:rPr>
        <w:t xml:space="preserve">      </w:t>
      </w:r>
      <w:r>
        <w:rPr>
          <w:rFonts w:hint="default" w:ascii="Times New Roman" w:hAnsi="Times New Roman" w:eastAsia="宋体" w:cs="Times New Roman"/>
          <w:color w:val="auto"/>
          <w:sz w:val="21"/>
          <w:szCs w:val="21"/>
          <w:highlight w:val="none"/>
        </w:rPr>
        <w:t xml:space="preserve">               </w:t>
      </w:r>
      <w:r>
        <w:rPr>
          <w:rFonts w:hint="eastAsia" w:ascii="Times New Roman" w:hAnsi="Times New Roman" w:eastAsia="宋体" w:cs="Times New Roman"/>
          <w:color w:val="auto"/>
          <w:sz w:val="21"/>
          <w:szCs w:val="21"/>
          <w:highlight w:val="none"/>
          <w:lang w:val="en-US" w:eastAsia="zh-CN"/>
        </w:rPr>
        <w:t xml:space="preserve">               </w:t>
      </w:r>
      <w:r>
        <w:rPr>
          <w:rFonts w:hint="default" w:ascii="Times New Roman" w:hAnsi="Times New Roman" w:eastAsia="宋体" w:cs="Times New Roman"/>
          <w:color w:val="auto"/>
          <w:sz w:val="21"/>
          <w:szCs w:val="21"/>
          <w:highlight w:val="none"/>
        </w:rPr>
        <w:t>项目编号：</w:t>
      </w:r>
      <w:r>
        <w:rPr>
          <w:rFonts w:hint="default" w:ascii="Times New Roman" w:hAnsi="Times New Roman" w:eastAsia="宋体" w:cs="Times New Roman"/>
          <w:color w:val="auto"/>
          <w:sz w:val="21"/>
          <w:szCs w:val="21"/>
          <w:highlight w:val="none"/>
          <w:u w:val="single"/>
        </w:rPr>
        <w:t xml:space="preserve">     </w:t>
      </w:r>
      <w:r>
        <w:rPr>
          <w:rFonts w:hint="eastAsia" w:ascii="Times New Roman" w:hAnsi="Times New Roman" w:eastAsia="宋体" w:cs="Times New Roman"/>
          <w:color w:val="auto"/>
          <w:sz w:val="21"/>
          <w:szCs w:val="21"/>
          <w:highlight w:val="none"/>
          <w:u w:val="single"/>
          <w:lang w:val="en-US" w:eastAsia="zh-CN"/>
        </w:rPr>
        <w:t xml:space="preserve">           </w:t>
      </w:r>
      <w:r>
        <w:rPr>
          <w:rFonts w:hint="default" w:ascii="Times New Roman" w:hAnsi="Times New Roman" w:eastAsia="宋体" w:cs="Times New Roman"/>
          <w:color w:val="auto"/>
          <w:sz w:val="21"/>
          <w:szCs w:val="21"/>
          <w:highlight w:val="none"/>
          <w:u w:val="single"/>
        </w:rPr>
        <w:t xml:space="preserve">   </w:t>
      </w:r>
    </w:p>
    <w:tbl>
      <w:tblPr>
        <w:tblStyle w:val="40"/>
        <w:tblW w:w="9197" w:type="dxa"/>
        <w:tblInd w:w="108"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082"/>
        <w:gridCol w:w="1919"/>
        <w:gridCol w:w="1549"/>
        <w:gridCol w:w="1727"/>
        <w:gridCol w:w="1732"/>
        <w:gridCol w:w="1188"/>
      </w:tblGrid>
      <w:tr w14:paraId="4BA7ED7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34" w:hRule="atLeast"/>
        </w:trPr>
        <w:tc>
          <w:tcPr>
            <w:tcW w:w="1082" w:type="dxa"/>
            <w:vAlign w:val="center"/>
          </w:tcPr>
          <w:p w14:paraId="15A2A108">
            <w:pPr>
              <w:pStyle w:val="11"/>
              <w:ind w:firstLine="0"/>
              <w:jc w:val="center"/>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年份</w:t>
            </w:r>
          </w:p>
        </w:tc>
        <w:tc>
          <w:tcPr>
            <w:tcW w:w="1919" w:type="dxa"/>
            <w:vAlign w:val="center"/>
          </w:tcPr>
          <w:p w14:paraId="2067D0C5">
            <w:pPr>
              <w:pStyle w:val="11"/>
              <w:ind w:firstLine="0"/>
              <w:jc w:val="center"/>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项目名称</w:t>
            </w:r>
          </w:p>
        </w:tc>
        <w:tc>
          <w:tcPr>
            <w:tcW w:w="1549" w:type="dxa"/>
            <w:vAlign w:val="center"/>
          </w:tcPr>
          <w:p w14:paraId="575EB190">
            <w:pPr>
              <w:pStyle w:val="11"/>
              <w:ind w:firstLine="0"/>
              <w:jc w:val="center"/>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合同金额</w:t>
            </w:r>
          </w:p>
        </w:tc>
        <w:tc>
          <w:tcPr>
            <w:tcW w:w="1727" w:type="dxa"/>
            <w:vAlign w:val="center"/>
          </w:tcPr>
          <w:p w14:paraId="454DF43F">
            <w:pPr>
              <w:pStyle w:val="11"/>
              <w:ind w:firstLine="0"/>
              <w:jc w:val="center"/>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完成时间</w:t>
            </w:r>
          </w:p>
        </w:tc>
        <w:tc>
          <w:tcPr>
            <w:tcW w:w="1732" w:type="dxa"/>
            <w:vAlign w:val="center"/>
          </w:tcPr>
          <w:p w14:paraId="14715E33">
            <w:pPr>
              <w:pStyle w:val="11"/>
              <w:ind w:firstLine="0"/>
              <w:jc w:val="center"/>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完成质量</w:t>
            </w:r>
          </w:p>
        </w:tc>
        <w:tc>
          <w:tcPr>
            <w:tcW w:w="1188" w:type="dxa"/>
            <w:vAlign w:val="center"/>
          </w:tcPr>
          <w:p w14:paraId="6C8A30A9">
            <w:pPr>
              <w:pStyle w:val="11"/>
              <w:ind w:firstLine="0"/>
              <w:jc w:val="center"/>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备注</w:t>
            </w:r>
          </w:p>
        </w:tc>
      </w:tr>
      <w:tr w14:paraId="2E17015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5" w:hRule="atLeast"/>
        </w:trPr>
        <w:tc>
          <w:tcPr>
            <w:tcW w:w="1082" w:type="dxa"/>
          </w:tcPr>
          <w:p w14:paraId="6C993680">
            <w:pPr>
              <w:pStyle w:val="11"/>
              <w:ind w:firstLine="0"/>
              <w:rPr>
                <w:rFonts w:hint="default" w:ascii="Times New Roman" w:hAnsi="Times New Roman" w:eastAsia="宋体" w:cs="Times New Roman"/>
                <w:color w:val="auto"/>
                <w:sz w:val="21"/>
                <w:szCs w:val="21"/>
                <w:highlight w:val="none"/>
              </w:rPr>
            </w:pPr>
          </w:p>
        </w:tc>
        <w:tc>
          <w:tcPr>
            <w:tcW w:w="1919" w:type="dxa"/>
          </w:tcPr>
          <w:p w14:paraId="54201ADF">
            <w:pPr>
              <w:pStyle w:val="11"/>
              <w:ind w:firstLine="0"/>
              <w:rPr>
                <w:rFonts w:hint="default" w:ascii="Times New Roman" w:hAnsi="Times New Roman" w:eastAsia="宋体" w:cs="Times New Roman"/>
                <w:color w:val="auto"/>
                <w:sz w:val="21"/>
                <w:szCs w:val="21"/>
                <w:highlight w:val="none"/>
              </w:rPr>
            </w:pPr>
          </w:p>
        </w:tc>
        <w:tc>
          <w:tcPr>
            <w:tcW w:w="1549" w:type="dxa"/>
          </w:tcPr>
          <w:p w14:paraId="3B4DE79B">
            <w:pPr>
              <w:pStyle w:val="11"/>
              <w:ind w:firstLine="0"/>
              <w:rPr>
                <w:rFonts w:hint="default" w:ascii="Times New Roman" w:hAnsi="Times New Roman" w:eastAsia="宋体" w:cs="Times New Roman"/>
                <w:color w:val="auto"/>
                <w:sz w:val="21"/>
                <w:szCs w:val="21"/>
                <w:highlight w:val="none"/>
              </w:rPr>
            </w:pPr>
          </w:p>
        </w:tc>
        <w:tc>
          <w:tcPr>
            <w:tcW w:w="1727" w:type="dxa"/>
          </w:tcPr>
          <w:p w14:paraId="45321496">
            <w:pPr>
              <w:pStyle w:val="11"/>
              <w:ind w:firstLine="0"/>
              <w:rPr>
                <w:rFonts w:hint="default" w:ascii="Times New Roman" w:hAnsi="Times New Roman" w:eastAsia="宋体" w:cs="Times New Roman"/>
                <w:color w:val="auto"/>
                <w:sz w:val="21"/>
                <w:szCs w:val="21"/>
                <w:highlight w:val="none"/>
              </w:rPr>
            </w:pPr>
          </w:p>
        </w:tc>
        <w:tc>
          <w:tcPr>
            <w:tcW w:w="1732" w:type="dxa"/>
          </w:tcPr>
          <w:p w14:paraId="7DF433FC">
            <w:pPr>
              <w:pStyle w:val="11"/>
              <w:ind w:firstLine="0"/>
              <w:rPr>
                <w:rFonts w:hint="default" w:ascii="Times New Roman" w:hAnsi="Times New Roman" w:eastAsia="宋体" w:cs="Times New Roman"/>
                <w:color w:val="auto"/>
                <w:sz w:val="21"/>
                <w:szCs w:val="21"/>
                <w:highlight w:val="none"/>
              </w:rPr>
            </w:pPr>
          </w:p>
        </w:tc>
        <w:tc>
          <w:tcPr>
            <w:tcW w:w="1188" w:type="dxa"/>
          </w:tcPr>
          <w:p w14:paraId="284929C0">
            <w:pPr>
              <w:pStyle w:val="11"/>
              <w:ind w:firstLine="0"/>
              <w:rPr>
                <w:rFonts w:hint="default" w:ascii="Times New Roman" w:hAnsi="Times New Roman" w:eastAsia="宋体" w:cs="Times New Roman"/>
                <w:color w:val="auto"/>
                <w:sz w:val="21"/>
                <w:szCs w:val="21"/>
                <w:highlight w:val="none"/>
              </w:rPr>
            </w:pPr>
          </w:p>
        </w:tc>
      </w:tr>
      <w:tr w14:paraId="3F8CB01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5" w:hRule="atLeast"/>
        </w:trPr>
        <w:tc>
          <w:tcPr>
            <w:tcW w:w="1082" w:type="dxa"/>
          </w:tcPr>
          <w:p w14:paraId="490D9F29">
            <w:pPr>
              <w:pStyle w:val="11"/>
              <w:ind w:firstLine="0"/>
              <w:rPr>
                <w:rFonts w:hint="default" w:ascii="Times New Roman" w:hAnsi="Times New Roman" w:eastAsia="宋体" w:cs="Times New Roman"/>
                <w:color w:val="auto"/>
                <w:sz w:val="21"/>
                <w:szCs w:val="21"/>
                <w:highlight w:val="none"/>
              </w:rPr>
            </w:pPr>
          </w:p>
        </w:tc>
        <w:tc>
          <w:tcPr>
            <w:tcW w:w="1919" w:type="dxa"/>
          </w:tcPr>
          <w:p w14:paraId="6C16AAE1">
            <w:pPr>
              <w:pStyle w:val="11"/>
              <w:ind w:firstLine="0"/>
              <w:rPr>
                <w:rFonts w:hint="default" w:ascii="Times New Roman" w:hAnsi="Times New Roman" w:eastAsia="宋体" w:cs="Times New Roman"/>
                <w:color w:val="auto"/>
                <w:sz w:val="21"/>
                <w:szCs w:val="21"/>
                <w:highlight w:val="none"/>
              </w:rPr>
            </w:pPr>
          </w:p>
        </w:tc>
        <w:tc>
          <w:tcPr>
            <w:tcW w:w="1549" w:type="dxa"/>
          </w:tcPr>
          <w:p w14:paraId="4A6933C4">
            <w:pPr>
              <w:pStyle w:val="11"/>
              <w:ind w:firstLine="0"/>
              <w:rPr>
                <w:rFonts w:hint="default" w:ascii="Times New Roman" w:hAnsi="Times New Roman" w:eastAsia="宋体" w:cs="Times New Roman"/>
                <w:color w:val="auto"/>
                <w:sz w:val="21"/>
                <w:szCs w:val="21"/>
                <w:highlight w:val="none"/>
              </w:rPr>
            </w:pPr>
          </w:p>
        </w:tc>
        <w:tc>
          <w:tcPr>
            <w:tcW w:w="1727" w:type="dxa"/>
          </w:tcPr>
          <w:p w14:paraId="537F9276">
            <w:pPr>
              <w:pStyle w:val="11"/>
              <w:ind w:firstLine="0"/>
              <w:rPr>
                <w:rFonts w:hint="default" w:ascii="Times New Roman" w:hAnsi="Times New Roman" w:eastAsia="宋体" w:cs="Times New Roman"/>
                <w:color w:val="auto"/>
                <w:sz w:val="21"/>
                <w:szCs w:val="21"/>
                <w:highlight w:val="none"/>
              </w:rPr>
            </w:pPr>
          </w:p>
        </w:tc>
        <w:tc>
          <w:tcPr>
            <w:tcW w:w="1732" w:type="dxa"/>
          </w:tcPr>
          <w:p w14:paraId="3BAD9D50">
            <w:pPr>
              <w:pStyle w:val="11"/>
              <w:ind w:firstLine="0"/>
              <w:rPr>
                <w:rFonts w:hint="default" w:ascii="Times New Roman" w:hAnsi="Times New Roman" w:eastAsia="宋体" w:cs="Times New Roman"/>
                <w:color w:val="auto"/>
                <w:sz w:val="21"/>
                <w:szCs w:val="21"/>
                <w:highlight w:val="none"/>
              </w:rPr>
            </w:pPr>
          </w:p>
        </w:tc>
        <w:tc>
          <w:tcPr>
            <w:tcW w:w="1188" w:type="dxa"/>
          </w:tcPr>
          <w:p w14:paraId="1FF55EDB">
            <w:pPr>
              <w:pStyle w:val="11"/>
              <w:ind w:firstLine="0"/>
              <w:rPr>
                <w:rFonts w:hint="default" w:ascii="Times New Roman" w:hAnsi="Times New Roman" w:eastAsia="宋体" w:cs="Times New Roman"/>
                <w:color w:val="auto"/>
                <w:sz w:val="21"/>
                <w:szCs w:val="21"/>
                <w:highlight w:val="none"/>
              </w:rPr>
            </w:pPr>
          </w:p>
        </w:tc>
      </w:tr>
      <w:tr w14:paraId="5FD8DF7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30" w:hRule="atLeast"/>
        </w:trPr>
        <w:tc>
          <w:tcPr>
            <w:tcW w:w="1082" w:type="dxa"/>
          </w:tcPr>
          <w:p w14:paraId="72CDBF99">
            <w:pPr>
              <w:pStyle w:val="11"/>
              <w:ind w:firstLine="0"/>
              <w:rPr>
                <w:rFonts w:hint="default" w:ascii="Times New Roman" w:hAnsi="Times New Roman" w:eastAsia="宋体" w:cs="Times New Roman"/>
                <w:color w:val="auto"/>
                <w:sz w:val="21"/>
                <w:szCs w:val="21"/>
                <w:highlight w:val="none"/>
              </w:rPr>
            </w:pPr>
          </w:p>
        </w:tc>
        <w:tc>
          <w:tcPr>
            <w:tcW w:w="1919" w:type="dxa"/>
          </w:tcPr>
          <w:p w14:paraId="61B4EBFF">
            <w:pPr>
              <w:pStyle w:val="11"/>
              <w:ind w:firstLine="0"/>
              <w:rPr>
                <w:rFonts w:hint="default" w:ascii="Times New Roman" w:hAnsi="Times New Roman" w:eastAsia="宋体" w:cs="Times New Roman"/>
                <w:color w:val="auto"/>
                <w:sz w:val="21"/>
                <w:szCs w:val="21"/>
                <w:highlight w:val="none"/>
              </w:rPr>
            </w:pPr>
          </w:p>
        </w:tc>
        <w:tc>
          <w:tcPr>
            <w:tcW w:w="1549" w:type="dxa"/>
          </w:tcPr>
          <w:p w14:paraId="68AC8D6C">
            <w:pPr>
              <w:pStyle w:val="11"/>
              <w:ind w:firstLine="0"/>
              <w:rPr>
                <w:rFonts w:hint="default" w:ascii="Times New Roman" w:hAnsi="Times New Roman" w:eastAsia="宋体" w:cs="Times New Roman"/>
                <w:color w:val="auto"/>
                <w:sz w:val="21"/>
                <w:szCs w:val="21"/>
                <w:highlight w:val="none"/>
              </w:rPr>
            </w:pPr>
          </w:p>
        </w:tc>
        <w:tc>
          <w:tcPr>
            <w:tcW w:w="1727" w:type="dxa"/>
          </w:tcPr>
          <w:p w14:paraId="46E0E95E">
            <w:pPr>
              <w:pStyle w:val="11"/>
              <w:ind w:firstLine="0"/>
              <w:rPr>
                <w:rFonts w:hint="default" w:ascii="Times New Roman" w:hAnsi="Times New Roman" w:eastAsia="宋体" w:cs="Times New Roman"/>
                <w:color w:val="auto"/>
                <w:sz w:val="21"/>
                <w:szCs w:val="21"/>
                <w:highlight w:val="none"/>
              </w:rPr>
            </w:pPr>
          </w:p>
        </w:tc>
        <w:tc>
          <w:tcPr>
            <w:tcW w:w="1732" w:type="dxa"/>
          </w:tcPr>
          <w:p w14:paraId="538ABD5A">
            <w:pPr>
              <w:pStyle w:val="11"/>
              <w:ind w:firstLine="0"/>
              <w:rPr>
                <w:rFonts w:hint="default" w:ascii="Times New Roman" w:hAnsi="Times New Roman" w:eastAsia="宋体" w:cs="Times New Roman"/>
                <w:color w:val="auto"/>
                <w:sz w:val="21"/>
                <w:szCs w:val="21"/>
                <w:highlight w:val="none"/>
              </w:rPr>
            </w:pPr>
          </w:p>
        </w:tc>
        <w:tc>
          <w:tcPr>
            <w:tcW w:w="1188" w:type="dxa"/>
          </w:tcPr>
          <w:p w14:paraId="32E2DD64">
            <w:pPr>
              <w:pStyle w:val="11"/>
              <w:ind w:firstLine="0"/>
              <w:rPr>
                <w:rFonts w:hint="default" w:ascii="Times New Roman" w:hAnsi="Times New Roman" w:eastAsia="宋体" w:cs="Times New Roman"/>
                <w:color w:val="auto"/>
                <w:sz w:val="21"/>
                <w:szCs w:val="21"/>
                <w:highlight w:val="none"/>
              </w:rPr>
            </w:pPr>
          </w:p>
        </w:tc>
      </w:tr>
      <w:tr w14:paraId="278BA02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5" w:hRule="atLeast"/>
        </w:trPr>
        <w:tc>
          <w:tcPr>
            <w:tcW w:w="1082" w:type="dxa"/>
          </w:tcPr>
          <w:p w14:paraId="33BA4ACC">
            <w:pPr>
              <w:pStyle w:val="11"/>
              <w:ind w:firstLine="0"/>
              <w:rPr>
                <w:rFonts w:hint="default" w:ascii="Times New Roman" w:hAnsi="Times New Roman" w:eastAsia="宋体" w:cs="Times New Roman"/>
                <w:color w:val="auto"/>
                <w:sz w:val="21"/>
                <w:szCs w:val="21"/>
                <w:highlight w:val="none"/>
              </w:rPr>
            </w:pPr>
          </w:p>
        </w:tc>
        <w:tc>
          <w:tcPr>
            <w:tcW w:w="1919" w:type="dxa"/>
          </w:tcPr>
          <w:p w14:paraId="4D3CEFE4">
            <w:pPr>
              <w:pStyle w:val="11"/>
              <w:ind w:firstLine="0"/>
              <w:rPr>
                <w:rFonts w:hint="default" w:ascii="Times New Roman" w:hAnsi="Times New Roman" w:eastAsia="宋体" w:cs="Times New Roman"/>
                <w:color w:val="auto"/>
                <w:sz w:val="21"/>
                <w:szCs w:val="21"/>
                <w:highlight w:val="none"/>
              </w:rPr>
            </w:pPr>
          </w:p>
        </w:tc>
        <w:tc>
          <w:tcPr>
            <w:tcW w:w="1549" w:type="dxa"/>
          </w:tcPr>
          <w:p w14:paraId="6E870CED">
            <w:pPr>
              <w:pStyle w:val="11"/>
              <w:ind w:firstLine="0"/>
              <w:rPr>
                <w:rFonts w:hint="default" w:ascii="Times New Roman" w:hAnsi="Times New Roman" w:eastAsia="宋体" w:cs="Times New Roman"/>
                <w:color w:val="auto"/>
                <w:sz w:val="21"/>
                <w:szCs w:val="21"/>
                <w:highlight w:val="none"/>
              </w:rPr>
            </w:pPr>
          </w:p>
        </w:tc>
        <w:tc>
          <w:tcPr>
            <w:tcW w:w="1727" w:type="dxa"/>
          </w:tcPr>
          <w:p w14:paraId="7DB321A4">
            <w:pPr>
              <w:pStyle w:val="11"/>
              <w:ind w:firstLine="0"/>
              <w:rPr>
                <w:rFonts w:hint="default" w:ascii="Times New Roman" w:hAnsi="Times New Roman" w:eastAsia="宋体" w:cs="Times New Roman"/>
                <w:color w:val="auto"/>
                <w:sz w:val="21"/>
                <w:szCs w:val="21"/>
                <w:highlight w:val="none"/>
              </w:rPr>
            </w:pPr>
          </w:p>
        </w:tc>
        <w:tc>
          <w:tcPr>
            <w:tcW w:w="1732" w:type="dxa"/>
          </w:tcPr>
          <w:p w14:paraId="190C0E58">
            <w:pPr>
              <w:pStyle w:val="11"/>
              <w:ind w:firstLine="0"/>
              <w:rPr>
                <w:rFonts w:hint="default" w:ascii="Times New Roman" w:hAnsi="Times New Roman" w:eastAsia="宋体" w:cs="Times New Roman"/>
                <w:color w:val="auto"/>
                <w:sz w:val="21"/>
                <w:szCs w:val="21"/>
                <w:highlight w:val="none"/>
              </w:rPr>
            </w:pPr>
          </w:p>
        </w:tc>
        <w:tc>
          <w:tcPr>
            <w:tcW w:w="1188" w:type="dxa"/>
          </w:tcPr>
          <w:p w14:paraId="4A819995">
            <w:pPr>
              <w:pStyle w:val="11"/>
              <w:ind w:firstLine="0"/>
              <w:rPr>
                <w:rFonts w:hint="default" w:ascii="Times New Roman" w:hAnsi="Times New Roman" w:eastAsia="宋体" w:cs="Times New Roman"/>
                <w:color w:val="auto"/>
                <w:sz w:val="21"/>
                <w:szCs w:val="21"/>
                <w:highlight w:val="none"/>
              </w:rPr>
            </w:pPr>
          </w:p>
        </w:tc>
      </w:tr>
      <w:tr w14:paraId="114980E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5" w:hRule="atLeast"/>
        </w:trPr>
        <w:tc>
          <w:tcPr>
            <w:tcW w:w="1082" w:type="dxa"/>
          </w:tcPr>
          <w:p w14:paraId="13FE6CB2">
            <w:pPr>
              <w:pStyle w:val="11"/>
              <w:ind w:firstLine="0"/>
              <w:rPr>
                <w:rFonts w:hint="default" w:ascii="Times New Roman" w:hAnsi="Times New Roman" w:eastAsia="宋体" w:cs="Times New Roman"/>
                <w:color w:val="auto"/>
                <w:sz w:val="21"/>
                <w:szCs w:val="21"/>
                <w:highlight w:val="none"/>
              </w:rPr>
            </w:pPr>
          </w:p>
        </w:tc>
        <w:tc>
          <w:tcPr>
            <w:tcW w:w="1919" w:type="dxa"/>
          </w:tcPr>
          <w:p w14:paraId="60652C16">
            <w:pPr>
              <w:pStyle w:val="11"/>
              <w:ind w:firstLine="0"/>
              <w:rPr>
                <w:rFonts w:hint="default" w:ascii="Times New Roman" w:hAnsi="Times New Roman" w:eastAsia="宋体" w:cs="Times New Roman"/>
                <w:color w:val="auto"/>
                <w:sz w:val="21"/>
                <w:szCs w:val="21"/>
                <w:highlight w:val="none"/>
              </w:rPr>
            </w:pPr>
          </w:p>
        </w:tc>
        <w:tc>
          <w:tcPr>
            <w:tcW w:w="1549" w:type="dxa"/>
          </w:tcPr>
          <w:p w14:paraId="0450BE46">
            <w:pPr>
              <w:pStyle w:val="11"/>
              <w:ind w:firstLine="0"/>
              <w:rPr>
                <w:rFonts w:hint="default" w:ascii="Times New Roman" w:hAnsi="Times New Roman" w:eastAsia="宋体" w:cs="Times New Roman"/>
                <w:color w:val="auto"/>
                <w:sz w:val="21"/>
                <w:szCs w:val="21"/>
                <w:highlight w:val="none"/>
              </w:rPr>
            </w:pPr>
          </w:p>
        </w:tc>
        <w:tc>
          <w:tcPr>
            <w:tcW w:w="1727" w:type="dxa"/>
          </w:tcPr>
          <w:p w14:paraId="7BFFFAA9">
            <w:pPr>
              <w:pStyle w:val="11"/>
              <w:ind w:firstLine="0"/>
              <w:rPr>
                <w:rFonts w:hint="default" w:ascii="Times New Roman" w:hAnsi="Times New Roman" w:eastAsia="宋体" w:cs="Times New Roman"/>
                <w:color w:val="auto"/>
                <w:sz w:val="21"/>
                <w:szCs w:val="21"/>
                <w:highlight w:val="none"/>
              </w:rPr>
            </w:pPr>
          </w:p>
        </w:tc>
        <w:tc>
          <w:tcPr>
            <w:tcW w:w="1732" w:type="dxa"/>
          </w:tcPr>
          <w:p w14:paraId="1D0F789F">
            <w:pPr>
              <w:pStyle w:val="11"/>
              <w:ind w:firstLine="0"/>
              <w:rPr>
                <w:rFonts w:hint="default" w:ascii="Times New Roman" w:hAnsi="Times New Roman" w:eastAsia="宋体" w:cs="Times New Roman"/>
                <w:color w:val="auto"/>
                <w:sz w:val="21"/>
                <w:szCs w:val="21"/>
                <w:highlight w:val="none"/>
              </w:rPr>
            </w:pPr>
          </w:p>
        </w:tc>
        <w:tc>
          <w:tcPr>
            <w:tcW w:w="1188" w:type="dxa"/>
          </w:tcPr>
          <w:p w14:paraId="3FC6A9CB">
            <w:pPr>
              <w:pStyle w:val="11"/>
              <w:ind w:firstLine="0"/>
              <w:rPr>
                <w:rFonts w:hint="default" w:ascii="Times New Roman" w:hAnsi="Times New Roman" w:eastAsia="宋体" w:cs="Times New Roman"/>
                <w:color w:val="auto"/>
                <w:sz w:val="21"/>
                <w:szCs w:val="21"/>
                <w:highlight w:val="none"/>
              </w:rPr>
            </w:pPr>
          </w:p>
        </w:tc>
      </w:tr>
      <w:tr w14:paraId="13A5EFC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5" w:hRule="atLeast"/>
        </w:trPr>
        <w:tc>
          <w:tcPr>
            <w:tcW w:w="1082" w:type="dxa"/>
          </w:tcPr>
          <w:p w14:paraId="7813216C">
            <w:pPr>
              <w:pStyle w:val="11"/>
              <w:ind w:firstLine="0"/>
              <w:rPr>
                <w:rFonts w:hint="default" w:ascii="Times New Roman" w:hAnsi="Times New Roman" w:eastAsia="宋体" w:cs="Times New Roman"/>
                <w:color w:val="auto"/>
                <w:sz w:val="21"/>
                <w:szCs w:val="21"/>
                <w:highlight w:val="none"/>
              </w:rPr>
            </w:pPr>
          </w:p>
        </w:tc>
        <w:tc>
          <w:tcPr>
            <w:tcW w:w="1919" w:type="dxa"/>
          </w:tcPr>
          <w:p w14:paraId="78FE19F7">
            <w:pPr>
              <w:pStyle w:val="11"/>
              <w:ind w:firstLine="0"/>
              <w:rPr>
                <w:rFonts w:hint="default" w:ascii="Times New Roman" w:hAnsi="Times New Roman" w:eastAsia="宋体" w:cs="Times New Roman"/>
                <w:color w:val="auto"/>
                <w:sz w:val="21"/>
                <w:szCs w:val="21"/>
                <w:highlight w:val="none"/>
              </w:rPr>
            </w:pPr>
          </w:p>
        </w:tc>
        <w:tc>
          <w:tcPr>
            <w:tcW w:w="1549" w:type="dxa"/>
          </w:tcPr>
          <w:p w14:paraId="2CAC1397">
            <w:pPr>
              <w:pStyle w:val="11"/>
              <w:ind w:firstLine="0"/>
              <w:rPr>
                <w:rFonts w:hint="default" w:ascii="Times New Roman" w:hAnsi="Times New Roman" w:eastAsia="宋体" w:cs="Times New Roman"/>
                <w:color w:val="auto"/>
                <w:sz w:val="21"/>
                <w:szCs w:val="21"/>
                <w:highlight w:val="none"/>
              </w:rPr>
            </w:pPr>
          </w:p>
        </w:tc>
        <w:tc>
          <w:tcPr>
            <w:tcW w:w="1727" w:type="dxa"/>
          </w:tcPr>
          <w:p w14:paraId="03635DC5">
            <w:pPr>
              <w:pStyle w:val="11"/>
              <w:ind w:firstLine="0"/>
              <w:rPr>
                <w:rFonts w:hint="default" w:ascii="Times New Roman" w:hAnsi="Times New Roman" w:eastAsia="宋体" w:cs="Times New Roman"/>
                <w:color w:val="auto"/>
                <w:sz w:val="21"/>
                <w:szCs w:val="21"/>
                <w:highlight w:val="none"/>
              </w:rPr>
            </w:pPr>
          </w:p>
        </w:tc>
        <w:tc>
          <w:tcPr>
            <w:tcW w:w="1732" w:type="dxa"/>
          </w:tcPr>
          <w:p w14:paraId="4162798A">
            <w:pPr>
              <w:pStyle w:val="11"/>
              <w:ind w:firstLine="0"/>
              <w:rPr>
                <w:rFonts w:hint="default" w:ascii="Times New Roman" w:hAnsi="Times New Roman" w:eastAsia="宋体" w:cs="Times New Roman"/>
                <w:color w:val="auto"/>
                <w:sz w:val="21"/>
                <w:szCs w:val="21"/>
                <w:highlight w:val="none"/>
              </w:rPr>
            </w:pPr>
          </w:p>
        </w:tc>
        <w:tc>
          <w:tcPr>
            <w:tcW w:w="1188" w:type="dxa"/>
          </w:tcPr>
          <w:p w14:paraId="3F553FA2">
            <w:pPr>
              <w:pStyle w:val="11"/>
              <w:ind w:firstLine="0"/>
              <w:rPr>
                <w:rFonts w:hint="default" w:ascii="Times New Roman" w:hAnsi="Times New Roman" w:eastAsia="宋体" w:cs="Times New Roman"/>
                <w:color w:val="auto"/>
                <w:sz w:val="21"/>
                <w:szCs w:val="21"/>
                <w:highlight w:val="none"/>
              </w:rPr>
            </w:pPr>
          </w:p>
        </w:tc>
      </w:tr>
      <w:tr w14:paraId="0051FC1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30" w:hRule="atLeast"/>
        </w:trPr>
        <w:tc>
          <w:tcPr>
            <w:tcW w:w="1082" w:type="dxa"/>
          </w:tcPr>
          <w:p w14:paraId="1AF1A90A">
            <w:pPr>
              <w:pStyle w:val="11"/>
              <w:ind w:firstLine="0"/>
              <w:rPr>
                <w:rFonts w:hint="default" w:ascii="Times New Roman" w:hAnsi="Times New Roman" w:eastAsia="宋体" w:cs="Times New Roman"/>
                <w:color w:val="auto"/>
                <w:sz w:val="21"/>
                <w:szCs w:val="21"/>
                <w:highlight w:val="none"/>
              </w:rPr>
            </w:pPr>
          </w:p>
        </w:tc>
        <w:tc>
          <w:tcPr>
            <w:tcW w:w="1919" w:type="dxa"/>
          </w:tcPr>
          <w:p w14:paraId="57487399">
            <w:pPr>
              <w:pStyle w:val="11"/>
              <w:ind w:firstLine="0"/>
              <w:rPr>
                <w:rFonts w:hint="default" w:ascii="Times New Roman" w:hAnsi="Times New Roman" w:eastAsia="宋体" w:cs="Times New Roman"/>
                <w:color w:val="auto"/>
                <w:sz w:val="21"/>
                <w:szCs w:val="21"/>
                <w:highlight w:val="none"/>
              </w:rPr>
            </w:pPr>
          </w:p>
        </w:tc>
        <w:tc>
          <w:tcPr>
            <w:tcW w:w="1549" w:type="dxa"/>
          </w:tcPr>
          <w:p w14:paraId="5C977F05">
            <w:pPr>
              <w:pStyle w:val="11"/>
              <w:ind w:firstLine="0"/>
              <w:rPr>
                <w:rFonts w:hint="default" w:ascii="Times New Roman" w:hAnsi="Times New Roman" w:eastAsia="宋体" w:cs="Times New Roman"/>
                <w:color w:val="auto"/>
                <w:sz w:val="21"/>
                <w:szCs w:val="21"/>
                <w:highlight w:val="none"/>
              </w:rPr>
            </w:pPr>
          </w:p>
        </w:tc>
        <w:tc>
          <w:tcPr>
            <w:tcW w:w="1727" w:type="dxa"/>
          </w:tcPr>
          <w:p w14:paraId="0C842FA8">
            <w:pPr>
              <w:pStyle w:val="11"/>
              <w:ind w:firstLine="0"/>
              <w:rPr>
                <w:rFonts w:hint="default" w:ascii="Times New Roman" w:hAnsi="Times New Roman" w:eastAsia="宋体" w:cs="Times New Roman"/>
                <w:color w:val="auto"/>
                <w:sz w:val="21"/>
                <w:szCs w:val="21"/>
                <w:highlight w:val="none"/>
              </w:rPr>
            </w:pPr>
          </w:p>
        </w:tc>
        <w:tc>
          <w:tcPr>
            <w:tcW w:w="1732" w:type="dxa"/>
          </w:tcPr>
          <w:p w14:paraId="3FC8507E">
            <w:pPr>
              <w:pStyle w:val="11"/>
              <w:ind w:firstLine="0"/>
              <w:rPr>
                <w:rFonts w:hint="default" w:ascii="Times New Roman" w:hAnsi="Times New Roman" w:eastAsia="宋体" w:cs="Times New Roman"/>
                <w:color w:val="auto"/>
                <w:sz w:val="21"/>
                <w:szCs w:val="21"/>
                <w:highlight w:val="none"/>
              </w:rPr>
            </w:pPr>
          </w:p>
        </w:tc>
        <w:tc>
          <w:tcPr>
            <w:tcW w:w="1188" w:type="dxa"/>
          </w:tcPr>
          <w:p w14:paraId="2D1EFE1D">
            <w:pPr>
              <w:pStyle w:val="11"/>
              <w:ind w:firstLine="0"/>
              <w:rPr>
                <w:rFonts w:hint="default" w:ascii="Times New Roman" w:hAnsi="Times New Roman" w:eastAsia="宋体" w:cs="Times New Roman"/>
                <w:color w:val="auto"/>
                <w:sz w:val="21"/>
                <w:szCs w:val="21"/>
                <w:highlight w:val="none"/>
              </w:rPr>
            </w:pPr>
          </w:p>
        </w:tc>
      </w:tr>
      <w:tr w14:paraId="7994AC8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5" w:hRule="atLeast"/>
        </w:trPr>
        <w:tc>
          <w:tcPr>
            <w:tcW w:w="1082" w:type="dxa"/>
          </w:tcPr>
          <w:p w14:paraId="712C7EBF">
            <w:pPr>
              <w:pStyle w:val="11"/>
              <w:ind w:firstLine="0"/>
              <w:rPr>
                <w:rFonts w:hint="default" w:ascii="Times New Roman" w:hAnsi="Times New Roman" w:eastAsia="宋体" w:cs="Times New Roman"/>
                <w:color w:val="auto"/>
                <w:sz w:val="21"/>
                <w:szCs w:val="21"/>
                <w:highlight w:val="none"/>
              </w:rPr>
            </w:pPr>
          </w:p>
        </w:tc>
        <w:tc>
          <w:tcPr>
            <w:tcW w:w="1919" w:type="dxa"/>
          </w:tcPr>
          <w:p w14:paraId="3F3A7BE6">
            <w:pPr>
              <w:pStyle w:val="11"/>
              <w:ind w:firstLine="0"/>
              <w:rPr>
                <w:rFonts w:hint="default" w:ascii="Times New Roman" w:hAnsi="Times New Roman" w:eastAsia="宋体" w:cs="Times New Roman"/>
                <w:color w:val="auto"/>
                <w:sz w:val="21"/>
                <w:szCs w:val="21"/>
                <w:highlight w:val="none"/>
              </w:rPr>
            </w:pPr>
          </w:p>
        </w:tc>
        <w:tc>
          <w:tcPr>
            <w:tcW w:w="1549" w:type="dxa"/>
          </w:tcPr>
          <w:p w14:paraId="379856F6">
            <w:pPr>
              <w:pStyle w:val="11"/>
              <w:ind w:firstLine="0"/>
              <w:rPr>
                <w:rFonts w:hint="default" w:ascii="Times New Roman" w:hAnsi="Times New Roman" w:eastAsia="宋体" w:cs="Times New Roman"/>
                <w:color w:val="auto"/>
                <w:sz w:val="21"/>
                <w:szCs w:val="21"/>
                <w:highlight w:val="none"/>
              </w:rPr>
            </w:pPr>
          </w:p>
        </w:tc>
        <w:tc>
          <w:tcPr>
            <w:tcW w:w="1727" w:type="dxa"/>
          </w:tcPr>
          <w:p w14:paraId="253372B7">
            <w:pPr>
              <w:pStyle w:val="11"/>
              <w:ind w:firstLine="0"/>
              <w:rPr>
                <w:rFonts w:hint="default" w:ascii="Times New Roman" w:hAnsi="Times New Roman" w:eastAsia="宋体" w:cs="Times New Roman"/>
                <w:color w:val="auto"/>
                <w:sz w:val="21"/>
                <w:szCs w:val="21"/>
                <w:highlight w:val="none"/>
              </w:rPr>
            </w:pPr>
          </w:p>
        </w:tc>
        <w:tc>
          <w:tcPr>
            <w:tcW w:w="1732" w:type="dxa"/>
          </w:tcPr>
          <w:p w14:paraId="4F5F93F7">
            <w:pPr>
              <w:pStyle w:val="11"/>
              <w:ind w:firstLine="0"/>
              <w:rPr>
                <w:rFonts w:hint="default" w:ascii="Times New Roman" w:hAnsi="Times New Roman" w:eastAsia="宋体" w:cs="Times New Roman"/>
                <w:color w:val="auto"/>
                <w:sz w:val="21"/>
                <w:szCs w:val="21"/>
                <w:highlight w:val="none"/>
              </w:rPr>
            </w:pPr>
          </w:p>
        </w:tc>
        <w:tc>
          <w:tcPr>
            <w:tcW w:w="1188" w:type="dxa"/>
          </w:tcPr>
          <w:p w14:paraId="315E0EFA">
            <w:pPr>
              <w:pStyle w:val="11"/>
              <w:ind w:firstLine="0"/>
              <w:rPr>
                <w:rFonts w:hint="default" w:ascii="Times New Roman" w:hAnsi="Times New Roman" w:eastAsia="宋体" w:cs="Times New Roman"/>
                <w:color w:val="auto"/>
                <w:sz w:val="21"/>
                <w:szCs w:val="21"/>
                <w:highlight w:val="none"/>
              </w:rPr>
            </w:pPr>
          </w:p>
        </w:tc>
      </w:tr>
      <w:tr w14:paraId="31095EE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5" w:hRule="atLeast"/>
        </w:trPr>
        <w:tc>
          <w:tcPr>
            <w:tcW w:w="1082" w:type="dxa"/>
          </w:tcPr>
          <w:p w14:paraId="4FB194FB">
            <w:pPr>
              <w:pStyle w:val="11"/>
              <w:ind w:firstLine="0"/>
              <w:rPr>
                <w:rFonts w:hint="default" w:ascii="Times New Roman" w:hAnsi="Times New Roman" w:eastAsia="宋体" w:cs="Times New Roman"/>
                <w:color w:val="auto"/>
                <w:sz w:val="21"/>
                <w:szCs w:val="21"/>
                <w:highlight w:val="none"/>
              </w:rPr>
            </w:pPr>
          </w:p>
        </w:tc>
        <w:tc>
          <w:tcPr>
            <w:tcW w:w="1919" w:type="dxa"/>
          </w:tcPr>
          <w:p w14:paraId="7CF22347">
            <w:pPr>
              <w:pStyle w:val="11"/>
              <w:ind w:firstLine="0"/>
              <w:rPr>
                <w:rFonts w:hint="default" w:ascii="Times New Roman" w:hAnsi="Times New Roman" w:eastAsia="宋体" w:cs="Times New Roman"/>
                <w:color w:val="auto"/>
                <w:sz w:val="21"/>
                <w:szCs w:val="21"/>
                <w:highlight w:val="none"/>
              </w:rPr>
            </w:pPr>
          </w:p>
        </w:tc>
        <w:tc>
          <w:tcPr>
            <w:tcW w:w="1549" w:type="dxa"/>
          </w:tcPr>
          <w:p w14:paraId="5B8778C1">
            <w:pPr>
              <w:pStyle w:val="11"/>
              <w:ind w:firstLine="0"/>
              <w:rPr>
                <w:rFonts w:hint="default" w:ascii="Times New Roman" w:hAnsi="Times New Roman" w:eastAsia="宋体" w:cs="Times New Roman"/>
                <w:color w:val="auto"/>
                <w:sz w:val="21"/>
                <w:szCs w:val="21"/>
                <w:highlight w:val="none"/>
              </w:rPr>
            </w:pPr>
          </w:p>
        </w:tc>
        <w:tc>
          <w:tcPr>
            <w:tcW w:w="1727" w:type="dxa"/>
          </w:tcPr>
          <w:p w14:paraId="049CEA07">
            <w:pPr>
              <w:pStyle w:val="11"/>
              <w:ind w:firstLine="0"/>
              <w:rPr>
                <w:rFonts w:hint="default" w:ascii="Times New Roman" w:hAnsi="Times New Roman" w:eastAsia="宋体" w:cs="Times New Roman"/>
                <w:color w:val="auto"/>
                <w:sz w:val="21"/>
                <w:szCs w:val="21"/>
                <w:highlight w:val="none"/>
              </w:rPr>
            </w:pPr>
          </w:p>
        </w:tc>
        <w:tc>
          <w:tcPr>
            <w:tcW w:w="1732" w:type="dxa"/>
          </w:tcPr>
          <w:p w14:paraId="336EFF9B">
            <w:pPr>
              <w:pStyle w:val="11"/>
              <w:ind w:firstLine="0"/>
              <w:rPr>
                <w:rFonts w:hint="default" w:ascii="Times New Roman" w:hAnsi="Times New Roman" w:eastAsia="宋体" w:cs="Times New Roman"/>
                <w:color w:val="auto"/>
                <w:sz w:val="21"/>
                <w:szCs w:val="21"/>
                <w:highlight w:val="none"/>
              </w:rPr>
            </w:pPr>
          </w:p>
        </w:tc>
        <w:tc>
          <w:tcPr>
            <w:tcW w:w="1188" w:type="dxa"/>
          </w:tcPr>
          <w:p w14:paraId="35026530">
            <w:pPr>
              <w:pStyle w:val="11"/>
              <w:ind w:firstLine="0"/>
              <w:rPr>
                <w:rFonts w:hint="default" w:ascii="Times New Roman" w:hAnsi="Times New Roman" w:eastAsia="宋体" w:cs="Times New Roman"/>
                <w:color w:val="auto"/>
                <w:sz w:val="21"/>
                <w:szCs w:val="21"/>
                <w:highlight w:val="none"/>
              </w:rPr>
            </w:pPr>
          </w:p>
        </w:tc>
      </w:tr>
      <w:tr w14:paraId="2B01F01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5" w:hRule="atLeast"/>
        </w:trPr>
        <w:tc>
          <w:tcPr>
            <w:tcW w:w="1082" w:type="dxa"/>
          </w:tcPr>
          <w:p w14:paraId="68E3832D">
            <w:pPr>
              <w:pStyle w:val="11"/>
              <w:ind w:firstLine="0"/>
              <w:rPr>
                <w:rFonts w:hint="default" w:ascii="Times New Roman" w:hAnsi="Times New Roman" w:eastAsia="宋体" w:cs="Times New Roman"/>
                <w:color w:val="auto"/>
                <w:sz w:val="21"/>
                <w:szCs w:val="21"/>
                <w:highlight w:val="none"/>
              </w:rPr>
            </w:pPr>
          </w:p>
        </w:tc>
        <w:tc>
          <w:tcPr>
            <w:tcW w:w="1919" w:type="dxa"/>
          </w:tcPr>
          <w:p w14:paraId="26C402AD">
            <w:pPr>
              <w:pStyle w:val="11"/>
              <w:ind w:firstLine="0"/>
              <w:rPr>
                <w:rFonts w:hint="default" w:ascii="Times New Roman" w:hAnsi="Times New Roman" w:eastAsia="宋体" w:cs="Times New Roman"/>
                <w:color w:val="auto"/>
                <w:sz w:val="21"/>
                <w:szCs w:val="21"/>
                <w:highlight w:val="none"/>
              </w:rPr>
            </w:pPr>
          </w:p>
        </w:tc>
        <w:tc>
          <w:tcPr>
            <w:tcW w:w="1549" w:type="dxa"/>
          </w:tcPr>
          <w:p w14:paraId="210F2ADC">
            <w:pPr>
              <w:pStyle w:val="11"/>
              <w:ind w:firstLine="0"/>
              <w:rPr>
                <w:rFonts w:hint="default" w:ascii="Times New Roman" w:hAnsi="Times New Roman" w:eastAsia="宋体" w:cs="Times New Roman"/>
                <w:color w:val="auto"/>
                <w:sz w:val="21"/>
                <w:szCs w:val="21"/>
                <w:highlight w:val="none"/>
              </w:rPr>
            </w:pPr>
          </w:p>
        </w:tc>
        <w:tc>
          <w:tcPr>
            <w:tcW w:w="1727" w:type="dxa"/>
          </w:tcPr>
          <w:p w14:paraId="3EA2690D">
            <w:pPr>
              <w:pStyle w:val="11"/>
              <w:ind w:firstLine="0"/>
              <w:rPr>
                <w:rFonts w:hint="default" w:ascii="Times New Roman" w:hAnsi="Times New Roman" w:eastAsia="宋体" w:cs="Times New Roman"/>
                <w:color w:val="auto"/>
                <w:sz w:val="21"/>
                <w:szCs w:val="21"/>
                <w:highlight w:val="none"/>
              </w:rPr>
            </w:pPr>
          </w:p>
        </w:tc>
        <w:tc>
          <w:tcPr>
            <w:tcW w:w="1732" w:type="dxa"/>
          </w:tcPr>
          <w:p w14:paraId="321D9978">
            <w:pPr>
              <w:pStyle w:val="11"/>
              <w:ind w:firstLine="0"/>
              <w:rPr>
                <w:rFonts w:hint="default" w:ascii="Times New Roman" w:hAnsi="Times New Roman" w:eastAsia="宋体" w:cs="Times New Roman"/>
                <w:color w:val="auto"/>
                <w:sz w:val="21"/>
                <w:szCs w:val="21"/>
                <w:highlight w:val="none"/>
              </w:rPr>
            </w:pPr>
          </w:p>
        </w:tc>
        <w:tc>
          <w:tcPr>
            <w:tcW w:w="1188" w:type="dxa"/>
          </w:tcPr>
          <w:p w14:paraId="765DADF7">
            <w:pPr>
              <w:pStyle w:val="11"/>
              <w:ind w:firstLine="0"/>
              <w:rPr>
                <w:rFonts w:hint="default" w:ascii="Times New Roman" w:hAnsi="Times New Roman" w:eastAsia="宋体" w:cs="Times New Roman"/>
                <w:color w:val="auto"/>
                <w:sz w:val="21"/>
                <w:szCs w:val="21"/>
                <w:highlight w:val="none"/>
              </w:rPr>
            </w:pPr>
          </w:p>
        </w:tc>
      </w:tr>
      <w:tr w14:paraId="2017393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5" w:hRule="atLeast"/>
        </w:trPr>
        <w:tc>
          <w:tcPr>
            <w:tcW w:w="1082" w:type="dxa"/>
          </w:tcPr>
          <w:p w14:paraId="485E2E16">
            <w:pPr>
              <w:pStyle w:val="11"/>
              <w:ind w:firstLine="0"/>
              <w:rPr>
                <w:rFonts w:hint="default" w:ascii="Times New Roman" w:hAnsi="Times New Roman" w:eastAsia="宋体" w:cs="Times New Roman"/>
                <w:color w:val="auto"/>
                <w:sz w:val="21"/>
                <w:szCs w:val="21"/>
                <w:highlight w:val="none"/>
              </w:rPr>
            </w:pPr>
          </w:p>
        </w:tc>
        <w:tc>
          <w:tcPr>
            <w:tcW w:w="1919" w:type="dxa"/>
          </w:tcPr>
          <w:p w14:paraId="2E570658">
            <w:pPr>
              <w:pStyle w:val="11"/>
              <w:ind w:firstLine="0"/>
              <w:rPr>
                <w:rFonts w:hint="default" w:ascii="Times New Roman" w:hAnsi="Times New Roman" w:eastAsia="宋体" w:cs="Times New Roman"/>
                <w:color w:val="auto"/>
                <w:sz w:val="21"/>
                <w:szCs w:val="21"/>
                <w:highlight w:val="none"/>
              </w:rPr>
            </w:pPr>
          </w:p>
        </w:tc>
        <w:tc>
          <w:tcPr>
            <w:tcW w:w="1549" w:type="dxa"/>
          </w:tcPr>
          <w:p w14:paraId="60721D9C">
            <w:pPr>
              <w:pStyle w:val="11"/>
              <w:ind w:firstLine="0"/>
              <w:rPr>
                <w:rFonts w:hint="default" w:ascii="Times New Roman" w:hAnsi="Times New Roman" w:eastAsia="宋体" w:cs="Times New Roman"/>
                <w:color w:val="auto"/>
                <w:sz w:val="21"/>
                <w:szCs w:val="21"/>
                <w:highlight w:val="none"/>
              </w:rPr>
            </w:pPr>
          </w:p>
        </w:tc>
        <w:tc>
          <w:tcPr>
            <w:tcW w:w="1727" w:type="dxa"/>
          </w:tcPr>
          <w:p w14:paraId="28347296">
            <w:pPr>
              <w:pStyle w:val="11"/>
              <w:ind w:firstLine="0"/>
              <w:rPr>
                <w:rFonts w:hint="default" w:ascii="Times New Roman" w:hAnsi="Times New Roman" w:eastAsia="宋体" w:cs="Times New Roman"/>
                <w:color w:val="auto"/>
                <w:sz w:val="21"/>
                <w:szCs w:val="21"/>
                <w:highlight w:val="none"/>
              </w:rPr>
            </w:pPr>
          </w:p>
        </w:tc>
        <w:tc>
          <w:tcPr>
            <w:tcW w:w="1732" w:type="dxa"/>
          </w:tcPr>
          <w:p w14:paraId="33FA422A">
            <w:pPr>
              <w:pStyle w:val="11"/>
              <w:ind w:firstLine="0"/>
              <w:rPr>
                <w:rFonts w:hint="default" w:ascii="Times New Roman" w:hAnsi="Times New Roman" w:eastAsia="宋体" w:cs="Times New Roman"/>
                <w:color w:val="auto"/>
                <w:sz w:val="21"/>
                <w:szCs w:val="21"/>
                <w:highlight w:val="none"/>
              </w:rPr>
            </w:pPr>
          </w:p>
        </w:tc>
        <w:tc>
          <w:tcPr>
            <w:tcW w:w="1188" w:type="dxa"/>
          </w:tcPr>
          <w:p w14:paraId="4569DA0E">
            <w:pPr>
              <w:pStyle w:val="11"/>
              <w:ind w:firstLine="0"/>
              <w:rPr>
                <w:rFonts w:hint="default" w:ascii="Times New Roman" w:hAnsi="Times New Roman" w:eastAsia="宋体" w:cs="Times New Roman"/>
                <w:color w:val="auto"/>
                <w:sz w:val="21"/>
                <w:szCs w:val="21"/>
                <w:highlight w:val="none"/>
              </w:rPr>
            </w:pPr>
          </w:p>
        </w:tc>
      </w:tr>
      <w:tr w14:paraId="3241362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30" w:hRule="atLeast"/>
        </w:trPr>
        <w:tc>
          <w:tcPr>
            <w:tcW w:w="1082" w:type="dxa"/>
          </w:tcPr>
          <w:p w14:paraId="76BEE168">
            <w:pPr>
              <w:pStyle w:val="11"/>
              <w:ind w:firstLine="0"/>
              <w:rPr>
                <w:rFonts w:hint="default" w:ascii="Times New Roman" w:hAnsi="Times New Roman" w:eastAsia="宋体" w:cs="Times New Roman"/>
                <w:color w:val="auto"/>
                <w:sz w:val="21"/>
                <w:szCs w:val="21"/>
                <w:highlight w:val="none"/>
              </w:rPr>
            </w:pPr>
          </w:p>
        </w:tc>
        <w:tc>
          <w:tcPr>
            <w:tcW w:w="1919" w:type="dxa"/>
          </w:tcPr>
          <w:p w14:paraId="2E8471A4">
            <w:pPr>
              <w:pStyle w:val="11"/>
              <w:ind w:firstLine="0"/>
              <w:rPr>
                <w:rFonts w:hint="default" w:ascii="Times New Roman" w:hAnsi="Times New Roman" w:eastAsia="宋体" w:cs="Times New Roman"/>
                <w:color w:val="auto"/>
                <w:sz w:val="21"/>
                <w:szCs w:val="21"/>
                <w:highlight w:val="none"/>
              </w:rPr>
            </w:pPr>
          </w:p>
        </w:tc>
        <w:tc>
          <w:tcPr>
            <w:tcW w:w="1549" w:type="dxa"/>
          </w:tcPr>
          <w:p w14:paraId="7980B404">
            <w:pPr>
              <w:pStyle w:val="11"/>
              <w:ind w:firstLine="0"/>
              <w:rPr>
                <w:rFonts w:hint="default" w:ascii="Times New Roman" w:hAnsi="Times New Roman" w:eastAsia="宋体" w:cs="Times New Roman"/>
                <w:color w:val="auto"/>
                <w:sz w:val="21"/>
                <w:szCs w:val="21"/>
                <w:highlight w:val="none"/>
              </w:rPr>
            </w:pPr>
          </w:p>
        </w:tc>
        <w:tc>
          <w:tcPr>
            <w:tcW w:w="1727" w:type="dxa"/>
          </w:tcPr>
          <w:p w14:paraId="1FDDF159">
            <w:pPr>
              <w:pStyle w:val="11"/>
              <w:ind w:firstLine="0"/>
              <w:rPr>
                <w:rFonts w:hint="default" w:ascii="Times New Roman" w:hAnsi="Times New Roman" w:eastAsia="宋体" w:cs="Times New Roman"/>
                <w:color w:val="auto"/>
                <w:sz w:val="21"/>
                <w:szCs w:val="21"/>
                <w:highlight w:val="none"/>
              </w:rPr>
            </w:pPr>
          </w:p>
        </w:tc>
        <w:tc>
          <w:tcPr>
            <w:tcW w:w="1732" w:type="dxa"/>
          </w:tcPr>
          <w:p w14:paraId="71D04AB8">
            <w:pPr>
              <w:pStyle w:val="11"/>
              <w:ind w:firstLine="0"/>
              <w:rPr>
                <w:rFonts w:hint="default" w:ascii="Times New Roman" w:hAnsi="Times New Roman" w:eastAsia="宋体" w:cs="Times New Roman"/>
                <w:color w:val="auto"/>
                <w:sz w:val="21"/>
                <w:szCs w:val="21"/>
                <w:highlight w:val="none"/>
              </w:rPr>
            </w:pPr>
          </w:p>
        </w:tc>
        <w:tc>
          <w:tcPr>
            <w:tcW w:w="1188" w:type="dxa"/>
          </w:tcPr>
          <w:p w14:paraId="500B53A9">
            <w:pPr>
              <w:pStyle w:val="11"/>
              <w:ind w:firstLine="0"/>
              <w:rPr>
                <w:rFonts w:hint="default" w:ascii="Times New Roman" w:hAnsi="Times New Roman" w:eastAsia="宋体" w:cs="Times New Roman"/>
                <w:color w:val="auto"/>
                <w:sz w:val="21"/>
                <w:szCs w:val="21"/>
                <w:highlight w:val="none"/>
              </w:rPr>
            </w:pPr>
          </w:p>
        </w:tc>
      </w:tr>
      <w:tr w14:paraId="4568EE5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1082" w:type="dxa"/>
          </w:tcPr>
          <w:p w14:paraId="1ADE0D29">
            <w:pPr>
              <w:pStyle w:val="11"/>
              <w:ind w:firstLine="0"/>
              <w:rPr>
                <w:rFonts w:hint="default" w:ascii="Times New Roman" w:hAnsi="Times New Roman" w:eastAsia="宋体" w:cs="Times New Roman"/>
                <w:color w:val="auto"/>
                <w:sz w:val="21"/>
                <w:szCs w:val="21"/>
                <w:highlight w:val="none"/>
              </w:rPr>
            </w:pPr>
          </w:p>
        </w:tc>
        <w:tc>
          <w:tcPr>
            <w:tcW w:w="1919" w:type="dxa"/>
          </w:tcPr>
          <w:p w14:paraId="59622BCF">
            <w:pPr>
              <w:pStyle w:val="11"/>
              <w:ind w:firstLine="0"/>
              <w:rPr>
                <w:rFonts w:hint="default" w:ascii="Times New Roman" w:hAnsi="Times New Roman" w:eastAsia="宋体" w:cs="Times New Roman"/>
                <w:color w:val="auto"/>
                <w:sz w:val="21"/>
                <w:szCs w:val="21"/>
                <w:highlight w:val="none"/>
              </w:rPr>
            </w:pPr>
          </w:p>
        </w:tc>
        <w:tc>
          <w:tcPr>
            <w:tcW w:w="1549" w:type="dxa"/>
          </w:tcPr>
          <w:p w14:paraId="40EFBACA">
            <w:pPr>
              <w:pStyle w:val="11"/>
              <w:ind w:firstLine="0"/>
              <w:rPr>
                <w:rFonts w:hint="default" w:ascii="Times New Roman" w:hAnsi="Times New Roman" w:eastAsia="宋体" w:cs="Times New Roman"/>
                <w:color w:val="auto"/>
                <w:sz w:val="21"/>
                <w:szCs w:val="21"/>
                <w:highlight w:val="none"/>
              </w:rPr>
            </w:pPr>
          </w:p>
        </w:tc>
        <w:tc>
          <w:tcPr>
            <w:tcW w:w="1727" w:type="dxa"/>
          </w:tcPr>
          <w:p w14:paraId="1ACC4D07">
            <w:pPr>
              <w:pStyle w:val="11"/>
              <w:ind w:firstLine="0"/>
              <w:rPr>
                <w:rFonts w:hint="default" w:ascii="Times New Roman" w:hAnsi="Times New Roman" w:eastAsia="宋体" w:cs="Times New Roman"/>
                <w:color w:val="auto"/>
                <w:sz w:val="21"/>
                <w:szCs w:val="21"/>
                <w:highlight w:val="none"/>
              </w:rPr>
            </w:pPr>
          </w:p>
        </w:tc>
        <w:tc>
          <w:tcPr>
            <w:tcW w:w="1732" w:type="dxa"/>
          </w:tcPr>
          <w:p w14:paraId="4326C33D">
            <w:pPr>
              <w:pStyle w:val="11"/>
              <w:ind w:firstLine="0"/>
              <w:rPr>
                <w:rFonts w:hint="default" w:ascii="Times New Roman" w:hAnsi="Times New Roman" w:eastAsia="宋体" w:cs="Times New Roman"/>
                <w:color w:val="auto"/>
                <w:sz w:val="21"/>
                <w:szCs w:val="21"/>
                <w:highlight w:val="none"/>
              </w:rPr>
            </w:pPr>
          </w:p>
        </w:tc>
        <w:tc>
          <w:tcPr>
            <w:tcW w:w="1188" w:type="dxa"/>
          </w:tcPr>
          <w:p w14:paraId="6E7D894F">
            <w:pPr>
              <w:pStyle w:val="11"/>
              <w:ind w:firstLine="0"/>
              <w:rPr>
                <w:rFonts w:hint="default" w:ascii="Times New Roman" w:hAnsi="Times New Roman" w:eastAsia="宋体" w:cs="Times New Roman"/>
                <w:color w:val="auto"/>
                <w:sz w:val="21"/>
                <w:szCs w:val="21"/>
                <w:highlight w:val="none"/>
              </w:rPr>
            </w:pPr>
          </w:p>
        </w:tc>
      </w:tr>
    </w:tbl>
    <w:p w14:paraId="62EDA54F">
      <w:pPr>
        <w:tabs>
          <w:tab w:val="left" w:pos="1680"/>
        </w:tabs>
        <w:snapToGrid w:val="0"/>
        <w:spacing w:line="360" w:lineRule="exact"/>
        <w:ind w:left="480" w:right="-42" w:rightChars="-20" w:hanging="420" w:hangingChars="200"/>
        <w:rPr>
          <w:rFonts w:hint="default" w:ascii="Times New Roman" w:hAnsi="Times New Roman" w:eastAsia="宋体" w:cs="Times New Roman"/>
          <w:caps/>
          <w:color w:val="auto"/>
          <w:sz w:val="21"/>
          <w:szCs w:val="21"/>
          <w:highlight w:val="none"/>
        </w:rPr>
      </w:pPr>
      <w:r>
        <w:rPr>
          <w:rFonts w:hint="default" w:ascii="Times New Roman" w:hAnsi="Times New Roman" w:eastAsia="宋体" w:cs="Times New Roman"/>
          <w:caps/>
          <w:color w:val="auto"/>
          <w:sz w:val="21"/>
          <w:szCs w:val="21"/>
          <w:highlight w:val="none"/>
        </w:rPr>
        <w:t>注：1、投标人应随此表后附相关的业绩证明（</w:t>
      </w:r>
      <w:r>
        <w:rPr>
          <w:rFonts w:hint="eastAsia" w:cs="Times New Roman"/>
          <w:caps/>
          <w:color w:val="auto"/>
          <w:sz w:val="21"/>
          <w:szCs w:val="21"/>
          <w:highlight w:val="none"/>
          <w:lang w:eastAsia="zh-CN"/>
        </w:rPr>
        <w:t>需提供相应的合同扫描件（包含首页、盖章页、关键信息页）及合同对应的任意发票，以上材料提供扫描件</w:t>
      </w:r>
      <w:r>
        <w:rPr>
          <w:rFonts w:hint="default" w:ascii="Times New Roman" w:hAnsi="Times New Roman" w:eastAsia="宋体" w:cs="Times New Roman"/>
          <w:caps/>
          <w:color w:val="auto"/>
          <w:sz w:val="21"/>
          <w:szCs w:val="21"/>
          <w:highlight w:val="none"/>
        </w:rPr>
        <w:t>）</w:t>
      </w:r>
      <w:bookmarkStart w:id="33" w:name="_GoBack"/>
      <w:bookmarkEnd w:id="33"/>
    </w:p>
    <w:p w14:paraId="1F5F8B2F">
      <w:pPr>
        <w:tabs>
          <w:tab w:val="left" w:pos="1680"/>
        </w:tabs>
        <w:snapToGrid w:val="0"/>
        <w:spacing w:line="360" w:lineRule="exact"/>
        <w:rPr>
          <w:rFonts w:hint="default" w:ascii="Times New Roman" w:hAnsi="Times New Roman" w:eastAsia="宋体" w:cs="Times New Roman"/>
          <w:caps/>
          <w:color w:val="auto"/>
          <w:sz w:val="21"/>
          <w:szCs w:val="21"/>
          <w:highlight w:val="none"/>
        </w:rPr>
      </w:pPr>
      <w:r>
        <w:rPr>
          <w:rFonts w:hint="default" w:ascii="Times New Roman" w:hAnsi="Times New Roman" w:eastAsia="宋体" w:cs="Times New Roman"/>
          <w:caps/>
          <w:color w:val="auto"/>
          <w:sz w:val="21"/>
          <w:szCs w:val="21"/>
          <w:highlight w:val="none"/>
        </w:rPr>
        <w:t xml:space="preserve">    2、如有多个</w:t>
      </w:r>
      <w:r>
        <w:rPr>
          <w:rFonts w:hint="default" w:ascii="Times New Roman" w:hAnsi="Times New Roman" w:eastAsia="宋体" w:cs="Times New Roman"/>
          <w:caps/>
          <w:color w:val="auto"/>
          <w:sz w:val="21"/>
          <w:szCs w:val="21"/>
          <w:highlight w:val="none"/>
          <w:lang w:eastAsia="zh-CN"/>
        </w:rPr>
        <w:t>同类</w:t>
      </w:r>
      <w:r>
        <w:rPr>
          <w:rFonts w:hint="default" w:ascii="Times New Roman" w:hAnsi="Times New Roman" w:eastAsia="宋体" w:cs="Times New Roman"/>
          <w:caps/>
          <w:color w:val="auto"/>
          <w:sz w:val="21"/>
          <w:szCs w:val="21"/>
          <w:highlight w:val="none"/>
        </w:rPr>
        <w:t>项目，可按此表格扩展。</w:t>
      </w:r>
    </w:p>
    <w:p w14:paraId="31FC3EE1">
      <w:pPr>
        <w:spacing w:line="440" w:lineRule="exact"/>
        <w:rPr>
          <w:rFonts w:hint="default" w:ascii="Times New Roman" w:hAnsi="Times New Roman" w:eastAsia="宋体" w:cs="Times New Roman"/>
          <w:color w:val="auto"/>
          <w:sz w:val="21"/>
          <w:szCs w:val="21"/>
          <w:highlight w:val="none"/>
        </w:rPr>
      </w:pPr>
    </w:p>
    <w:p w14:paraId="535ACF94">
      <w:pPr>
        <w:keepNext w:val="0"/>
        <w:keepLines w:val="0"/>
        <w:pageBreakBefore w:val="0"/>
        <w:widowControl w:val="0"/>
        <w:kinsoku/>
        <w:wordWrap/>
        <w:overflowPunct/>
        <w:topLinePunct w:val="0"/>
        <w:autoSpaceDE/>
        <w:autoSpaceDN/>
        <w:bidi w:val="0"/>
        <w:adjustRightInd/>
        <w:snapToGrid w:val="0"/>
        <w:spacing w:line="480" w:lineRule="exact"/>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                           投标人：</w:t>
      </w:r>
      <w:r>
        <w:rPr>
          <w:rFonts w:hint="default" w:ascii="Times New Roman" w:hAnsi="Times New Roman" w:eastAsia="宋体" w:cs="Times New Roman"/>
          <w:color w:val="auto"/>
          <w:sz w:val="21"/>
          <w:szCs w:val="21"/>
          <w:highlight w:val="none"/>
          <w:u w:val="single"/>
        </w:rPr>
        <w:t xml:space="preserve">       </w:t>
      </w:r>
      <w:r>
        <w:rPr>
          <w:rFonts w:hint="eastAsia" w:ascii="Times New Roman" w:hAnsi="Times New Roman" w:eastAsia="宋体" w:cs="Times New Roman"/>
          <w:color w:val="auto"/>
          <w:sz w:val="21"/>
          <w:szCs w:val="21"/>
          <w:highlight w:val="none"/>
          <w:u w:val="single"/>
          <w:lang w:val="en-US" w:eastAsia="zh-CN"/>
        </w:rPr>
        <w:t xml:space="preserve">   </w:t>
      </w:r>
      <w:r>
        <w:rPr>
          <w:rFonts w:hint="default" w:ascii="Times New Roman" w:hAnsi="Times New Roman" w:eastAsia="宋体" w:cs="Times New Roman"/>
          <w:color w:val="auto"/>
          <w:sz w:val="21"/>
          <w:szCs w:val="21"/>
          <w:highlight w:val="none"/>
          <w:u w:val="single"/>
        </w:rPr>
        <w:t xml:space="preserve">            （单位全称、盖章）</w:t>
      </w:r>
    </w:p>
    <w:p w14:paraId="73E2171B">
      <w:pPr>
        <w:keepNext w:val="0"/>
        <w:keepLines w:val="0"/>
        <w:pageBreakBefore w:val="0"/>
        <w:widowControl w:val="0"/>
        <w:kinsoku/>
        <w:wordWrap/>
        <w:overflowPunct/>
        <w:topLinePunct w:val="0"/>
        <w:autoSpaceDE/>
        <w:autoSpaceDN/>
        <w:bidi w:val="0"/>
        <w:adjustRightInd/>
        <w:snapToGrid w:val="0"/>
        <w:spacing w:line="480" w:lineRule="exact"/>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                           法定代表人或授权代表：</w:t>
      </w:r>
      <w:r>
        <w:rPr>
          <w:rFonts w:hint="default" w:ascii="Times New Roman" w:hAnsi="Times New Roman" w:eastAsia="宋体" w:cs="Times New Roman"/>
          <w:color w:val="auto"/>
          <w:sz w:val="21"/>
          <w:szCs w:val="21"/>
          <w:highlight w:val="none"/>
          <w:u w:val="single"/>
        </w:rPr>
        <w:t xml:space="preserve">   （</w:t>
      </w:r>
      <w:r>
        <w:rPr>
          <w:rFonts w:hint="eastAsia" w:cs="Times New Roman"/>
          <w:color w:val="auto"/>
          <w:sz w:val="21"/>
          <w:szCs w:val="21"/>
          <w:highlight w:val="none"/>
          <w:u w:val="single"/>
          <w:lang w:eastAsia="zh-CN"/>
        </w:rPr>
        <w:t>盖章或签字</w:t>
      </w:r>
      <w:r>
        <w:rPr>
          <w:rFonts w:hint="default" w:ascii="Times New Roman" w:hAnsi="Times New Roman" w:eastAsia="宋体" w:cs="Times New Roman"/>
          <w:color w:val="auto"/>
          <w:sz w:val="21"/>
          <w:szCs w:val="21"/>
          <w:highlight w:val="none"/>
          <w:u w:val="single"/>
        </w:rPr>
        <w:t xml:space="preserve">）           </w:t>
      </w:r>
    </w:p>
    <w:p w14:paraId="74996205">
      <w:pPr>
        <w:keepNext w:val="0"/>
        <w:keepLines w:val="0"/>
        <w:pageBreakBefore w:val="0"/>
        <w:widowControl w:val="0"/>
        <w:kinsoku/>
        <w:wordWrap/>
        <w:overflowPunct/>
        <w:topLinePunct w:val="0"/>
        <w:autoSpaceDE/>
        <w:autoSpaceDN/>
        <w:bidi w:val="0"/>
        <w:adjustRightInd/>
        <w:snapToGrid w:val="0"/>
        <w:spacing w:line="480" w:lineRule="exact"/>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                           投标日期：</w:t>
      </w:r>
      <w:r>
        <w:rPr>
          <w:rFonts w:hint="default" w:ascii="Times New Roman" w:hAnsi="Times New Roman" w:eastAsia="宋体" w:cs="Times New Roman"/>
          <w:color w:val="auto"/>
          <w:sz w:val="21"/>
          <w:szCs w:val="21"/>
          <w:highlight w:val="none"/>
          <w:u w:val="single"/>
        </w:rPr>
        <w:t xml:space="preserve">        </w:t>
      </w:r>
      <w:r>
        <w:rPr>
          <w:rFonts w:hint="default" w:ascii="Times New Roman" w:hAnsi="Times New Roman" w:eastAsia="宋体" w:cs="Times New Roman"/>
          <w:color w:val="auto"/>
          <w:sz w:val="21"/>
          <w:szCs w:val="21"/>
          <w:highlight w:val="none"/>
        </w:rPr>
        <w:t>年</w:t>
      </w:r>
      <w:r>
        <w:rPr>
          <w:rFonts w:hint="default" w:ascii="Times New Roman" w:hAnsi="Times New Roman" w:eastAsia="宋体" w:cs="Times New Roman"/>
          <w:color w:val="auto"/>
          <w:sz w:val="21"/>
          <w:szCs w:val="21"/>
          <w:highlight w:val="none"/>
          <w:u w:val="single"/>
        </w:rPr>
        <w:t xml:space="preserve">    </w:t>
      </w:r>
      <w:r>
        <w:rPr>
          <w:rFonts w:hint="default" w:ascii="Times New Roman" w:hAnsi="Times New Roman" w:eastAsia="宋体" w:cs="Times New Roman"/>
          <w:color w:val="auto"/>
          <w:sz w:val="21"/>
          <w:szCs w:val="21"/>
          <w:highlight w:val="none"/>
        </w:rPr>
        <w:t>月</w:t>
      </w:r>
      <w:r>
        <w:rPr>
          <w:rFonts w:hint="default" w:ascii="Times New Roman" w:hAnsi="Times New Roman" w:eastAsia="宋体" w:cs="Times New Roman"/>
          <w:color w:val="auto"/>
          <w:sz w:val="21"/>
          <w:szCs w:val="21"/>
          <w:highlight w:val="none"/>
          <w:u w:val="single"/>
        </w:rPr>
        <w:t xml:space="preserve">    </w:t>
      </w:r>
      <w:r>
        <w:rPr>
          <w:rFonts w:hint="default" w:ascii="Times New Roman" w:hAnsi="Times New Roman" w:eastAsia="宋体" w:cs="Times New Roman"/>
          <w:color w:val="auto"/>
          <w:sz w:val="21"/>
          <w:szCs w:val="21"/>
          <w:highlight w:val="none"/>
        </w:rPr>
        <w:t>日</w:t>
      </w:r>
    </w:p>
    <w:p w14:paraId="72156AE3">
      <w:pPr>
        <w:spacing w:line="440" w:lineRule="exact"/>
        <w:rPr>
          <w:rFonts w:hint="eastAsia" w:ascii="宋体" w:hAnsi="宋体" w:cs="宋体"/>
          <w:b/>
          <w:szCs w:val="21"/>
        </w:rPr>
      </w:pPr>
      <w:bookmarkStart w:id="21" w:name="_Toc30379"/>
      <w:bookmarkStart w:id="22" w:name="_Toc28712"/>
    </w:p>
    <w:p w14:paraId="7ABFCFE9">
      <w:pPr>
        <w:rPr>
          <w:rFonts w:hint="eastAsia"/>
          <w:b/>
          <w:bCs/>
          <w:color w:val="auto"/>
          <w:sz w:val="36"/>
          <w:szCs w:val="36"/>
          <w:highlight w:val="none"/>
          <w:lang w:val="en-US" w:eastAsia="zh-CN"/>
        </w:rPr>
      </w:pPr>
    </w:p>
    <w:p w14:paraId="1B5A5B89">
      <w:pPr>
        <w:jc w:val="center"/>
        <w:rPr>
          <w:rFonts w:hint="eastAsia"/>
          <w:b/>
          <w:bCs/>
          <w:color w:val="auto"/>
          <w:sz w:val="36"/>
          <w:szCs w:val="36"/>
          <w:highlight w:val="none"/>
          <w:lang w:val="en-US" w:eastAsia="zh-CN"/>
        </w:rPr>
      </w:pPr>
    </w:p>
    <w:p w14:paraId="1D002890">
      <w:pPr>
        <w:jc w:val="center"/>
        <w:rPr>
          <w:rFonts w:hint="eastAsia" w:ascii="宋体" w:hAnsi="宋体" w:eastAsia="宋体" w:cs="宋体"/>
          <w:b/>
          <w:bCs/>
          <w:color w:val="auto"/>
          <w:kern w:val="2"/>
          <w:sz w:val="36"/>
          <w:szCs w:val="36"/>
          <w:highlight w:val="none"/>
          <w:lang w:val="en-US" w:eastAsia="zh-CN" w:bidi="ar-SA"/>
        </w:rPr>
      </w:pPr>
      <w:r>
        <w:rPr>
          <w:rFonts w:hint="eastAsia"/>
          <w:b/>
          <w:bCs/>
          <w:color w:val="auto"/>
          <w:sz w:val="36"/>
          <w:szCs w:val="36"/>
          <w:highlight w:val="none"/>
          <w:lang w:val="en-US" w:eastAsia="zh-CN"/>
        </w:rPr>
        <w:t>四、</w:t>
      </w:r>
      <w:bookmarkEnd w:id="21"/>
      <w:bookmarkEnd w:id="22"/>
      <w:r>
        <w:rPr>
          <w:rFonts w:hint="eastAsia"/>
          <w:b/>
          <w:bCs/>
          <w:color w:val="auto"/>
          <w:sz w:val="36"/>
          <w:szCs w:val="36"/>
          <w:highlight w:val="none"/>
          <w:lang w:val="en-US" w:eastAsia="zh-CN"/>
        </w:rPr>
        <w:t>投标方案说明书</w:t>
      </w:r>
    </w:p>
    <w:p w14:paraId="0953F13A">
      <w:pPr>
        <w:rPr>
          <w:rFonts w:hint="eastAsia"/>
          <w:color w:val="auto"/>
          <w:highlight w:val="none"/>
        </w:rPr>
      </w:pPr>
    </w:p>
    <w:p w14:paraId="559D1D32">
      <w:pPr>
        <w:pStyle w:val="11"/>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0" w:firstLineChars="0"/>
        <w:jc w:val="both"/>
        <w:textAlignment w:val="auto"/>
        <w:outlineLvl w:val="9"/>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 xml:space="preserve">    投标人应根据第四章“</w:t>
      </w:r>
      <w:r>
        <w:rPr>
          <w:rFonts w:hint="eastAsia" w:cs="Times New Roman"/>
          <w:color w:val="auto"/>
          <w:sz w:val="21"/>
          <w:szCs w:val="21"/>
          <w:highlight w:val="none"/>
          <w:lang w:val="en-US" w:eastAsia="zh-CN"/>
        </w:rPr>
        <w:t>采购</w:t>
      </w:r>
      <w:r>
        <w:rPr>
          <w:rFonts w:hint="eastAsia" w:ascii="Times New Roman" w:hAnsi="Times New Roman" w:eastAsia="宋体" w:cs="Times New Roman"/>
          <w:color w:val="auto"/>
          <w:sz w:val="21"/>
          <w:szCs w:val="21"/>
          <w:highlight w:val="none"/>
          <w:lang w:val="en-US" w:eastAsia="zh-CN"/>
        </w:rPr>
        <w:t>内容及要求”及第三章“评分办法”</w:t>
      </w:r>
      <w:r>
        <w:rPr>
          <w:rFonts w:hint="eastAsia" w:cs="Times New Roman"/>
          <w:color w:val="auto"/>
          <w:sz w:val="21"/>
          <w:szCs w:val="21"/>
          <w:highlight w:val="none"/>
          <w:lang w:val="en-US" w:eastAsia="zh-CN"/>
        </w:rPr>
        <w:t>进行编制</w:t>
      </w:r>
      <w:r>
        <w:rPr>
          <w:rFonts w:hint="eastAsia" w:ascii="Times New Roman" w:hAnsi="Times New Roman" w:eastAsia="宋体" w:cs="Times New Roman"/>
          <w:color w:val="auto"/>
          <w:sz w:val="21"/>
          <w:szCs w:val="21"/>
          <w:highlight w:val="none"/>
          <w:lang w:val="en-US" w:eastAsia="zh-CN"/>
        </w:rPr>
        <w:t>，</w:t>
      </w:r>
      <w:r>
        <w:rPr>
          <w:rFonts w:hint="eastAsia" w:cs="Times New Roman"/>
          <w:color w:val="auto"/>
          <w:sz w:val="21"/>
          <w:szCs w:val="21"/>
          <w:highlight w:val="none"/>
          <w:lang w:eastAsia="zh-CN"/>
        </w:rPr>
        <w:t>格式自拟。</w:t>
      </w:r>
    </w:p>
    <w:p w14:paraId="57AA4030">
      <w:pPr>
        <w:spacing w:line="440" w:lineRule="exact"/>
        <w:rPr>
          <w:rFonts w:hint="eastAsia" w:ascii="Tahoma" w:hAnsi="Tahoma"/>
          <w:b/>
          <w:bCs/>
          <w:color w:val="auto"/>
          <w:sz w:val="21"/>
          <w:szCs w:val="21"/>
          <w:highlight w:val="none"/>
          <w:lang w:eastAsia="zh-CN"/>
        </w:rPr>
      </w:pPr>
    </w:p>
    <w:p w14:paraId="263324F1">
      <w:pPr>
        <w:spacing w:line="440" w:lineRule="exact"/>
        <w:rPr>
          <w:rFonts w:hint="eastAsia" w:ascii="Tahoma" w:hAnsi="Tahoma"/>
          <w:b/>
          <w:bCs/>
          <w:color w:val="auto"/>
          <w:sz w:val="21"/>
          <w:szCs w:val="21"/>
          <w:highlight w:val="none"/>
          <w:lang w:eastAsia="zh-CN"/>
        </w:rPr>
      </w:pPr>
    </w:p>
    <w:p w14:paraId="061115CD">
      <w:pPr>
        <w:spacing w:line="440" w:lineRule="exact"/>
        <w:rPr>
          <w:rFonts w:hint="eastAsia" w:ascii="Tahoma" w:hAnsi="Tahoma"/>
          <w:b/>
          <w:bCs/>
          <w:color w:val="auto"/>
          <w:sz w:val="21"/>
          <w:szCs w:val="21"/>
          <w:highlight w:val="none"/>
          <w:lang w:eastAsia="zh-CN"/>
        </w:rPr>
      </w:pPr>
    </w:p>
    <w:p w14:paraId="2CAC4CC6">
      <w:pPr>
        <w:spacing w:line="440" w:lineRule="exact"/>
        <w:rPr>
          <w:rFonts w:hint="eastAsia" w:ascii="Tahoma" w:hAnsi="Tahoma"/>
          <w:b/>
          <w:bCs/>
          <w:color w:val="auto"/>
          <w:sz w:val="21"/>
          <w:szCs w:val="21"/>
          <w:highlight w:val="none"/>
          <w:lang w:eastAsia="zh-CN"/>
        </w:rPr>
      </w:pPr>
    </w:p>
    <w:p w14:paraId="3D6A8066">
      <w:pPr>
        <w:spacing w:line="440" w:lineRule="exact"/>
        <w:rPr>
          <w:rFonts w:hint="eastAsia" w:ascii="Tahoma" w:hAnsi="Tahoma"/>
          <w:b/>
          <w:bCs/>
          <w:color w:val="auto"/>
          <w:sz w:val="21"/>
          <w:szCs w:val="21"/>
          <w:highlight w:val="none"/>
          <w:lang w:eastAsia="zh-CN"/>
        </w:rPr>
      </w:pPr>
    </w:p>
    <w:p w14:paraId="72D97193">
      <w:pPr>
        <w:spacing w:line="440" w:lineRule="exact"/>
        <w:rPr>
          <w:rFonts w:hint="eastAsia" w:ascii="Tahoma" w:hAnsi="Tahoma"/>
          <w:b/>
          <w:bCs/>
          <w:color w:val="auto"/>
          <w:sz w:val="21"/>
          <w:szCs w:val="21"/>
          <w:highlight w:val="none"/>
          <w:lang w:eastAsia="zh-CN"/>
        </w:rPr>
      </w:pPr>
    </w:p>
    <w:p w14:paraId="5B7CDF99">
      <w:pPr>
        <w:spacing w:line="440" w:lineRule="exact"/>
        <w:rPr>
          <w:rFonts w:hint="eastAsia" w:ascii="Tahoma" w:hAnsi="Tahoma"/>
          <w:b/>
          <w:bCs/>
          <w:color w:val="auto"/>
          <w:sz w:val="21"/>
          <w:szCs w:val="21"/>
          <w:highlight w:val="none"/>
          <w:lang w:eastAsia="zh-CN"/>
        </w:rPr>
      </w:pPr>
    </w:p>
    <w:p w14:paraId="2F02FC73">
      <w:pPr>
        <w:spacing w:line="440" w:lineRule="exact"/>
        <w:rPr>
          <w:rFonts w:hint="eastAsia" w:ascii="Tahoma" w:hAnsi="Tahoma"/>
          <w:b/>
          <w:bCs/>
          <w:color w:val="auto"/>
          <w:sz w:val="21"/>
          <w:szCs w:val="21"/>
          <w:highlight w:val="none"/>
          <w:lang w:eastAsia="zh-CN"/>
        </w:rPr>
      </w:pPr>
    </w:p>
    <w:p w14:paraId="136D4464">
      <w:pPr>
        <w:spacing w:line="440" w:lineRule="exact"/>
        <w:rPr>
          <w:rFonts w:hint="eastAsia" w:ascii="Tahoma" w:hAnsi="Tahoma"/>
          <w:b/>
          <w:bCs/>
          <w:color w:val="auto"/>
          <w:sz w:val="21"/>
          <w:szCs w:val="21"/>
          <w:highlight w:val="none"/>
          <w:lang w:eastAsia="zh-CN"/>
        </w:rPr>
      </w:pPr>
    </w:p>
    <w:p w14:paraId="62F9EDB1">
      <w:pPr>
        <w:spacing w:line="440" w:lineRule="exact"/>
        <w:rPr>
          <w:rFonts w:hint="eastAsia" w:ascii="Tahoma" w:hAnsi="Tahoma"/>
          <w:b/>
          <w:bCs/>
          <w:color w:val="auto"/>
          <w:sz w:val="21"/>
          <w:szCs w:val="21"/>
          <w:highlight w:val="none"/>
          <w:lang w:eastAsia="zh-CN"/>
        </w:rPr>
      </w:pPr>
    </w:p>
    <w:p w14:paraId="2CA92333">
      <w:pPr>
        <w:spacing w:line="440" w:lineRule="exact"/>
        <w:rPr>
          <w:rFonts w:hint="eastAsia" w:ascii="Tahoma" w:hAnsi="Tahoma"/>
          <w:b/>
          <w:bCs/>
          <w:color w:val="auto"/>
          <w:sz w:val="21"/>
          <w:szCs w:val="21"/>
          <w:highlight w:val="none"/>
          <w:lang w:eastAsia="zh-CN"/>
        </w:rPr>
      </w:pPr>
    </w:p>
    <w:p w14:paraId="4E2D504C">
      <w:pPr>
        <w:spacing w:line="440" w:lineRule="exact"/>
        <w:rPr>
          <w:rFonts w:hint="eastAsia" w:ascii="Tahoma" w:hAnsi="Tahoma"/>
          <w:b/>
          <w:bCs/>
          <w:color w:val="auto"/>
          <w:sz w:val="21"/>
          <w:szCs w:val="21"/>
          <w:highlight w:val="none"/>
          <w:lang w:eastAsia="zh-CN"/>
        </w:rPr>
      </w:pPr>
    </w:p>
    <w:p w14:paraId="68414268">
      <w:pPr>
        <w:spacing w:line="440" w:lineRule="exact"/>
        <w:rPr>
          <w:rFonts w:hint="eastAsia" w:ascii="Tahoma" w:hAnsi="Tahoma"/>
          <w:b/>
          <w:bCs/>
          <w:color w:val="auto"/>
          <w:sz w:val="21"/>
          <w:szCs w:val="21"/>
          <w:highlight w:val="none"/>
          <w:lang w:eastAsia="zh-CN"/>
        </w:rPr>
      </w:pPr>
    </w:p>
    <w:p w14:paraId="14C5CE35">
      <w:pPr>
        <w:spacing w:line="440" w:lineRule="exact"/>
        <w:rPr>
          <w:rFonts w:hint="eastAsia" w:ascii="Tahoma" w:hAnsi="Tahoma"/>
          <w:b/>
          <w:bCs/>
          <w:color w:val="auto"/>
          <w:sz w:val="21"/>
          <w:szCs w:val="21"/>
          <w:highlight w:val="none"/>
          <w:lang w:eastAsia="zh-CN"/>
        </w:rPr>
      </w:pPr>
    </w:p>
    <w:p w14:paraId="2424E1F9">
      <w:pPr>
        <w:spacing w:line="440" w:lineRule="exact"/>
        <w:rPr>
          <w:rFonts w:hint="eastAsia" w:ascii="Tahoma" w:hAnsi="Tahoma"/>
          <w:b/>
          <w:bCs/>
          <w:color w:val="auto"/>
          <w:sz w:val="21"/>
          <w:szCs w:val="21"/>
          <w:highlight w:val="none"/>
          <w:lang w:eastAsia="zh-CN"/>
        </w:rPr>
      </w:pPr>
    </w:p>
    <w:p w14:paraId="6B5B54D6">
      <w:pPr>
        <w:spacing w:line="440" w:lineRule="exact"/>
        <w:rPr>
          <w:rFonts w:hint="eastAsia" w:ascii="Tahoma" w:hAnsi="Tahoma"/>
          <w:b/>
          <w:bCs/>
          <w:color w:val="auto"/>
          <w:sz w:val="21"/>
          <w:szCs w:val="21"/>
          <w:highlight w:val="none"/>
          <w:lang w:eastAsia="zh-CN"/>
        </w:rPr>
      </w:pPr>
    </w:p>
    <w:p w14:paraId="6A8FD6B5">
      <w:pPr>
        <w:spacing w:line="440" w:lineRule="exact"/>
        <w:rPr>
          <w:rFonts w:hint="eastAsia" w:ascii="Tahoma" w:hAnsi="Tahoma"/>
          <w:b/>
          <w:bCs/>
          <w:color w:val="auto"/>
          <w:sz w:val="21"/>
          <w:szCs w:val="21"/>
          <w:highlight w:val="none"/>
          <w:lang w:eastAsia="zh-CN"/>
        </w:rPr>
      </w:pPr>
    </w:p>
    <w:p w14:paraId="03F4CEE5">
      <w:pPr>
        <w:spacing w:line="440" w:lineRule="exact"/>
        <w:rPr>
          <w:rFonts w:hint="eastAsia" w:ascii="Tahoma" w:hAnsi="Tahoma"/>
          <w:b/>
          <w:bCs/>
          <w:color w:val="auto"/>
          <w:sz w:val="21"/>
          <w:szCs w:val="21"/>
          <w:highlight w:val="none"/>
          <w:lang w:eastAsia="zh-CN"/>
        </w:rPr>
      </w:pPr>
    </w:p>
    <w:p w14:paraId="2138B081">
      <w:pPr>
        <w:spacing w:line="440" w:lineRule="exact"/>
        <w:ind w:firstLine="420" w:firstLineChars="200"/>
        <w:rPr>
          <w:szCs w:val="21"/>
          <w:highlight w:val="none"/>
        </w:rPr>
      </w:pPr>
    </w:p>
    <w:p w14:paraId="19488E20">
      <w:pPr>
        <w:spacing w:line="440" w:lineRule="exact"/>
        <w:rPr>
          <w:rFonts w:hint="eastAsia"/>
          <w:szCs w:val="21"/>
          <w:highlight w:val="none"/>
        </w:rPr>
      </w:pPr>
    </w:p>
    <w:p w14:paraId="0B92B36D">
      <w:pPr>
        <w:spacing w:line="440" w:lineRule="exact"/>
        <w:rPr>
          <w:rFonts w:hint="eastAsia"/>
          <w:szCs w:val="21"/>
          <w:highlight w:val="none"/>
        </w:rPr>
      </w:pPr>
    </w:p>
    <w:p w14:paraId="21385B93">
      <w:pPr>
        <w:spacing w:line="440" w:lineRule="exact"/>
        <w:rPr>
          <w:rFonts w:hint="eastAsia"/>
          <w:szCs w:val="21"/>
          <w:highlight w:val="none"/>
        </w:rPr>
      </w:pPr>
    </w:p>
    <w:p w14:paraId="0A6B74D3">
      <w:pPr>
        <w:spacing w:line="440" w:lineRule="exact"/>
        <w:rPr>
          <w:rFonts w:hint="eastAsia"/>
          <w:szCs w:val="21"/>
          <w:highlight w:val="none"/>
        </w:rPr>
      </w:pPr>
    </w:p>
    <w:p w14:paraId="47FB47F2">
      <w:pPr>
        <w:spacing w:line="440" w:lineRule="exact"/>
        <w:rPr>
          <w:rFonts w:hint="eastAsia" w:ascii="Tahoma" w:hAnsi="Tahoma"/>
          <w:b/>
          <w:bCs/>
          <w:color w:val="auto"/>
          <w:sz w:val="21"/>
          <w:szCs w:val="21"/>
          <w:highlight w:val="none"/>
          <w:lang w:eastAsia="zh-CN"/>
        </w:rPr>
      </w:pPr>
    </w:p>
    <w:p w14:paraId="4022BEFF">
      <w:pPr>
        <w:pStyle w:val="17"/>
        <w:rPr>
          <w:rFonts w:hint="eastAsia" w:ascii="Tahoma" w:hAnsi="Tahoma"/>
          <w:b/>
          <w:bCs/>
          <w:color w:val="auto"/>
          <w:sz w:val="21"/>
          <w:szCs w:val="21"/>
          <w:highlight w:val="none"/>
          <w:lang w:eastAsia="zh-CN"/>
        </w:rPr>
      </w:pPr>
    </w:p>
    <w:p w14:paraId="0B449AE6">
      <w:pPr>
        <w:pStyle w:val="18"/>
        <w:rPr>
          <w:rFonts w:hint="eastAsia" w:ascii="Tahoma" w:hAnsi="Tahoma"/>
          <w:b/>
          <w:bCs/>
          <w:color w:val="auto"/>
          <w:sz w:val="21"/>
          <w:szCs w:val="21"/>
          <w:highlight w:val="none"/>
          <w:lang w:eastAsia="zh-CN"/>
        </w:rPr>
      </w:pPr>
    </w:p>
    <w:p w14:paraId="084E5A97">
      <w:pPr>
        <w:pStyle w:val="18"/>
        <w:rPr>
          <w:rFonts w:hint="eastAsia" w:ascii="Tahoma" w:hAnsi="Tahoma"/>
          <w:b/>
          <w:bCs/>
          <w:color w:val="auto"/>
          <w:sz w:val="21"/>
          <w:szCs w:val="21"/>
          <w:highlight w:val="none"/>
          <w:lang w:eastAsia="zh-CN"/>
        </w:rPr>
      </w:pPr>
    </w:p>
    <w:p w14:paraId="511B2F62">
      <w:pPr>
        <w:pStyle w:val="18"/>
        <w:rPr>
          <w:rFonts w:hint="eastAsia" w:ascii="Tahoma" w:hAnsi="Tahoma"/>
          <w:b/>
          <w:bCs/>
          <w:color w:val="auto"/>
          <w:sz w:val="21"/>
          <w:szCs w:val="21"/>
          <w:highlight w:val="none"/>
          <w:lang w:eastAsia="zh-CN"/>
        </w:rPr>
      </w:pPr>
    </w:p>
    <w:p w14:paraId="15F21DDE">
      <w:pPr>
        <w:rPr>
          <w:rFonts w:hint="default" w:ascii="Tahoma" w:hAnsi="Tahoma"/>
          <w:b/>
          <w:bCs/>
          <w:color w:val="auto"/>
          <w:sz w:val="21"/>
          <w:szCs w:val="21"/>
          <w:highlight w:val="none"/>
          <w:lang w:val="en-US" w:eastAsia="zh-CN"/>
        </w:rPr>
      </w:pPr>
    </w:p>
    <w:p w14:paraId="4BDCAF03">
      <w:pPr>
        <w:keepNext w:val="0"/>
        <w:keepLines w:val="0"/>
        <w:pageBreakBefore w:val="0"/>
        <w:widowControl w:val="0"/>
        <w:kinsoku/>
        <w:wordWrap/>
        <w:overflowPunct/>
        <w:topLinePunct w:val="0"/>
        <w:autoSpaceDE/>
        <w:autoSpaceDN/>
        <w:bidi w:val="0"/>
        <w:adjustRightInd/>
        <w:snapToGrid/>
        <w:spacing w:before="0" w:beforeLines="100" w:after="0" w:afterLines="50" w:line="560" w:lineRule="exact"/>
        <w:ind w:left="0" w:leftChars="0" w:right="0" w:rightChars="0" w:firstLine="0" w:firstLineChars="0"/>
        <w:jc w:val="center"/>
        <w:textAlignment w:val="auto"/>
        <w:outlineLvl w:val="9"/>
        <w:rPr>
          <w:rFonts w:hint="eastAsia" w:ascii="宋体" w:hAnsi="宋体" w:cs="宋体"/>
          <w:b/>
          <w:bCs/>
          <w:color w:val="000000"/>
          <w:sz w:val="36"/>
          <w:szCs w:val="36"/>
          <w:highlight w:val="none"/>
        </w:rPr>
      </w:pPr>
      <w:r>
        <w:rPr>
          <w:rFonts w:hint="eastAsia" w:ascii="宋体" w:hAnsi="宋体" w:cs="宋体"/>
          <w:b/>
          <w:bCs/>
          <w:color w:val="000000"/>
          <w:sz w:val="36"/>
          <w:szCs w:val="36"/>
          <w:highlight w:val="none"/>
          <w:lang w:eastAsia="zh-CN"/>
        </w:rPr>
        <w:t>商务条款</w:t>
      </w:r>
      <w:r>
        <w:rPr>
          <w:rFonts w:hint="eastAsia" w:ascii="宋体" w:hAnsi="宋体" w:cs="宋体"/>
          <w:b/>
          <w:bCs/>
          <w:color w:val="000000"/>
          <w:sz w:val="36"/>
          <w:szCs w:val="36"/>
          <w:highlight w:val="none"/>
        </w:rPr>
        <w:t>偏离表</w:t>
      </w:r>
    </w:p>
    <w:p w14:paraId="3AEA7665">
      <w:pPr>
        <w:numPr>
          <w:ilvl w:val="0"/>
          <w:numId w:val="0"/>
        </w:numPr>
        <w:spacing w:line="560" w:lineRule="exact"/>
        <w:jc w:val="both"/>
        <w:rPr>
          <w:rFonts w:hint="eastAsia" w:ascii="宋体" w:hAnsi="宋体" w:cs="宋体"/>
          <w:b/>
          <w:bCs/>
          <w:color w:val="000000"/>
          <w:sz w:val="36"/>
          <w:szCs w:val="36"/>
          <w:highlight w:val="none"/>
        </w:rPr>
      </w:pPr>
      <w:r>
        <w:rPr>
          <w:rFonts w:hint="eastAsia" w:ascii="宋体" w:hAnsi="宋体"/>
          <w:szCs w:val="21"/>
          <w:highlight w:val="none"/>
          <w:lang w:eastAsia="zh-CN"/>
        </w:rPr>
        <w:t>投标人名称：</w:t>
      </w:r>
      <w:r>
        <w:rPr>
          <w:rFonts w:hint="eastAsia" w:ascii="宋体" w:hAnsi="宋体"/>
          <w:szCs w:val="21"/>
          <w:highlight w:val="none"/>
          <w:u w:val="single"/>
        </w:rPr>
        <w:t xml:space="preserve"> </w:t>
      </w:r>
      <w:r>
        <w:rPr>
          <w:rFonts w:hint="eastAsia" w:ascii="宋体" w:hAnsi="宋体"/>
          <w:szCs w:val="21"/>
          <w:highlight w:val="none"/>
          <w:u w:val="single"/>
          <w:lang w:val="en-US" w:eastAsia="zh-CN"/>
        </w:rPr>
        <w:t xml:space="preserve">                     </w:t>
      </w:r>
      <w:r>
        <w:rPr>
          <w:rFonts w:hint="eastAsia" w:ascii="宋体" w:hAnsi="宋体"/>
          <w:szCs w:val="21"/>
          <w:highlight w:val="none"/>
          <w:u w:val="single"/>
        </w:rPr>
        <w:t xml:space="preserve">   </w:t>
      </w:r>
      <w:r>
        <w:rPr>
          <w:rFonts w:hint="eastAsia" w:ascii="宋体" w:hAnsi="宋体"/>
          <w:szCs w:val="21"/>
          <w:highlight w:val="none"/>
          <w:u w:val="single"/>
          <w:lang w:val="en-US" w:eastAsia="zh-CN"/>
        </w:rPr>
        <w:t xml:space="preserve"> </w:t>
      </w:r>
      <w:r>
        <w:rPr>
          <w:rFonts w:hint="eastAsia" w:ascii="宋体" w:hAnsi="宋体"/>
          <w:szCs w:val="21"/>
          <w:highlight w:val="none"/>
          <w:u w:val="none"/>
          <w:lang w:val="en-US" w:eastAsia="zh-CN"/>
        </w:rPr>
        <w:t xml:space="preserve">                         项目编号：</w:t>
      </w:r>
      <w:r>
        <w:rPr>
          <w:rFonts w:hint="eastAsia" w:ascii="宋体" w:hAnsi="宋体"/>
          <w:szCs w:val="21"/>
          <w:highlight w:val="none"/>
          <w:u w:val="single"/>
          <w:lang w:val="en-US" w:eastAsia="zh-CN"/>
        </w:rPr>
        <w:t xml:space="preserve">              </w:t>
      </w:r>
    </w:p>
    <w:tbl>
      <w:tblPr>
        <w:tblStyle w:val="41"/>
        <w:tblW w:w="9210" w:type="dxa"/>
        <w:tblInd w:w="131"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840"/>
        <w:gridCol w:w="2910"/>
        <w:gridCol w:w="2625"/>
        <w:gridCol w:w="1590"/>
        <w:gridCol w:w="1245"/>
      </w:tblGrid>
      <w:tr w14:paraId="5E4E799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25" w:hRule="atLeast"/>
        </w:trPr>
        <w:tc>
          <w:tcPr>
            <w:tcW w:w="840" w:type="dxa"/>
            <w:tcBorders>
              <w:tl2br w:val="nil"/>
              <w:tr2bl w:val="nil"/>
            </w:tcBorders>
            <w:vAlign w:val="center"/>
          </w:tcPr>
          <w:p w14:paraId="1109CB70">
            <w:pPr>
              <w:spacing w:line="320" w:lineRule="exact"/>
              <w:ind w:left="-97" w:leftChars="-46"/>
              <w:jc w:val="center"/>
              <w:rPr>
                <w:rFonts w:hint="eastAsia" w:ascii="宋体" w:hAnsi="宋体"/>
                <w:b/>
                <w:bCs/>
                <w:position w:val="4"/>
                <w:sz w:val="21"/>
                <w:szCs w:val="21"/>
                <w:highlight w:val="none"/>
                <w:vertAlign w:val="baseline"/>
              </w:rPr>
            </w:pPr>
            <w:r>
              <w:rPr>
                <w:rFonts w:hint="eastAsia" w:ascii="新宋体" w:hAnsi="新宋体" w:cs="新宋体"/>
                <w:b/>
                <w:color w:val="auto"/>
                <w:sz w:val="21"/>
                <w:szCs w:val="21"/>
                <w:highlight w:val="none"/>
              </w:rPr>
              <w:t>序号</w:t>
            </w:r>
          </w:p>
        </w:tc>
        <w:tc>
          <w:tcPr>
            <w:tcW w:w="2910" w:type="dxa"/>
            <w:tcBorders>
              <w:tl2br w:val="nil"/>
              <w:tr2bl w:val="nil"/>
            </w:tcBorders>
            <w:vAlign w:val="center"/>
          </w:tcPr>
          <w:p w14:paraId="0658C1D7">
            <w:pPr>
              <w:spacing w:line="320" w:lineRule="exact"/>
              <w:jc w:val="center"/>
              <w:rPr>
                <w:rFonts w:hint="eastAsia" w:ascii="宋体" w:hAnsi="宋体"/>
                <w:b/>
                <w:bCs/>
                <w:position w:val="4"/>
                <w:sz w:val="21"/>
                <w:szCs w:val="21"/>
                <w:highlight w:val="none"/>
                <w:vertAlign w:val="baseline"/>
              </w:rPr>
            </w:pPr>
            <w:r>
              <w:rPr>
                <w:rFonts w:hint="eastAsia" w:ascii="新宋体" w:hAnsi="新宋体" w:cs="新宋体"/>
                <w:b/>
                <w:color w:val="auto"/>
                <w:sz w:val="21"/>
                <w:szCs w:val="21"/>
                <w:highlight w:val="none"/>
              </w:rPr>
              <w:t>招标文件商务要求</w:t>
            </w:r>
          </w:p>
        </w:tc>
        <w:tc>
          <w:tcPr>
            <w:tcW w:w="2625" w:type="dxa"/>
            <w:tcBorders>
              <w:tl2br w:val="nil"/>
              <w:tr2bl w:val="nil"/>
            </w:tcBorders>
            <w:vAlign w:val="center"/>
          </w:tcPr>
          <w:p w14:paraId="741ACA8C">
            <w:pPr>
              <w:spacing w:line="320" w:lineRule="exact"/>
              <w:jc w:val="center"/>
              <w:rPr>
                <w:rFonts w:hint="eastAsia" w:ascii="宋体" w:hAnsi="宋体"/>
                <w:b/>
                <w:bCs/>
                <w:position w:val="4"/>
                <w:sz w:val="21"/>
                <w:szCs w:val="21"/>
                <w:highlight w:val="none"/>
                <w:vertAlign w:val="baseline"/>
              </w:rPr>
            </w:pPr>
            <w:r>
              <w:rPr>
                <w:rFonts w:hint="eastAsia" w:ascii="新宋体" w:hAnsi="新宋体" w:cs="新宋体"/>
                <w:b/>
                <w:color w:val="auto"/>
                <w:sz w:val="21"/>
                <w:szCs w:val="21"/>
                <w:highlight w:val="none"/>
              </w:rPr>
              <w:t>投标文件商务响应</w:t>
            </w:r>
          </w:p>
        </w:tc>
        <w:tc>
          <w:tcPr>
            <w:tcW w:w="1590" w:type="dxa"/>
            <w:tcBorders>
              <w:tl2br w:val="nil"/>
              <w:tr2bl w:val="nil"/>
            </w:tcBorders>
            <w:vAlign w:val="center"/>
          </w:tcPr>
          <w:p w14:paraId="3E70F5F9">
            <w:pPr>
              <w:spacing w:line="320" w:lineRule="exact"/>
              <w:jc w:val="center"/>
              <w:rPr>
                <w:rFonts w:hint="eastAsia" w:ascii="宋体" w:hAnsi="宋体"/>
                <w:b/>
                <w:bCs/>
                <w:position w:val="4"/>
                <w:sz w:val="21"/>
                <w:szCs w:val="21"/>
                <w:highlight w:val="none"/>
                <w:vertAlign w:val="baseline"/>
              </w:rPr>
            </w:pPr>
            <w:r>
              <w:rPr>
                <w:rFonts w:hint="eastAsia" w:ascii="新宋体" w:hAnsi="新宋体" w:cs="新宋体"/>
                <w:b/>
                <w:color w:val="auto"/>
                <w:sz w:val="21"/>
                <w:szCs w:val="21"/>
                <w:highlight w:val="none"/>
              </w:rPr>
              <w:t>偏离情况</w:t>
            </w:r>
          </w:p>
        </w:tc>
        <w:tc>
          <w:tcPr>
            <w:tcW w:w="1245" w:type="dxa"/>
            <w:tcBorders>
              <w:tl2br w:val="nil"/>
              <w:tr2bl w:val="nil"/>
            </w:tcBorders>
            <w:vAlign w:val="center"/>
          </w:tcPr>
          <w:p w14:paraId="03369C18">
            <w:pPr>
              <w:spacing w:line="320" w:lineRule="exact"/>
              <w:jc w:val="center"/>
              <w:rPr>
                <w:rFonts w:hint="eastAsia" w:ascii="宋体" w:hAnsi="宋体"/>
                <w:b/>
                <w:bCs/>
                <w:position w:val="4"/>
                <w:sz w:val="21"/>
                <w:szCs w:val="21"/>
                <w:highlight w:val="none"/>
                <w:vertAlign w:val="baseline"/>
              </w:rPr>
            </w:pPr>
            <w:r>
              <w:rPr>
                <w:rFonts w:hint="eastAsia" w:ascii="新宋体" w:hAnsi="新宋体" w:cs="新宋体"/>
                <w:b/>
                <w:color w:val="auto"/>
                <w:sz w:val="21"/>
                <w:szCs w:val="21"/>
                <w:highlight w:val="none"/>
              </w:rPr>
              <w:t>说明</w:t>
            </w:r>
          </w:p>
        </w:tc>
      </w:tr>
      <w:tr w14:paraId="4785435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840" w:type="dxa"/>
            <w:tcBorders>
              <w:tl2br w:val="nil"/>
              <w:tr2bl w:val="nil"/>
            </w:tcBorders>
          </w:tcPr>
          <w:p w14:paraId="2C801F03">
            <w:pPr>
              <w:spacing w:line="560" w:lineRule="exact"/>
              <w:rPr>
                <w:rFonts w:hint="eastAsia" w:ascii="宋体" w:hAnsi="宋体"/>
                <w:b/>
                <w:bCs/>
                <w:position w:val="4"/>
                <w:sz w:val="32"/>
                <w:szCs w:val="32"/>
                <w:highlight w:val="none"/>
                <w:vertAlign w:val="baseline"/>
              </w:rPr>
            </w:pPr>
          </w:p>
        </w:tc>
        <w:tc>
          <w:tcPr>
            <w:tcW w:w="2910" w:type="dxa"/>
            <w:tcBorders>
              <w:tl2br w:val="nil"/>
              <w:tr2bl w:val="nil"/>
            </w:tcBorders>
          </w:tcPr>
          <w:p w14:paraId="53FDCF93">
            <w:pPr>
              <w:spacing w:line="560" w:lineRule="exact"/>
              <w:rPr>
                <w:rFonts w:hint="eastAsia" w:ascii="宋体" w:hAnsi="宋体"/>
                <w:b/>
                <w:bCs/>
                <w:position w:val="4"/>
                <w:sz w:val="32"/>
                <w:szCs w:val="32"/>
                <w:highlight w:val="none"/>
                <w:vertAlign w:val="baseline"/>
              </w:rPr>
            </w:pPr>
          </w:p>
        </w:tc>
        <w:tc>
          <w:tcPr>
            <w:tcW w:w="2625" w:type="dxa"/>
            <w:tcBorders>
              <w:tl2br w:val="nil"/>
              <w:tr2bl w:val="nil"/>
            </w:tcBorders>
          </w:tcPr>
          <w:p w14:paraId="13DE4DB4">
            <w:pPr>
              <w:spacing w:line="560" w:lineRule="exact"/>
              <w:rPr>
                <w:rFonts w:hint="eastAsia" w:ascii="宋体" w:hAnsi="宋体"/>
                <w:b/>
                <w:bCs/>
                <w:position w:val="4"/>
                <w:sz w:val="32"/>
                <w:szCs w:val="32"/>
                <w:highlight w:val="none"/>
                <w:vertAlign w:val="baseline"/>
              </w:rPr>
            </w:pPr>
          </w:p>
        </w:tc>
        <w:tc>
          <w:tcPr>
            <w:tcW w:w="1590" w:type="dxa"/>
            <w:tcBorders>
              <w:tl2br w:val="nil"/>
              <w:tr2bl w:val="nil"/>
            </w:tcBorders>
          </w:tcPr>
          <w:p w14:paraId="64E6DE89">
            <w:pPr>
              <w:spacing w:line="560" w:lineRule="exact"/>
              <w:rPr>
                <w:rFonts w:hint="eastAsia" w:ascii="宋体" w:hAnsi="宋体"/>
                <w:b/>
                <w:bCs/>
                <w:position w:val="4"/>
                <w:sz w:val="32"/>
                <w:szCs w:val="32"/>
                <w:highlight w:val="none"/>
                <w:vertAlign w:val="baseline"/>
              </w:rPr>
            </w:pPr>
          </w:p>
        </w:tc>
        <w:tc>
          <w:tcPr>
            <w:tcW w:w="1245" w:type="dxa"/>
            <w:tcBorders>
              <w:tl2br w:val="nil"/>
              <w:tr2bl w:val="nil"/>
            </w:tcBorders>
          </w:tcPr>
          <w:p w14:paraId="336A657B">
            <w:pPr>
              <w:spacing w:line="560" w:lineRule="exact"/>
              <w:rPr>
                <w:rFonts w:hint="eastAsia" w:ascii="宋体" w:hAnsi="宋体"/>
                <w:b/>
                <w:bCs/>
                <w:position w:val="4"/>
                <w:sz w:val="32"/>
                <w:szCs w:val="32"/>
                <w:highlight w:val="none"/>
                <w:vertAlign w:val="baseline"/>
              </w:rPr>
            </w:pPr>
          </w:p>
        </w:tc>
      </w:tr>
      <w:tr w14:paraId="5A7AD0C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840" w:type="dxa"/>
            <w:tcBorders>
              <w:tl2br w:val="nil"/>
              <w:tr2bl w:val="nil"/>
            </w:tcBorders>
          </w:tcPr>
          <w:p w14:paraId="26129EE2">
            <w:pPr>
              <w:spacing w:line="560" w:lineRule="exact"/>
              <w:rPr>
                <w:rFonts w:hint="eastAsia" w:ascii="宋体" w:hAnsi="宋体"/>
                <w:b/>
                <w:bCs/>
                <w:position w:val="4"/>
                <w:sz w:val="32"/>
                <w:szCs w:val="32"/>
                <w:highlight w:val="none"/>
                <w:vertAlign w:val="baseline"/>
              </w:rPr>
            </w:pPr>
          </w:p>
        </w:tc>
        <w:tc>
          <w:tcPr>
            <w:tcW w:w="2910" w:type="dxa"/>
            <w:tcBorders>
              <w:tl2br w:val="nil"/>
              <w:tr2bl w:val="nil"/>
            </w:tcBorders>
          </w:tcPr>
          <w:p w14:paraId="063AF078">
            <w:pPr>
              <w:spacing w:line="560" w:lineRule="exact"/>
              <w:rPr>
                <w:rFonts w:hint="eastAsia" w:ascii="宋体" w:hAnsi="宋体"/>
                <w:b/>
                <w:bCs/>
                <w:position w:val="4"/>
                <w:sz w:val="32"/>
                <w:szCs w:val="32"/>
                <w:highlight w:val="none"/>
                <w:vertAlign w:val="baseline"/>
              </w:rPr>
            </w:pPr>
          </w:p>
        </w:tc>
        <w:tc>
          <w:tcPr>
            <w:tcW w:w="2625" w:type="dxa"/>
            <w:tcBorders>
              <w:tl2br w:val="nil"/>
              <w:tr2bl w:val="nil"/>
            </w:tcBorders>
          </w:tcPr>
          <w:p w14:paraId="106D6C7D">
            <w:pPr>
              <w:spacing w:line="560" w:lineRule="exact"/>
              <w:rPr>
                <w:rFonts w:hint="eastAsia" w:ascii="宋体" w:hAnsi="宋体"/>
                <w:b/>
                <w:bCs/>
                <w:position w:val="4"/>
                <w:sz w:val="32"/>
                <w:szCs w:val="32"/>
                <w:highlight w:val="none"/>
                <w:vertAlign w:val="baseline"/>
              </w:rPr>
            </w:pPr>
          </w:p>
        </w:tc>
        <w:tc>
          <w:tcPr>
            <w:tcW w:w="1590" w:type="dxa"/>
            <w:tcBorders>
              <w:tl2br w:val="nil"/>
              <w:tr2bl w:val="nil"/>
            </w:tcBorders>
          </w:tcPr>
          <w:p w14:paraId="6329D698">
            <w:pPr>
              <w:spacing w:line="560" w:lineRule="exact"/>
              <w:rPr>
                <w:rFonts w:hint="eastAsia" w:ascii="宋体" w:hAnsi="宋体"/>
                <w:b/>
                <w:bCs/>
                <w:position w:val="4"/>
                <w:sz w:val="32"/>
                <w:szCs w:val="32"/>
                <w:highlight w:val="none"/>
                <w:vertAlign w:val="baseline"/>
              </w:rPr>
            </w:pPr>
          </w:p>
        </w:tc>
        <w:tc>
          <w:tcPr>
            <w:tcW w:w="1245" w:type="dxa"/>
            <w:tcBorders>
              <w:tl2br w:val="nil"/>
              <w:tr2bl w:val="nil"/>
            </w:tcBorders>
          </w:tcPr>
          <w:p w14:paraId="64547D49">
            <w:pPr>
              <w:spacing w:line="560" w:lineRule="exact"/>
              <w:rPr>
                <w:rFonts w:hint="eastAsia" w:ascii="宋体" w:hAnsi="宋体"/>
                <w:b/>
                <w:bCs/>
                <w:position w:val="4"/>
                <w:sz w:val="32"/>
                <w:szCs w:val="32"/>
                <w:highlight w:val="none"/>
                <w:vertAlign w:val="baseline"/>
              </w:rPr>
            </w:pPr>
          </w:p>
        </w:tc>
      </w:tr>
      <w:tr w14:paraId="00ABC25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840" w:type="dxa"/>
            <w:tcBorders>
              <w:tl2br w:val="nil"/>
              <w:tr2bl w:val="nil"/>
            </w:tcBorders>
          </w:tcPr>
          <w:p w14:paraId="62CCD68C">
            <w:pPr>
              <w:spacing w:line="560" w:lineRule="exact"/>
              <w:rPr>
                <w:rFonts w:hint="eastAsia" w:ascii="宋体" w:hAnsi="宋体"/>
                <w:b/>
                <w:bCs/>
                <w:position w:val="4"/>
                <w:sz w:val="32"/>
                <w:szCs w:val="32"/>
                <w:highlight w:val="none"/>
                <w:vertAlign w:val="baseline"/>
              </w:rPr>
            </w:pPr>
          </w:p>
        </w:tc>
        <w:tc>
          <w:tcPr>
            <w:tcW w:w="2910" w:type="dxa"/>
            <w:tcBorders>
              <w:tl2br w:val="nil"/>
              <w:tr2bl w:val="nil"/>
            </w:tcBorders>
          </w:tcPr>
          <w:p w14:paraId="4398F61D">
            <w:pPr>
              <w:spacing w:line="560" w:lineRule="exact"/>
              <w:rPr>
                <w:rFonts w:hint="eastAsia" w:ascii="宋体" w:hAnsi="宋体"/>
                <w:b/>
                <w:bCs/>
                <w:position w:val="4"/>
                <w:sz w:val="32"/>
                <w:szCs w:val="32"/>
                <w:highlight w:val="none"/>
                <w:vertAlign w:val="baseline"/>
              </w:rPr>
            </w:pPr>
          </w:p>
        </w:tc>
        <w:tc>
          <w:tcPr>
            <w:tcW w:w="2625" w:type="dxa"/>
            <w:tcBorders>
              <w:tl2br w:val="nil"/>
              <w:tr2bl w:val="nil"/>
            </w:tcBorders>
          </w:tcPr>
          <w:p w14:paraId="5B933707">
            <w:pPr>
              <w:spacing w:line="560" w:lineRule="exact"/>
              <w:rPr>
                <w:rFonts w:hint="eastAsia" w:ascii="宋体" w:hAnsi="宋体"/>
                <w:b/>
                <w:bCs/>
                <w:position w:val="4"/>
                <w:sz w:val="32"/>
                <w:szCs w:val="32"/>
                <w:highlight w:val="none"/>
                <w:vertAlign w:val="baseline"/>
              </w:rPr>
            </w:pPr>
          </w:p>
        </w:tc>
        <w:tc>
          <w:tcPr>
            <w:tcW w:w="1590" w:type="dxa"/>
            <w:tcBorders>
              <w:tl2br w:val="nil"/>
              <w:tr2bl w:val="nil"/>
            </w:tcBorders>
          </w:tcPr>
          <w:p w14:paraId="30A0D74B">
            <w:pPr>
              <w:spacing w:line="560" w:lineRule="exact"/>
              <w:rPr>
                <w:rFonts w:hint="eastAsia" w:ascii="宋体" w:hAnsi="宋体"/>
                <w:b/>
                <w:bCs/>
                <w:position w:val="4"/>
                <w:sz w:val="32"/>
                <w:szCs w:val="32"/>
                <w:highlight w:val="none"/>
                <w:vertAlign w:val="baseline"/>
              </w:rPr>
            </w:pPr>
          </w:p>
        </w:tc>
        <w:tc>
          <w:tcPr>
            <w:tcW w:w="1245" w:type="dxa"/>
            <w:tcBorders>
              <w:tl2br w:val="nil"/>
              <w:tr2bl w:val="nil"/>
            </w:tcBorders>
          </w:tcPr>
          <w:p w14:paraId="2F536536">
            <w:pPr>
              <w:spacing w:line="560" w:lineRule="exact"/>
              <w:rPr>
                <w:rFonts w:hint="eastAsia" w:ascii="宋体" w:hAnsi="宋体"/>
                <w:b/>
                <w:bCs/>
                <w:position w:val="4"/>
                <w:sz w:val="32"/>
                <w:szCs w:val="32"/>
                <w:highlight w:val="none"/>
                <w:vertAlign w:val="baseline"/>
              </w:rPr>
            </w:pPr>
          </w:p>
        </w:tc>
      </w:tr>
      <w:tr w14:paraId="64D9157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840" w:type="dxa"/>
            <w:tcBorders>
              <w:tl2br w:val="nil"/>
              <w:tr2bl w:val="nil"/>
            </w:tcBorders>
          </w:tcPr>
          <w:p w14:paraId="4AF8FC7C">
            <w:pPr>
              <w:spacing w:line="560" w:lineRule="exact"/>
              <w:rPr>
                <w:rFonts w:hint="eastAsia" w:ascii="宋体" w:hAnsi="宋体"/>
                <w:b/>
                <w:bCs/>
                <w:position w:val="4"/>
                <w:sz w:val="32"/>
                <w:szCs w:val="32"/>
                <w:highlight w:val="none"/>
                <w:vertAlign w:val="baseline"/>
              </w:rPr>
            </w:pPr>
          </w:p>
        </w:tc>
        <w:tc>
          <w:tcPr>
            <w:tcW w:w="2910" w:type="dxa"/>
            <w:tcBorders>
              <w:tl2br w:val="nil"/>
              <w:tr2bl w:val="nil"/>
            </w:tcBorders>
          </w:tcPr>
          <w:p w14:paraId="561C49A5">
            <w:pPr>
              <w:spacing w:line="560" w:lineRule="exact"/>
              <w:rPr>
                <w:rFonts w:hint="eastAsia" w:ascii="宋体" w:hAnsi="宋体"/>
                <w:b/>
                <w:bCs/>
                <w:position w:val="4"/>
                <w:sz w:val="32"/>
                <w:szCs w:val="32"/>
                <w:highlight w:val="none"/>
                <w:vertAlign w:val="baseline"/>
              </w:rPr>
            </w:pPr>
          </w:p>
        </w:tc>
        <w:tc>
          <w:tcPr>
            <w:tcW w:w="2625" w:type="dxa"/>
            <w:tcBorders>
              <w:tl2br w:val="nil"/>
              <w:tr2bl w:val="nil"/>
            </w:tcBorders>
          </w:tcPr>
          <w:p w14:paraId="6A106849">
            <w:pPr>
              <w:spacing w:line="560" w:lineRule="exact"/>
              <w:rPr>
                <w:rFonts w:hint="eastAsia" w:ascii="宋体" w:hAnsi="宋体"/>
                <w:b/>
                <w:bCs/>
                <w:position w:val="4"/>
                <w:sz w:val="32"/>
                <w:szCs w:val="32"/>
                <w:highlight w:val="none"/>
                <w:vertAlign w:val="baseline"/>
              </w:rPr>
            </w:pPr>
          </w:p>
        </w:tc>
        <w:tc>
          <w:tcPr>
            <w:tcW w:w="1590" w:type="dxa"/>
            <w:tcBorders>
              <w:tl2br w:val="nil"/>
              <w:tr2bl w:val="nil"/>
            </w:tcBorders>
          </w:tcPr>
          <w:p w14:paraId="04AFFDA1">
            <w:pPr>
              <w:spacing w:line="560" w:lineRule="exact"/>
              <w:rPr>
                <w:rFonts w:hint="eastAsia" w:ascii="宋体" w:hAnsi="宋体"/>
                <w:b/>
                <w:bCs/>
                <w:position w:val="4"/>
                <w:sz w:val="32"/>
                <w:szCs w:val="32"/>
                <w:highlight w:val="none"/>
                <w:vertAlign w:val="baseline"/>
              </w:rPr>
            </w:pPr>
          </w:p>
        </w:tc>
        <w:tc>
          <w:tcPr>
            <w:tcW w:w="1245" w:type="dxa"/>
            <w:tcBorders>
              <w:tl2br w:val="nil"/>
              <w:tr2bl w:val="nil"/>
            </w:tcBorders>
          </w:tcPr>
          <w:p w14:paraId="2472C7DC">
            <w:pPr>
              <w:spacing w:line="560" w:lineRule="exact"/>
              <w:rPr>
                <w:rFonts w:hint="eastAsia" w:ascii="宋体" w:hAnsi="宋体"/>
                <w:b/>
                <w:bCs/>
                <w:position w:val="4"/>
                <w:sz w:val="32"/>
                <w:szCs w:val="32"/>
                <w:highlight w:val="none"/>
                <w:vertAlign w:val="baseline"/>
              </w:rPr>
            </w:pPr>
          </w:p>
        </w:tc>
      </w:tr>
      <w:tr w14:paraId="2CED517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840" w:type="dxa"/>
            <w:tcBorders>
              <w:tl2br w:val="nil"/>
              <w:tr2bl w:val="nil"/>
            </w:tcBorders>
          </w:tcPr>
          <w:p w14:paraId="4D03BEE6">
            <w:pPr>
              <w:spacing w:line="560" w:lineRule="exact"/>
              <w:rPr>
                <w:rFonts w:hint="eastAsia" w:ascii="宋体" w:hAnsi="宋体"/>
                <w:b/>
                <w:bCs/>
                <w:position w:val="4"/>
                <w:sz w:val="32"/>
                <w:szCs w:val="32"/>
                <w:highlight w:val="none"/>
                <w:vertAlign w:val="baseline"/>
              </w:rPr>
            </w:pPr>
          </w:p>
        </w:tc>
        <w:tc>
          <w:tcPr>
            <w:tcW w:w="2910" w:type="dxa"/>
            <w:tcBorders>
              <w:tl2br w:val="nil"/>
              <w:tr2bl w:val="nil"/>
            </w:tcBorders>
          </w:tcPr>
          <w:p w14:paraId="37E68908">
            <w:pPr>
              <w:spacing w:line="560" w:lineRule="exact"/>
              <w:rPr>
                <w:rFonts w:hint="eastAsia" w:ascii="宋体" w:hAnsi="宋体"/>
                <w:b/>
                <w:bCs/>
                <w:position w:val="4"/>
                <w:sz w:val="32"/>
                <w:szCs w:val="32"/>
                <w:highlight w:val="none"/>
                <w:vertAlign w:val="baseline"/>
              </w:rPr>
            </w:pPr>
          </w:p>
        </w:tc>
        <w:tc>
          <w:tcPr>
            <w:tcW w:w="2625" w:type="dxa"/>
            <w:tcBorders>
              <w:tl2br w:val="nil"/>
              <w:tr2bl w:val="nil"/>
            </w:tcBorders>
          </w:tcPr>
          <w:p w14:paraId="3DA65403">
            <w:pPr>
              <w:spacing w:line="560" w:lineRule="exact"/>
              <w:rPr>
                <w:rFonts w:hint="eastAsia" w:ascii="宋体" w:hAnsi="宋体"/>
                <w:b/>
                <w:bCs/>
                <w:position w:val="4"/>
                <w:sz w:val="32"/>
                <w:szCs w:val="32"/>
                <w:highlight w:val="none"/>
                <w:vertAlign w:val="baseline"/>
              </w:rPr>
            </w:pPr>
          </w:p>
        </w:tc>
        <w:tc>
          <w:tcPr>
            <w:tcW w:w="1590" w:type="dxa"/>
            <w:tcBorders>
              <w:tl2br w:val="nil"/>
              <w:tr2bl w:val="nil"/>
            </w:tcBorders>
          </w:tcPr>
          <w:p w14:paraId="3EFC64D9">
            <w:pPr>
              <w:spacing w:line="560" w:lineRule="exact"/>
              <w:rPr>
                <w:rFonts w:hint="eastAsia" w:ascii="宋体" w:hAnsi="宋体"/>
                <w:b/>
                <w:bCs/>
                <w:position w:val="4"/>
                <w:sz w:val="32"/>
                <w:szCs w:val="32"/>
                <w:highlight w:val="none"/>
                <w:vertAlign w:val="baseline"/>
              </w:rPr>
            </w:pPr>
          </w:p>
        </w:tc>
        <w:tc>
          <w:tcPr>
            <w:tcW w:w="1245" w:type="dxa"/>
            <w:tcBorders>
              <w:tl2br w:val="nil"/>
              <w:tr2bl w:val="nil"/>
            </w:tcBorders>
          </w:tcPr>
          <w:p w14:paraId="76EB3EF6">
            <w:pPr>
              <w:spacing w:line="560" w:lineRule="exact"/>
              <w:rPr>
                <w:rFonts w:hint="eastAsia" w:ascii="宋体" w:hAnsi="宋体"/>
                <w:b/>
                <w:bCs/>
                <w:position w:val="4"/>
                <w:sz w:val="32"/>
                <w:szCs w:val="32"/>
                <w:highlight w:val="none"/>
                <w:vertAlign w:val="baseline"/>
              </w:rPr>
            </w:pPr>
          </w:p>
        </w:tc>
      </w:tr>
      <w:tr w14:paraId="400F6B7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840" w:type="dxa"/>
            <w:tcBorders>
              <w:tl2br w:val="nil"/>
              <w:tr2bl w:val="nil"/>
            </w:tcBorders>
          </w:tcPr>
          <w:p w14:paraId="6402750B">
            <w:pPr>
              <w:spacing w:line="560" w:lineRule="exact"/>
              <w:rPr>
                <w:rFonts w:hint="eastAsia" w:ascii="宋体" w:hAnsi="宋体"/>
                <w:b/>
                <w:bCs/>
                <w:position w:val="4"/>
                <w:sz w:val="32"/>
                <w:szCs w:val="32"/>
                <w:highlight w:val="none"/>
                <w:vertAlign w:val="baseline"/>
              </w:rPr>
            </w:pPr>
          </w:p>
        </w:tc>
        <w:tc>
          <w:tcPr>
            <w:tcW w:w="2910" w:type="dxa"/>
            <w:tcBorders>
              <w:tl2br w:val="nil"/>
              <w:tr2bl w:val="nil"/>
            </w:tcBorders>
          </w:tcPr>
          <w:p w14:paraId="018AB639">
            <w:pPr>
              <w:spacing w:line="560" w:lineRule="exact"/>
              <w:rPr>
                <w:rFonts w:hint="eastAsia" w:ascii="宋体" w:hAnsi="宋体"/>
                <w:b/>
                <w:bCs/>
                <w:position w:val="4"/>
                <w:sz w:val="32"/>
                <w:szCs w:val="32"/>
                <w:highlight w:val="none"/>
                <w:vertAlign w:val="baseline"/>
              </w:rPr>
            </w:pPr>
          </w:p>
        </w:tc>
        <w:tc>
          <w:tcPr>
            <w:tcW w:w="2625" w:type="dxa"/>
            <w:tcBorders>
              <w:tl2br w:val="nil"/>
              <w:tr2bl w:val="nil"/>
            </w:tcBorders>
          </w:tcPr>
          <w:p w14:paraId="2B71C23A">
            <w:pPr>
              <w:spacing w:line="560" w:lineRule="exact"/>
              <w:rPr>
                <w:rFonts w:hint="eastAsia" w:ascii="宋体" w:hAnsi="宋体"/>
                <w:b/>
                <w:bCs/>
                <w:position w:val="4"/>
                <w:sz w:val="32"/>
                <w:szCs w:val="32"/>
                <w:highlight w:val="none"/>
                <w:vertAlign w:val="baseline"/>
              </w:rPr>
            </w:pPr>
          </w:p>
        </w:tc>
        <w:tc>
          <w:tcPr>
            <w:tcW w:w="1590" w:type="dxa"/>
            <w:tcBorders>
              <w:tl2br w:val="nil"/>
              <w:tr2bl w:val="nil"/>
            </w:tcBorders>
          </w:tcPr>
          <w:p w14:paraId="3098EDAC">
            <w:pPr>
              <w:spacing w:line="560" w:lineRule="exact"/>
              <w:rPr>
                <w:rFonts w:hint="eastAsia" w:ascii="宋体" w:hAnsi="宋体"/>
                <w:b/>
                <w:bCs/>
                <w:position w:val="4"/>
                <w:sz w:val="32"/>
                <w:szCs w:val="32"/>
                <w:highlight w:val="none"/>
                <w:vertAlign w:val="baseline"/>
              </w:rPr>
            </w:pPr>
          </w:p>
        </w:tc>
        <w:tc>
          <w:tcPr>
            <w:tcW w:w="1245" w:type="dxa"/>
            <w:tcBorders>
              <w:tl2br w:val="nil"/>
              <w:tr2bl w:val="nil"/>
            </w:tcBorders>
          </w:tcPr>
          <w:p w14:paraId="4150F26E">
            <w:pPr>
              <w:spacing w:line="560" w:lineRule="exact"/>
              <w:rPr>
                <w:rFonts w:hint="eastAsia" w:ascii="宋体" w:hAnsi="宋体"/>
                <w:b/>
                <w:bCs/>
                <w:position w:val="4"/>
                <w:sz w:val="32"/>
                <w:szCs w:val="32"/>
                <w:highlight w:val="none"/>
                <w:vertAlign w:val="baseline"/>
              </w:rPr>
            </w:pPr>
          </w:p>
        </w:tc>
      </w:tr>
    </w:tbl>
    <w:p w14:paraId="28B1D7ED">
      <w:pPr>
        <w:spacing w:line="440" w:lineRule="exact"/>
        <w:rPr>
          <w:rFonts w:hint="eastAsia"/>
          <w:color w:val="auto"/>
          <w:szCs w:val="21"/>
          <w:highlight w:val="none"/>
        </w:rPr>
      </w:pPr>
      <w:r>
        <w:rPr>
          <w:rFonts w:hint="eastAsia"/>
          <w:color w:val="auto"/>
          <w:szCs w:val="21"/>
          <w:highlight w:val="none"/>
          <w:lang w:val="en-US" w:eastAsia="zh-CN"/>
        </w:rPr>
        <w:t>注：1、</w:t>
      </w:r>
      <w:r>
        <w:rPr>
          <w:rFonts w:hint="eastAsia"/>
          <w:color w:val="auto"/>
          <w:szCs w:val="21"/>
          <w:highlight w:val="none"/>
        </w:rPr>
        <w:t>商务偏离表应按照招标文件</w:t>
      </w:r>
      <w:r>
        <w:rPr>
          <w:rFonts w:hint="eastAsia"/>
          <w:color w:val="auto"/>
          <w:szCs w:val="21"/>
          <w:highlight w:val="none"/>
          <w:lang w:val="en-US" w:eastAsia="zh-CN"/>
        </w:rPr>
        <w:t>第四章采购</w:t>
      </w:r>
      <w:r>
        <w:rPr>
          <w:rFonts w:hint="eastAsia"/>
          <w:color w:val="auto"/>
          <w:szCs w:val="21"/>
          <w:highlight w:val="none"/>
        </w:rPr>
        <w:t>内容及要求</w:t>
      </w:r>
      <w:r>
        <w:rPr>
          <w:rFonts w:hint="eastAsia"/>
          <w:color w:val="auto"/>
          <w:szCs w:val="21"/>
          <w:highlight w:val="none"/>
          <w:lang w:val="en-US" w:eastAsia="zh-CN"/>
        </w:rPr>
        <w:t>中商务要求逐条响应</w:t>
      </w:r>
      <w:r>
        <w:rPr>
          <w:rFonts w:hint="eastAsia"/>
          <w:color w:val="auto"/>
          <w:szCs w:val="21"/>
          <w:highlight w:val="none"/>
        </w:rPr>
        <w:t>，</w:t>
      </w:r>
      <w:r>
        <w:rPr>
          <w:rFonts w:hint="eastAsia"/>
          <w:color w:val="auto"/>
          <w:szCs w:val="21"/>
          <w:highlight w:val="none"/>
          <w:lang w:val="en-US" w:eastAsia="zh-CN"/>
        </w:rPr>
        <w:t>偏离情况应该实际情况说明：</w:t>
      </w:r>
      <w:r>
        <w:rPr>
          <w:rFonts w:hint="eastAsia"/>
          <w:b/>
          <w:bCs/>
          <w:color w:val="auto"/>
          <w:szCs w:val="21"/>
          <w:highlight w:val="none"/>
        </w:rPr>
        <w:t>正偏离或无偏离</w:t>
      </w:r>
      <w:r>
        <w:rPr>
          <w:rFonts w:hint="eastAsia"/>
          <w:b/>
          <w:bCs/>
          <w:color w:val="auto"/>
          <w:szCs w:val="21"/>
          <w:highlight w:val="none"/>
          <w:lang w:eastAsia="zh-CN"/>
        </w:rPr>
        <w:t>，</w:t>
      </w:r>
      <w:r>
        <w:rPr>
          <w:rFonts w:hint="eastAsia"/>
          <w:b/>
          <w:bCs/>
          <w:color w:val="auto"/>
          <w:szCs w:val="21"/>
          <w:highlight w:val="none"/>
        </w:rPr>
        <w:t>商务偏离不得出现负偏离</w:t>
      </w:r>
      <w:r>
        <w:rPr>
          <w:rFonts w:hint="eastAsia"/>
          <w:color w:val="auto"/>
          <w:szCs w:val="21"/>
          <w:highlight w:val="none"/>
        </w:rPr>
        <w:t>，否则按无效文件处理。</w:t>
      </w:r>
    </w:p>
    <w:p w14:paraId="338DA7AF">
      <w:pPr>
        <w:spacing w:line="440" w:lineRule="exact"/>
        <w:ind w:firstLine="420" w:firstLineChars="200"/>
        <w:rPr>
          <w:rFonts w:hint="eastAsia"/>
          <w:color w:val="auto"/>
          <w:szCs w:val="21"/>
          <w:highlight w:val="none"/>
        </w:rPr>
      </w:pPr>
      <w:r>
        <w:rPr>
          <w:rFonts w:hint="eastAsia"/>
          <w:color w:val="auto"/>
          <w:szCs w:val="21"/>
          <w:highlight w:val="none"/>
          <w:lang w:val="en-US" w:eastAsia="zh-CN"/>
        </w:rPr>
        <w:t>2、</w:t>
      </w:r>
      <w:r>
        <w:rPr>
          <w:rFonts w:hint="eastAsia"/>
          <w:color w:val="auto"/>
          <w:szCs w:val="21"/>
          <w:highlight w:val="none"/>
        </w:rPr>
        <w:t>投标人必须据实填写，不得虚假响应，否则将取消其投标或中标资格，并按有关规定进行处罚。</w:t>
      </w:r>
    </w:p>
    <w:p w14:paraId="0B29AD88">
      <w:pPr>
        <w:numPr>
          <w:ilvl w:val="0"/>
          <w:numId w:val="0"/>
        </w:numPr>
        <w:spacing w:line="440" w:lineRule="exact"/>
        <w:rPr>
          <w:rFonts w:hint="eastAsia"/>
          <w:szCs w:val="21"/>
          <w:highlight w:val="none"/>
        </w:rPr>
      </w:pPr>
    </w:p>
    <w:p w14:paraId="72B44526">
      <w:pPr>
        <w:numPr>
          <w:ilvl w:val="0"/>
          <w:numId w:val="0"/>
        </w:numPr>
        <w:spacing w:line="440" w:lineRule="exact"/>
        <w:rPr>
          <w:rFonts w:hint="eastAsia"/>
          <w:szCs w:val="21"/>
          <w:highlight w:val="none"/>
        </w:rPr>
      </w:pPr>
    </w:p>
    <w:p w14:paraId="2CC43C59">
      <w:pPr>
        <w:pStyle w:val="80"/>
        <w:keepNext w:val="0"/>
        <w:keepLines w:val="0"/>
        <w:pageBreakBefore w:val="0"/>
        <w:kinsoku/>
        <w:wordWrap/>
        <w:overflowPunct/>
        <w:topLinePunct w:val="0"/>
        <w:autoSpaceDE/>
        <w:autoSpaceDN/>
        <w:bidi w:val="0"/>
        <w:adjustRightInd/>
        <w:snapToGrid/>
        <w:spacing w:line="500" w:lineRule="exact"/>
        <w:ind w:left="0" w:leftChars="0" w:right="0" w:rightChars="0" w:firstLine="0" w:firstLineChars="0"/>
        <w:jc w:val="left"/>
        <w:textAlignment w:val="auto"/>
        <w:rPr>
          <w:rFonts w:hint="eastAsia" w:ascii="新宋体" w:hAnsi="新宋体"/>
          <w:b w:val="0"/>
          <w:color w:val="auto"/>
          <w:sz w:val="21"/>
          <w:szCs w:val="21"/>
          <w:highlight w:val="none"/>
        </w:rPr>
      </w:pPr>
      <w:r>
        <w:rPr>
          <w:rFonts w:hint="eastAsia" w:ascii="新宋体" w:hAnsi="新宋体"/>
          <w:b w:val="0"/>
          <w:color w:val="auto"/>
          <w:sz w:val="21"/>
          <w:szCs w:val="21"/>
          <w:highlight w:val="none"/>
          <w:lang w:val="en-US" w:eastAsia="zh-CN"/>
        </w:rPr>
        <w:t xml:space="preserve">                                             </w:t>
      </w:r>
      <w:r>
        <w:rPr>
          <w:rFonts w:hint="eastAsia" w:ascii="新宋体" w:hAnsi="新宋体"/>
          <w:b w:val="0"/>
          <w:color w:val="auto"/>
          <w:sz w:val="21"/>
          <w:szCs w:val="21"/>
          <w:highlight w:val="none"/>
        </w:rPr>
        <w:t>投标人：</w:t>
      </w:r>
      <w:r>
        <w:rPr>
          <w:rFonts w:ascii="新宋体" w:hAnsi="新宋体"/>
          <w:b w:val="0"/>
          <w:color w:val="auto"/>
          <w:sz w:val="21"/>
          <w:szCs w:val="21"/>
          <w:highlight w:val="none"/>
          <w:u w:val="single"/>
        </w:rPr>
        <w:t xml:space="preserve">             </w:t>
      </w:r>
      <w:r>
        <w:rPr>
          <w:rFonts w:hint="eastAsia" w:ascii="新宋体" w:hAnsi="新宋体"/>
          <w:b w:val="0"/>
          <w:color w:val="auto"/>
          <w:sz w:val="21"/>
          <w:szCs w:val="21"/>
          <w:highlight w:val="none"/>
          <w:u w:val="single"/>
        </w:rPr>
        <w:t xml:space="preserve">  （单位全称、盖章）   </w:t>
      </w:r>
    </w:p>
    <w:p w14:paraId="2D803CE2">
      <w:pPr>
        <w:pStyle w:val="80"/>
        <w:keepNext w:val="0"/>
        <w:keepLines w:val="0"/>
        <w:pageBreakBefore w:val="0"/>
        <w:kinsoku/>
        <w:wordWrap/>
        <w:overflowPunct/>
        <w:topLinePunct w:val="0"/>
        <w:autoSpaceDE/>
        <w:autoSpaceDN/>
        <w:bidi w:val="0"/>
        <w:adjustRightInd/>
        <w:snapToGrid/>
        <w:spacing w:line="500" w:lineRule="exact"/>
        <w:ind w:left="0" w:leftChars="0" w:right="0" w:rightChars="0" w:firstLine="0" w:firstLineChars="0"/>
        <w:jc w:val="left"/>
        <w:textAlignment w:val="auto"/>
        <w:rPr>
          <w:rFonts w:hint="eastAsia" w:ascii="新宋体" w:hAnsi="新宋体"/>
          <w:b w:val="0"/>
          <w:color w:val="auto"/>
          <w:sz w:val="21"/>
          <w:szCs w:val="21"/>
          <w:highlight w:val="none"/>
        </w:rPr>
      </w:pPr>
      <w:r>
        <w:rPr>
          <w:rFonts w:hint="eastAsia" w:ascii="新宋体" w:hAnsi="新宋体"/>
          <w:b w:val="0"/>
          <w:color w:val="auto"/>
          <w:sz w:val="21"/>
          <w:szCs w:val="21"/>
          <w:highlight w:val="none"/>
          <w:lang w:val="en-US" w:eastAsia="zh-CN"/>
        </w:rPr>
        <w:t xml:space="preserve">                                             </w:t>
      </w:r>
      <w:r>
        <w:rPr>
          <w:rFonts w:hint="eastAsia" w:ascii="新宋体" w:hAnsi="新宋体"/>
          <w:b w:val="0"/>
          <w:color w:val="auto"/>
          <w:sz w:val="21"/>
          <w:szCs w:val="21"/>
          <w:highlight w:val="none"/>
        </w:rPr>
        <w:t>法定代表人或授权代表：</w:t>
      </w:r>
      <w:r>
        <w:rPr>
          <w:rFonts w:hint="eastAsia" w:ascii="新宋体" w:hAnsi="新宋体"/>
          <w:b w:val="0"/>
          <w:color w:val="auto"/>
          <w:sz w:val="21"/>
          <w:szCs w:val="21"/>
          <w:highlight w:val="none"/>
          <w:u w:val="single"/>
        </w:rPr>
        <w:t xml:space="preserve">     （</w:t>
      </w:r>
      <w:r>
        <w:rPr>
          <w:rFonts w:hint="eastAsia" w:ascii="新宋体" w:hAnsi="新宋体"/>
          <w:b w:val="0"/>
          <w:color w:val="auto"/>
          <w:sz w:val="21"/>
          <w:szCs w:val="21"/>
          <w:highlight w:val="none"/>
          <w:u w:val="single"/>
          <w:lang w:eastAsia="zh-CN"/>
        </w:rPr>
        <w:t>盖章或签字</w:t>
      </w:r>
      <w:r>
        <w:rPr>
          <w:rFonts w:hint="eastAsia" w:ascii="新宋体" w:hAnsi="新宋体"/>
          <w:b w:val="0"/>
          <w:color w:val="auto"/>
          <w:sz w:val="21"/>
          <w:szCs w:val="21"/>
          <w:highlight w:val="none"/>
          <w:u w:val="single"/>
        </w:rPr>
        <w:t xml:space="preserve">）    </w:t>
      </w:r>
    </w:p>
    <w:p w14:paraId="49A112A2">
      <w:pPr>
        <w:spacing w:line="440" w:lineRule="exact"/>
        <w:rPr>
          <w:rFonts w:hint="eastAsia"/>
          <w:szCs w:val="21"/>
          <w:highlight w:val="none"/>
        </w:rPr>
      </w:pPr>
      <w:r>
        <w:rPr>
          <w:rFonts w:hint="eastAsia" w:ascii="新宋体" w:hAnsi="新宋体"/>
          <w:b w:val="0"/>
          <w:color w:val="auto"/>
          <w:sz w:val="21"/>
          <w:szCs w:val="21"/>
          <w:highlight w:val="none"/>
          <w:lang w:val="en-US" w:eastAsia="zh-CN"/>
        </w:rPr>
        <w:t xml:space="preserve">                                             </w:t>
      </w:r>
      <w:r>
        <w:rPr>
          <w:rFonts w:hint="eastAsia" w:ascii="新宋体" w:hAnsi="新宋体"/>
          <w:b w:val="0"/>
          <w:color w:val="auto"/>
          <w:sz w:val="21"/>
          <w:szCs w:val="21"/>
          <w:highlight w:val="none"/>
        </w:rPr>
        <w:t>投标日期：</w:t>
      </w:r>
      <w:r>
        <w:rPr>
          <w:rFonts w:hint="eastAsia" w:ascii="新宋体" w:hAnsi="新宋体"/>
          <w:b w:val="0"/>
          <w:color w:val="auto"/>
          <w:sz w:val="21"/>
          <w:szCs w:val="21"/>
          <w:highlight w:val="none"/>
          <w:u w:val="single"/>
        </w:rPr>
        <w:t xml:space="preserve">        </w:t>
      </w:r>
      <w:r>
        <w:rPr>
          <w:rFonts w:hint="eastAsia" w:ascii="新宋体" w:hAnsi="新宋体"/>
          <w:b w:val="0"/>
          <w:color w:val="auto"/>
          <w:sz w:val="21"/>
          <w:szCs w:val="21"/>
          <w:highlight w:val="none"/>
        </w:rPr>
        <w:t>年</w:t>
      </w:r>
      <w:r>
        <w:rPr>
          <w:rFonts w:hint="eastAsia" w:ascii="新宋体" w:hAnsi="新宋体"/>
          <w:b w:val="0"/>
          <w:color w:val="auto"/>
          <w:sz w:val="21"/>
          <w:szCs w:val="21"/>
          <w:highlight w:val="none"/>
          <w:u w:val="single"/>
        </w:rPr>
        <w:t xml:space="preserve">    </w:t>
      </w:r>
      <w:r>
        <w:rPr>
          <w:rFonts w:hint="eastAsia" w:ascii="新宋体" w:hAnsi="新宋体"/>
          <w:b w:val="0"/>
          <w:color w:val="auto"/>
          <w:sz w:val="21"/>
          <w:szCs w:val="21"/>
          <w:highlight w:val="none"/>
        </w:rPr>
        <w:t>月</w:t>
      </w:r>
      <w:r>
        <w:rPr>
          <w:rFonts w:hint="eastAsia" w:ascii="新宋体" w:hAnsi="新宋体"/>
          <w:b w:val="0"/>
          <w:color w:val="auto"/>
          <w:sz w:val="21"/>
          <w:szCs w:val="21"/>
          <w:highlight w:val="none"/>
          <w:u w:val="single"/>
        </w:rPr>
        <w:t xml:space="preserve">    </w:t>
      </w:r>
      <w:r>
        <w:rPr>
          <w:rFonts w:hint="eastAsia" w:ascii="新宋体" w:hAnsi="新宋体"/>
          <w:b w:val="0"/>
          <w:color w:val="auto"/>
          <w:sz w:val="21"/>
          <w:szCs w:val="21"/>
          <w:highlight w:val="none"/>
        </w:rPr>
        <w:t>日</w:t>
      </w:r>
    </w:p>
    <w:p w14:paraId="64EB8F50">
      <w:pPr>
        <w:spacing w:line="440" w:lineRule="exact"/>
        <w:rPr>
          <w:rFonts w:hint="eastAsia"/>
          <w:szCs w:val="21"/>
          <w:highlight w:val="none"/>
        </w:rPr>
      </w:pPr>
    </w:p>
    <w:p w14:paraId="124FAF49">
      <w:pPr>
        <w:spacing w:line="440" w:lineRule="exact"/>
        <w:rPr>
          <w:rFonts w:hint="eastAsia"/>
          <w:szCs w:val="21"/>
          <w:highlight w:val="none"/>
        </w:rPr>
      </w:pPr>
    </w:p>
    <w:p w14:paraId="29FC8950">
      <w:pPr>
        <w:spacing w:line="440" w:lineRule="exact"/>
        <w:rPr>
          <w:rFonts w:hint="eastAsia"/>
          <w:szCs w:val="21"/>
          <w:highlight w:val="none"/>
        </w:rPr>
      </w:pPr>
    </w:p>
    <w:p w14:paraId="2D6ACED3">
      <w:pPr>
        <w:spacing w:line="440" w:lineRule="exact"/>
        <w:rPr>
          <w:rFonts w:hint="eastAsia"/>
          <w:szCs w:val="21"/>
          <w:highlight w:val="none"/>
        </w:rPr>
      </w:pPr>
    </w:p>
    <w:p w14:paraId="58A51FFB">
      <w:pPr>
        <w:spacing w:line="440" w:lineRule="exact"/>
        <w:rPr>
          <w:rFonts w:hint="eastAsia"/>
          <w:szCs w:val="21"/>
          <w:highlight w:val="none"/>
        </w:rPr>
      </w:pPr>
    </w:p>
    <w:p w14:paraId="48FF8966">
      <w:pPr>
        <w:spacing w:line="440" w:lineRule="exact"/>
        <w:rPr>
          <w:rFonts w:hint="eastAsia"/>
          <w:szCs w:val="21"/>
          <w:highlight w:val="none"/>
        </w:rPr>
      </w:pPr>
    </w:p>
    <w:p w14:paraId="40F09EBF">
      <w:pPr>
        <w:pStyle w:val="38"/>
        <w:rPr>
          <w:rFonts w:hint="eastAsia"/>
        </w:rPr>
      </w:pPr>
    </w:p>
    <w:p w14:paraId="1161A23B">
      <w:pPr>
        <w:keepNext w:val="0"/>
        <w:keepLines w:val="0"/>
        <w:pageBreakBefore w:val="0"/>
        <w:widowControl w:val="0"/>
        <w:kinsoku/>
        <w:wordWrap/>
        <w:overflowPunct/>
        <w:topLinePunct w:val="0"/>
        <w:autoSpaceDE/>
        <w:autoSpaceDN/>
        <w:bidi w:val="0"/>
        <w:adjustRightInd/>
        <w:snapToGrid/>
        <w:spacing w:line="560" w:lineRule="atLeast"/>
        <w:ind w:left="0" w:leftChars="0" w:right="0" w:rightChars="0" w:firstLine="0" w:firstLineChars="0"/>
        <w:jc w:val="both"/>
        <w:textAlignment w:val="auto"/>
        <w:outlineLvl w:val="9"/>
        <w:rPr>
          <w:rFonts w:hint="eastAsia"/>
          <w:b/>
          <w:bCs/>
          <w:sz w:val="36"/>
          <w:szCs w:val="36"/>
          <w:highlight w:val="none"/>
          <w:lang w:val="en-US" w:eastAsia="zh-CN"/>
        </w:rPr>
      </w:pPr>
      <w:bookmarkStart w:id="23" w:name="_Toc3536"/>
      <w:bookmarkStart w:id="24" w:name="_Toc4043"/>
      <w:bookmarkStart w:id="25" w:name="_Toc193187111"/>
      <w:bookmarkStart w:id="26" w:name="_Toc193126905"/>
      <w:bookmarkStart w:id="27" w:name="_Toc194663942"/>
      <w:bookmarkStart w:id="28" w:name="_Toc188808855"/>
      <w:bookmarkStart w:id="29" w:name="_Toc188808842"/>
      <w:bookmarkStart w:id="30" w:name="_Toc193126891"/>
    </w:p>
    <w:p w14:paraId="4625CB6A">
      <w:pPr>
        <w:pStyle w:val="16"/>
        <w:rPr>
          <w:rFonts w:hint="eastAsia"/>
          <w:lang w:val="en-US" w:eastAsia="zh-CN"/>
        </w:rPr>
      </w:pPr>
    </w:p>
    <w:p w14:paraId="3859F05E">
      <w:pPr>
        <w:rPr>
          <w:rFonts w:hint="eastAsia"/>
          <w:lang w:val="en-US" w:eastAsia="zh-CN"/>
        </w:rPr>
      </w:pPr>
    </w:p>
    <w:p w14:paraId="29556EAC">
      <w:pPr>
        <w:rPr>
          <w:rFonts w:hint="eastAsia"/>
          <w:lang w:val="en-US" w:eastAsia="zh-CN"/>
        </w:rPr>
      </w:pPr>
    </w:p>
    <w:p w14:paraId="083F33A2">
      <w:pPr>
        <w:keepNext w:val="0"/>
        <w:keepLines w:val="0"/>
        <w:pageBreakBefore w:val="0"/>
        <w:widowControl w:val="0"/>
        <w:kinsoku/>
        <w:wordWrap/>
        <w:overflowPunct/>
        <w:topLinePunct w:val="0"/>
        <w:autoSpaceDE/>
        <w:autoSpaceDN/>
        <w:bidi w:val="0"/>
        <w:adjustRightInd/>
        <w:snapToGrid/>
        <w:spacing w:line="560" w:lineRule="atLeast"/>
        <w:ind w:left="0" w:leftChars="0" w:right="0" w:rightChars="0" w:firstLine="0" w:firstLineChars="0"/>
        <w:jc w:val="center"/>
        <w:textAlignment w:val="auto"/>
        <w:outlineLvl w:val="9"/>
        <w:rPr>
          <w:rFonts w:hint="eastAsia"/>
          <w:b/>
          <w:bCs/>
          <w:sz w:val="36"/>
          <w:szCs w:val="36"/>
          <w:highlight w:val="none"/>
          <w:lang w:val="en-US" w:eastAsia="zh-CN"/>
        </w:rPr>
      </w:pPr>
      <w:r>
        <w:rPr>
          <w:rFonts w:hint="eastAsia" w:ascii="宋体" w:hAnsi="宋体" w:cs="宋体"/>
          <w:b/>
          <w:bCs/>
          <w:color w:val="000000"/>
          <w:sz w:val="36"/>
          <w:szCs w:val="36"/>
          <w:highlight w:val="none"/>
          <w:lang w:val="en-US" w:eastAsia="zh-CN"/>
        </w:rPr>
        <w:t>产品技术参数</w:t>
      </w:r>
      <w:r>
        <w:rPr>
          <w:rFonts w:hint="eastAsia"/>
          <w:b/>
          <w:bCs/>
          <w:sz w:val="36"/>
          <w:szCs w:val="36"/>
          <w:highlight w:val="none"/>
          <w:lang w:val="en-US" w:eastAsia="zh-CN"/>
        </w:rPr>
        <w:t>偏离表</w:t>
      </w:r>
    </w:p>
    <w:p w14:paraId="7F71B090">
      <w:pPr>
        <w:numPr>
          <w:ilvl w:val="0"/>
          <w:numId w:val="0"/>
        </w:numPr>
        <w:spacing w:line="560" w:lineRule="exact"/>
        <w:jc w:val="both"/>
        <w:rPr>
          <w:rFonts w:hint="eastAsia" w:ascii="宋体" w:hAnsi="宋体" w:cs="宋体"/>
          <w:b/>
          <w:bCs/>
          <w:color w:val="000000"/>
          <w:sz w:val="36"/>
          <w:szCs w:val="36"/>
          <w:highlight w:val="none"/>
        </w:rPr>
      </w:pPr>
      <w:r>
        <w:rPr>
          <w:rFonts w:hint="eastAsia" w:ascii="宋体" w:hAnsi="宋体"/>
          <w:szCs w:val="21"/>
          <w:highlight w:val="none"/>
          <w:lang w:eastAsia="zh-CN"/>
        </w:rPr>
        <w:t>投标人名称：</w:t>
      </w:r>
      <w:r>
        <w:rPr>
          <w:rFonts w:hint="eastAsia" w:ascii="宋体" w:hAnsi="宋体"/>
          <w:szCs w:val="21"/>
          <w:highlight w:val="none"/>
          <w:u w:val="single"/>
        </w:rPr>
        <w:t xml:space="preserve"> </w:t>
      </w:r>
      <w:r>
        <w:rPr>
          <w:rFonts w:hint="eastAsia" w:ascii="宋体" w:hAnsi="宋体"/>
          <w:szCs w:val="21"/>
          <w:highlight w:val="none"/>
          <w:u w:val="single"/>
          <w:lang w:val="en-US" w:eastAsia="zh-CN"/>
        </w:rPr>
        <w:t xml:space="preserve">                     </w:t>
      </w:r>
      <w:r>
        <w:rPr>
          <w:rFonts w:hint="eastAsia" w:ascii="宋体" w:hAnsi="宋体"/>
          <w:szCs w:val="21"/>
          <w:highlight w:val="none"/>
          <w:u w:val="single"/>
        </w:rPr>
        <w:t xml:space="preserve">   </w:t>
      </w:r>
      <w:r>
        <w:rPr>
          <w:rFonts w:hint="eastAsia" w:ascii="宋体" w:hAnsi="宋体"/>
          <w:szCs w:val="21"/>
          <w:highlight w:val="none"/>
          <w:u w:val="single"/>
          <w:lang w:val="en-US" w:eastAsia="zh-CN"/>
        </w:rPr>
        <w:t xml:space="preserve"> </w:t>
      </w:r>
      <w:r>
        <w:rPr>
          <w:rFonts w:hint="eastAsia" w:ascii="宋体" w:hAnsi="宋体"/>
          <w:szCs w:val="21"/>
          <w:highlight w:val="none"/>
          <w:u w:val="none"/>
          <w:lang w:val="en-US" w:eastAsia="zh-CN"/>
        </w:rPr>
        <w:t xml:space="preserve">                         项目编号：</w:t>
      </w:r>
      <w:r>
        <w:rPr>
          <w:rFonts w:hint="eastAsia" w:ascii="宋体" w:hAnsi="宋体"/>
          <w:szCs w:val="21"/>
          <w:highlight w:val="none"/>
          <w:u w:val="single"/>
          <w:lang w:val="en-US" w:eastAsia="zh-CN"/>
        </w:rPr>
        <w:t xml:space="preserve">              </w:t>
      </w:r>
    </w:p>
    <w:tbl>
      <w:tblPr>
        <w:tblStyle w:val="41"/>
        <w:tblW w:w="9210" w:type="dxa"/>
        <w:tblInd w:w="131"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840"/>
        <w:gridCol w:w="2910"/>
        <w:gridCol w:w="2625"/>
        <w:gridCol w:w="1590"/>
        <w:gridCol w:w="1245"/>
      </w:tblGrid>
      <w:tr w14:paraId="4D4B962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25" w:hRule="atLeast"/>
        </w:trPr>
        <w:tc>
          <w:tcPr>
            <w:tcW w:w="840" w:type="dxa"/>
            <w:tcBorders>
              <w:tl2br w:val="nil"/>
              <w:tr2bl w:val="nil"/>
            </w:tcBorders>
            <w:vAlign w:val="center"/>
          </w:tcPr>
          <w:p w14:paraId="54DDB639">
            <w:pPr>
              <w:spacing w:line="320" w:lineRule="exact"/>
              <w:ind w:left="-97" w:leftChars="-46"/>
              <w:jc w:val="center"/>
              <w:rPr>
                <w:rFonts w:hint="eastAsia" w:ascii="宋体" w:hAnsi="宋体"/>
                <w:b/>
                <w:bCs/>
                <w:position w:val="4"/>
                <w:sz w:val="21"/>
                <w:szCs w:val="21"/>
                <w:highlight w:val="none"/>
                <w:vertAlign w:val="baseline"/>
              </w:rPr>
            </w:pPr>
            <w:r>
              <w:rPr>
                <w:rFonts w:hint="eastAsia" w:ascii="新宋体" w:hAnsi="新宋体" w:cs="新宋体"/>
                <w:b/>
                <w:color w:val="auto"/>
                <w:sz w:val="21"/>
                <w:szCs w:val="21"/>
                <w:highlight w:val="none"/>
              </w:rPr>
              <w:t>序号</w:t>
            </w:r>
          </w:p>
        </w:tc>
        <w:tc>
          <w:tcPr>
            <w:tcW w:w="2910" w:type="dxa"/>
            <w:tcBorders>
              <w:tl2br w:val="nil"/>
              <w:tr2bl w:val="nil"/>
            </w:tcBorders>
            <w:vAlign w:val="center"/>
          </w:tcPr>
          <w:p w14:paraId="37D0EB1C">
            <w:pPr>
              <w:spacing w:line="320" w:lineRule="exact"/>
              <w:jc w:val="center"/>
              <w:rPr>
                <w:rFonts w:hint="eastAsia" w:ascii="宋体" w:hAnsi="宋体"/>
                <w:b/>
                <w:bCs/>
                <w:position w:val="4"/>
                <w:sz w:val="21"/>
                <w:szCs w:val="21"/>
                <w:highlight w:val="none"/>
                <w:vertAlign w:val="baseline"/>
              </w:rPr>
            </w:pPr>
            <w:r>
              <w:rPr>
                <w:rFonts w:hint="eastAsia" w:ascii="新宋体" w:hAnsi="新宋体" w:cs="新宋体"/>
                <w:b/>
                <w:color w:val="auto"/>
                <w:sz w:val="21"/>
                <w:szCs w:val="21"/>
                <w:highlight w:val="none"/>
              </w:rPr>
              <w:t>招标文件</w:t>
            </w:r>
            <w:r>
              <w:rPr>
                <w:rFonts w:hint="eastAsia" w:ascii="新宋体" w:hAnsi="新宋体" w:cs="新宋体"/>
                <w:b/>
                <w:color w:val="auto"/>
                <w:sz w:val="21"/>
                <w:szCs w:val="21"/>
                <w:highlight w:val="none"/>
                <w:lang w:val="en-US" w:eastAsia="zh-CN"/>
              </w:rPr>
              <w:t>技术参数</w:t>
            </w:r>
            <w:r>
              <w:rPr>
                <w:rFonts w:hint="eastAsia" w:ascii="新宋体" w:hAnsi="新宋体" w:cs="新宋体"/>
                <w:b/>
                <w:color w:val="auto"/>
                <w:sz w:val="21"/>
                <w:szCs w:val="21"/>
                <w:highlight w:val="none"/>
              </w:rPr>
              <w:t>要求</w:t>
            </w:r>
          </w:p>
        </w:tc>
        <w:tc>
          <w:tcPr>
            <w:tcW w:w="2625" w:type="dxa"/>
            <w:tcBorders>
              <w:tl2br w:val="nil"/>
              <w:tr2bl w:val="nil"/>
            </w:tcBorders>
            <w:vAlign w:val="center"/>
          </w:tcPr>
          <w:p w14:paraId="54432E6E">
            <w:pPr>
              <w:spacing w:line="320" w:lineRule="exact"/>
              <w:jc w:val="center"/>
              <w:rPr>
                <w:rFonts w:hint="eastAsia" w:ascii="宋体" w:hAnsi="宋体"/>
                <w:b/>
                <w:bCs/>
                <w:position w:val="4"/>
                <w:sz w:val="21"/>
                <w:szCs w:val="21"/>
                <w:highlight w:val="none"/>
                <w:vertAlign w:val="baseline"/>
              </w:rPr>
            </w:pPr>
            <w:r>
              <w:rPr>
                <w:rFonts w:hint="eastAsia" w:ascii="新宋体" w:hAnsi="新宋体" w:cs="新宋体"/>
                <w:b/>
                <w:color w:val="auto"/>
                <w:sz w:val="21"/>
                <w:szCs w:val="21"/>
                <w:highlight w:val="none"/>
              </w:rPr>
              <w:t>投标文件</w:t>
            </w:r>
            <w:r>
              <w:rPr>
                <w:rFonts w:hint="eastAsia" w:ascii="新宋体" w:hAnsi="新宋体" w:cs="新宋体"/>
                <w:b/>
                <w:color w:val="auto"/>
                <w:sz w:val="21"/>
                <w:szCs w:val="21"/>
                <w:highlight w:val="none"/>
                <w:lang w:val="en-US" w:eastAsia="zh-CN"/>
              </w:rPr>
              <w:t>技术参数</w:t>
            </w:r>
            <w:r>
              <w:rPr>
                <w:rFonts w:hint="eastAsia" w:ascii="新宋体" w:hAnsi="新宋体" w:cs="新宋体"/>
                <w:b/>
                <w:color w:val="auto"/>
                <w:sz w:val="21"/>
                <w:szCs w:val="21"/>
                <w:highlight w:val="none"/>
              </w:rPr>
              <w:t>响应</w:t>
            </w:r>
          </w:p>
        </w:tc>
        <w:tc>
          <w:tcPr>
            <w:tcW w:w="1590" w:type="dxa"/>
            <w:tcBorders>
              <w:tl2br w:val="nil"/>
              <w:tr2bl w:val="nil"/>
            </w:tcBorders>
            <w:vAlign w:val="center"/>
          </w:tcPr>
          <w:p w14:paraId="625642D4">
            <w:pPr>
              <w:spacing w:line="320" w:lineRule="exact"/>
              <w:jc w:val="center"/>
              <w:rPr>
                <w:rFonts w:hint="eastAsia" w:ascii="宋体" w:hAnsi="宋体"/>
                <w:b/>
                <w:bCs/>
                <w:position w:val="4"/>
                <w:sz w:val="21"/>
                <w:szCs w:val="21"/>
                <w:highlight w:val="none"/>
                <w:vertAlign w:val="baseline"/>
              </w:rPr>
            </w:pPr>
            <w:r>
              <w:rPr>
                <w:rFonts w:hint="eastAsia" w:ascii="新宋体" w:hAnsi="新宋体" w:cs="新宋体"/>
                <w:b/>
                <w:color w:val="auto"/>
                <w:sz w:val="21"/>
                <w:szCs w:val="21"/>
                <w:highlight w:val="none"/>
              </w:rPr>
              <w:t>偏离情况</w:t>
            </w:r>
          </w:p>
        </w:tc>
        <w:tc>
          <w:tcPr>
            <w:tcW w:w="1245" w:type="dxa"/>
            <w:tcBorders>
              <w:tl2br w:val="nil"/>
              <w:tr2bl w:val="nil"/>
            </w:tcBorders>
            <w:vAlign w:val="center"/>
          </w:tcPr>
          <w:p w14:paraId="1134A209">
            <w:pPr>
              <w:spacing w:line="320" w:lineRule="exact"/>
              <w:jc w:val="center"/>
              <w:rPr>
                <w:rFonts w:hint="eastAsia" w:ascii="宋体" w:hAnsi="宋体"/>
                <w:b/>
                <w:bCs/>
                <w:position w:val="4"/>
                <w:sz w:val="21"/>
                <w:szCs w:val="21"/>
                <w:highlight w:val="none"/>
                <w:vertAlign w:val="baseline"/>
              </w:rPr>
            </w:pPr>
            <w:r>
              <w:rPr>
                <w:rFonts w:hint="eastAsia" w:ascii="新宋体" w:hAnsi="新宋体" w:cs="新宋体"/>
                <w:b/>
                <w:color w:val="auto"/>
                <w:sz w:val="21"/>
                <w:szCs w:val="21"/>
                <w:highlight w:val="none"/>
              </w:rPr>
              <w:t>说明</w:t>
            </w:r>
          </w:p>
        </w:tc>
      </w:tr>
      <w:tr w14:paraId="37A8FE1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840" w:type="dxa"/>
            <w:tcBorders>
              <w:tl2br w:val="nil"/>
              <w:tr2bl w:val="nil"/>
            </w:tcBorders>
          </w:tcPr>
          <w:p w14:paraId="6BB90D97">
            <w:pPr>
              <w:spacing w:line="560" w:lineRule="exact"/>
              <w:rPr>
                <w:rFonts w:hint="eastAsia" w:ascii="宋体" w:hAnsi="宋体"/>
                <w:b/>
                <w:bCs/>
                <w:position w:val="4"/>
                <w:sz w:val="32"/>
                <w:szCs w:val="32"/>
                <w:highlight w:val="none"/>
                <w:vertAlign w:val="baseline"/>
              </w:rPr>
            </w:pPr>
          </w:p>
        </w:tc>
        <w:tc>
          <w:tcPr>
            <w:tcW w:w="2910" w:type="dxa"/>
            <w:tcBorders>
              <w:tl2br w:val="nil"/>
              <w:tr2bl w:val="nil"/>
            </w:tcBorders>
          </w:tcPr>
          <w:p w14:paraId="792971E1">
            <w:pPr>
              <w:spacing w:line="560" w:lineRule="exact"/>
              <w:rPr>
                <w:rFonts w:hint="eastAsia" w:ascii="宋体" w:hAnsi="宋体"/>
                <w:b/>
                <w:bCs/>
                <w:position w:val="4"/>
                <w:sz w:val="32"/>
                <w:szCs w:val="32"/>
                <w:highlight w:val="none"/>
                <w:vertAlign w:val="baseline"/>
              </w:rPr>
            </w:pPr>
          </w:p>
        </w:tc>
        <w:tc>
          <w:tcPr>
            <w:tcW w:w="2625" w:type="dxa"/>
            <w:tcBorders>
              <w:tl2br w:val="nil"/>
              <w:tr2bl w:val="nil"/>
            </w:tcBorders>
          </w:tcPr>
          <w:p w14:paraId="41B2DF71">
            <w:pPr>
              <w:spacing w:line="560" w:lineRule="exact"/>
              <w:rPr>
                <w:rFonts w:hint="eastAsia" w:ascii="宋体" w:hAnsi="宋体"/>
                <w:b/>
                <w:bCs/>
                <w:position w:val="4"/>
                <w:sz w:val="32"/>
                <w:szCs w:val="32"/>
                <w:highlight w:val="none"/>
                <w:vertAlign w:val="baseline"/>
              </w:rPr>
            </w:pPr>
          </w:p>
        </w:tc>
        <w:tc>
          <w:tcPr>
            <w:tcW w:w="1590" w:type="dxa"/>
            <w:tcBorders>
              <w:tl2br w:val="nil"/>
              <w:tr2bl w:val="nil"/>
            </w:tcBorders>
          </w:tcPr>
          <w:p w14:paraId="26923B20">
            <w:pPr>
              <w:spacing w:line="560" w:lineRule="exact"/>
              <w:rPr>
                <w:rFonts w:hint="eastAsia" w:ascii="宋体" w:hAnsi="宋体"/>
                <w:b/>
                <w:bCs/>
                <w:position w:val="4"/>
                <w:sz w:val="32"/>
                <w:szCs w:val="32"/>
                <w:highlight w:val="none"/>
                <w:vertAlign w:val="baseline"/>
              </w:rPr>
            </w:pPr>
          </w:p>
        </w:tc>
        <w:tc>
          <w:tcPr>
            <w:tcW w:w="1245" w:type="dxa"/>
            <w:tcBorders>
              <w:tl2br w:val="nil"/>
              <w:tr2bl w:val="nil"/>
            </w:tcBorders>
          </w:tcPr>
          <w:p w14:paraId="3CD96E49">
            <w:pPr>
              <w:spacing w:line="560" w:lineRule="exact"/>
              <w:rPr>
                <w:rFonts w:hint="eastAsia" w:ascii="宋体" w:hAnsi="宋体"/>
                <w:b/>
                <w:bCs/>
                <w:position w:val="4"/>
                <w:sz w:val="32"/>
                <w:szCs w:val="32"/>
                <w:highlight w:val="none"/>
                <w:vertAlign w:val="baseline"/>
              </w:rPr>
            </w:pPr>
          </w:p>
        </w:tc>
      </w:tr>
      <w:tr w14:paraId="3921FFD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840" w:type="dxa"/>
            <w:tcBorders>
              <w:tl2br w:val="nil"/>
              <w:tr2bl w:val="nil"/>
            </w:tcBorders>
          </w:tcPr>
          <w:p w14:paraId="35FEF592">
            <w:pPr>
              <w:spacing w:line="560" w:lineRule="exact"/>
              <w:rPr>
                <w:rFonts w:hint="eastAsia" w:ascii="宋体" w:hAnsi="宋体"/>
                <w:b/>
                <w:bCs/>
                <w:position w:val="4"/>
                <w:sz w:val="32"/>
                <w:szCs w:val="32"/>
                <w:highlight w:val="none"/>
                <w:vertAlign w:val="baseline"/>
              </w:rPr>
            </w:pPr>
          </w:p>
        </w:tc>
        <w:tc>
          <w:tcPr>
            <w:tcW w:w="2910" w:type="dxa"/>
            <w:tcBorders>
              <w:tl2br w:val="nil"/>
              <w:tr2bl w:val="nil"/>
            </w:tcBorders>
          </w:tcPr>
          <w:p w14:paraId="11230B1E">
            <w:pPr>
              <w:spacing w:line="560" w:lineRule="exact"/>
              <w:rPr>
                <w:rFonts w:hint="eastAsia" w:ascii="宋体" w:hAnsi="宋体"/>
                <w:b/>
                <w:bCs/>
                <w:position w:val="4"/>
                <w:sz w:val="32"/>
                <w:szCs w:val="32"/>
                <w:highlight w:val="none"/>
                <w:vertAlign w:val="baseline"/>
              </w:rPr>
            </w:pPr>
          </w:p>
        </w:tc>
        <w:tc>
          <w:tcPr>
            <w:tcW w:w="2625" w:type="dxa"/>
            <w:tcBorders>
              <w:tl2br w:val="nil"/>
              <w:tr2bl w:val="nil"/>
            </w:tcBorders>
          </w:tcPr>
          <w:p w14:paraId="5060150A">
            <w:pPr>
              <w:spacing w:line="560" w:lineRule="exact"/>
              <w:rPr>
                <w:rFonts w:hint="eastAsia" w:ascii="宋体" w:hAnsi="宋体"/>
                <w:b/>
                <w:bCs/>
                <w:position w:val="4"/>
                <w:sz w:val="32"/>
                <w:szCs w:val="32"/>
                <w:highlight w:val="none"/>
                <w:vertAlign w:val="baseline"/>
              </w:rPr>
            </w:pPr>
          </w:p>
        </w:tc>
        <w:tc>
          <w:tcPr>
            <w:tcW w:w="1590" w:type="dxa"/>
            <w:tcBorders>
              <w:tl2br w:val="nil"/>
              <w:tr2bl w:val="nil"/>
            </w:tcBorders>
          </w:tcPr>
          <w:p w14:paraId="096C2512">
            <w:pPr>
              <w:spacing w:line="560" w:lineRule="exact"/>
              <w:rPr>
                <w:rFonts w:hint="eastAsia" w:ascii="宋体" w:hAnsi="宋体"/>
                <w:b/>
                <w:bCs/>
                <w:position w:val="4"/>
                <w:sz w:val="32"/>
                <w:szCs w:val="32"/>
                <w:highlight w:val="none"/>
                <w:vertAlign w:val="baseline"/>
              </w:rPr>
            </w:pPr>
          </w:p>
        </w:tc>
        <w:tc>
          <w:tcPr>
            <w:tcW w:w="1245" w:type="dxa"/>
            <w:tcBorders>
              <w:tl2br w:val="nil"/>
              <w:tr2bl w:val="nil"/>
            </w:tcBorders>
          </w:tcPr>
          <w:p w14:paraId="43DBE31D">
            <w:pPr>
              <w:spacing w:line="560" w:lineRule="exact"/>
              <w:rPr>
                <w:rFonts w:hint="eastAsia" w:ascii="宋体" w:hAnsi="宋体"/>
                <w:b/>
                <w:bCs/>
                <w:position w:val="4"/>
                <w:sz w:val="32"/>
                <w:szCs w:val="32"/>
                <w:highlight w:val="none"/>
                <w:vertAlign w:val="baseline"/>
              </w:rPr>
            </w:pPr>
          </w:p>
        </w:tc>
      </w:tr>
      <w:tr w14:paraId="36BD83B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840" w:type="dxa"/>
            <w:tcBorders>
              <w:tl2br w:val="nil"/>
              <w:tr2bl w:val="nil"/>
            </w:tcBorders>
          </w:tcPr>
          <w:p w14:paraId="0AF82A9B">
            <w:pPr>
              <w:spacing w:line="560" w:lineRule="exact"/>
              <w:rPr>
                <w:rFonts w:hint="eastAsia" w:ascii="宋体" w:hAnsi="宋体"/>
                <w:b/>
                <w:bCs/>
                <w:position w:val="4"/>
                <w:sz w:val="32"/>
                <w:szCs w:val="32"/>
                <w:highlight w:val="none"/>
                <w:vertAlign w:val="baseline"/>
              </w:rPr>
            </w:pPr>
          </w:p>
        </w:tc>
        <w:tc>
          <w:tcPr>
            <w:tcW w:w="2910" w:type="dxa"/>
            <w:tcBorders>
              <w:tl2br w:val="nil"/>
              <w:tr2bl w:val="nil"/>
            </w:tcBorders>
          </w:tcPr>
          <w:p w14:paraId="05D0BD44">
            <w:pPr>
              <w:spacing w:line="560" w:lineRule="exact"/>
              <w:rPr>
                <w:rFonts w:hint="eastAsia" w:ascii="宋体" w:hAnsi="宋体"/>
                <w:b/>
                <w:bCs/>
                <w:position w:val="4"/>
                <w:sz w:val="32"/>
                <w:szCs w:val="32"/>
                <w:highlight w:val="none"/>
                <w:vertAlign w:val="baseline"/>
              </w:rPr>
            </w:pPr>
          </w:p>
        </w:tc>
        <w:tc>
          <w:tcPr>
            <w:tcW w:w="2625" w:type="dxa"/>
            <w:tcBorders>
              <w:tl2br w:val="nil"/>
              <w:tr2bl w:val="nil"/>
            </w:tcBorders>
          </w:tcPr>
          <w:p w14:paraId="72DE575D">
            <w:pPr>
              <w:spacing w:line="560" w:lineRule="exact"/>
              <w:rPr>
                <w:rFonts w:hint="eastAsia" w:ascii="宋体" w:hAnsi="宋体"/>
                <w:b/>
                <w:bCs/>
                <w:position w:val="4"/>
                <w:sz w:val="32"/>
                <w:szCs w:val="32"/>
                <w:highlight w:val="none"/>
                <w:vertAlign w:val="baseline"/>
              </w:rPr>
            </w:pPr>
          </w:p>
        </w:tc>
        <w:tc>
          <w:tcPr>
            <w:tcW w:w="1590" w:type="dxa"/>
            <w:tcBorders>
              <w:tl2br w:val="nil"/>
              <w:tr2bl w:val="nil"/>
            </w:tcBorders>
          </w:tcPr>
          <w:p w14:paraId="51A2BCB6">
            <w:pPr>
              <w:spacing w:line="560" w:lineRule="exact"/>
              <w:rPr>
                <w:rFonts w:hint="eastAsia" w:ascii="宋体" w:hAnsi="宋体"/>
                <w:b/>
                <w:bCs/>
                <w:position w:val="4"/>
                <w:sz w:val="32"/>
                <w:szCs w:val="32"/>
                <w:highlight w:val="none"/>
                <w:vertAlign w:val="baseline"/>
              </w:rPr>
            </w:pPr>
          </w:p>
        </w:tc>
        <w:tc>
          <w:tcPr>
            <w:tcW w:w="1245" w:type="dxa"/>
            <w:tcBorders>
              <w:tl2br w:val="nil"/>
              <w:tr2bl w:val="nil"/>
            </w:tcBorders>
          </w:tcPr>
          <w:p w14:paraId="03576926">
            <w:pPr>
              <w:spacing w:line="560" w:lineRule="exact"/>
              <w:rPr>
                <w:rFonts w:hint="eastAsia" w:ascii="宋体" w:hAnsi="宋体"/>
                <w:b/>
                <w:bCs/>
                <w:position w:val="4"/>
                <w:sz w:val="32"/>
                <w:szCs w:val="32"/>
                <w:highlight w:val="none"/>
                <w:vertAlign w:val="baseline"/>
              </w:rPr>
            </w:pPr>
          </w:p>
        </w:tc>
      </w:tr>
      <w:tr w14:paraId="44E078E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840" w:type="dxa"/>
            <w:tcBorders>
              <w:tl2br w:val="nil"/>
              <w:tr2bl w:val="nil"/>
            </w:tcBorders>
          </w:tcPr>
          <w:p w14:paraId="772AD572">
            <w:pPr>
              <w:spacing w:line="560" w:lineRule="exact"/>
              <w:rPr>
                <w:rFonts w:hint="eastAsia" w:ascii="宋体" w:hAnsi="宋体"/>
                <w:b/>
                <w:bCs/>
                <w:position w:val="4"/>
                <w:sz w:val="32"/>
                <w:szCs w:val="32"/>
                <w:highlight w:val="none"/>
                <w:vertAlign w:val="baseline"/>
              </w:rPr>
            </w:pPr>
          </w:p>
        </w:tc>
        <w:tc>
          <w:tcPr>
            <w:tcW w:w="2910" w:type="dxa"/>
            <w:tcBorders>
              <w:tl2br w:val="nil"/>
              <w:tr2bl w:val="nil"/>
            </w:tcBorders>
          </w:tcPr>
          <w:p w14:paraId="2046163F">
            <w:pPr>
              <w:spacing w:line="560" w:lineRule="exact"/>
              <w:rPr>
                <w:rFonts w:hint="eastAsia" w:ascii="宋体" w:hAnsi="宋体"/>
                <w:b/>
                <w:bCs/>
                <w:position w:val="4"/>
                <w:sz w:val="32"/>
                <w:szCs w:val="32"/>
                <w:highlight w:val="none"/>
                <w:vertAlign w:val="baseline"/>
              </w:rPr>
            </w:pPr>
          </w:p>
        </w:tc>
        <w:tc>
          <w:tcPr>
            <w:tcW w:w="2625" w:type="dxa"/>
            <w:tcBorders>
              <w:tl2br w:val="nil"/>
              <w:tr2bl w:val="nil"/>
            </w:tcBorders>
          </w:tcPr>
          <w:p w14:paraId="79602D27">
            <w:pPr>
              <w:spacing w:line="560" w:lineRule="exact"/>
              <w:rPr>
                <w:rFonts w:hint="eastAsia" w:ascii="宋体" w:hAnsi="宋体"/>
                <w:b/>
                <w:bCs/>
                <w:position w:val="4"/>
                <w:sz w:val="32"/>
                <w:szCs w:val="32"/>
                <w:highlight w:val="none"/>
                <w:vertAlign w:val="baseline"/>
              </w:rPr>
            </w:pPr>
          </w:p>
        </w:tc>
        <w:tc>
          <w:tcPr>
            <w:tcW w:w="1590" w:type="dxa"/>
            <w:tcBorders>
              <w:tl2br w:val="nil"/>
              <w:tr2bl w:val="nil"/>
            </w:tcBorders>
          </w:tcPr>
          <w:p w14:paraId="47B4CAC3">
            <w:pPr>
              <w:spacing w:line="560" w:lineRule="exact"/>
              <w:rPr>
                <w:rFonts w:hint="eastAsia" w:ascii="宋体" w:hAnsi="宋体"/>
                <w:b/>
                <w:bCs/>
                <w:position w:val="4"/>
                <w:sz w:val="32"/>
                <w:szCs w:val="32"/>
                <w:highlight w:val="none"/>
                <w:vertAlign w:val="baseline"/>
              </w:rPr>
            </w:pPr>
          </w:p>
        </w:tc>
        <w:tc>
          <w:tcPr>
            <w:tcW w:w="1245" w:type="dxa"/>
            <w:tcBorders>
              <w:tl2br w:val="nil"/>
              <w:tr2bl w:val="nil"/>
            </w:tcBorders>
          </w:tcPr>
          <w:p w14:paraId="7448EA87">
            <w:pPr>
              <w:spacing w:line="560" w:lineRule="exact"/>
              <w:rPr>
                <w:rFonts w:hint="eastAsia" w:ascii="宋体" w:hAnsi="宋体"/>
                <w:b/>
                <w:bCs/>
                <w:position w:val="4"/>
                <w:sz w:val="32"/>
                <w:szCs w:val="32"/>
                <w:highlight w:val="none"/>
                <w:vertAlign w:val="baseline"/>
              </w:rPr>
            </w:pPr>
          </w:p>
        </w:tc>
      </w:tr>
      <w:tr w14:paraId="2C12C6B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840" w:type="dxa"/>
            <w:tcBorders>
              <w:tl2br w:val="nil"/>
              <w:tr2bl w:val="nil"/>
            </w:tcBorders>
          </w:tcPr>
          <w:p w14:paraId="30F8C258">
            <w:pPr>
              <w:spacing w:line="560" w:lineRule="exact"/>
              <w:rPr>
                <w:rFonts w:hint="eastAsia" w:ascii="宋体" w:hAnsi="宋体"/>
                <w:b/>
                <w:bCs/>
                <w:position w:val="4"/>
                <w:sz w:val="32"/>
                <w:szCs w:val="32"/>
                <w:highlight w:val="none"/>
                <w:vertAlign w:val="baseline"/>
              </w:rPr>
            </w:pPr>
          </w:p>
        </w:tc>
        <w:tc>
          <w:tcPr>
            <w:tcW w:w="2910" w:type="dxa"/>
            <w:tcBorders>
              <w:tl2br w:val="nil"/>
              <w:tr2bl w:val="nil"/>
            </w:tcBorders>
          </w:tcPr>
          <w:p w14:paraId="21EF240F">
            <w:pPr>
              <w:spacing w:line="560" w:lineRule="exact"/>
              <w:rPr>
                <w:rFonts w:hint="eastAsia" w:ascii="宋体" w:hAnsi="宋体"/>
                <w:b/>
                <w:bCs/>
                <w:position w:val="4"/>
                <w:sz w:val="32"/>
                <w:szCs w:val="32"/>
                <w:highlight w:val="none"/>
                <w:vertAlign w:val="baseline"/>
              </w:rPr>
            </w:pPr>
          </w:p>
        </w:tc>
        <w:tc>
          <w:tcPr>
            <w:tcW w:w="2625" w:type="dxa"/>
            <w:tcBorders>
              <w:tl2br w:val="nil"/>
              <w:tr2bl w:val="nil"/>
            </w:tcBorders>
          </w:tcPr>
          <w:p w14:paraId="74533E9C">
            <w:pPr>
              <w:spacing w:line="560" w:lineRule="exact"/>
              <w:rPr>
                <w:rFonts w:hint="eastAsia" w:ascii="宋体" w:hAnsi="宋体"/>
                <w:b/>
                <w:bCs/>
                <w:position w:val="4"/>
                <w:sz w:val="32"/>
                <w:szCs w:val="32"/>
                <w:highlight w:val="none"/>
                <w:vertAlign w:val="baseline"/>
              </w:rPr>
            </w:pPr>
          </w:p>
        </w:tc>
        <w:tc>
          <w:tcPr>
            <w:tcW w:w="1590" w:type="dxa"/>
            <w:tcBorders>
              <w:tl2br w:val="nil"/>
              <w:tr2bl w:val="nil"/>
            </w:tcBorders>
          </w:tcPr>
          <w:p w14:paraId="5D28C4DD">
            <w:pPr>
              <w:spacing w:line="560" w:lineRule="exact"/>
              <w:rPr>
                <w:rFonts w:hint="eastAsia" w:ascii="宋体" w:hAnsi="宋体"/>
                <w:b/>
                <w:bCs/>
                <w:position w:val="4"/>
                <w:sz w:val="32"/>
                <w:szCs w:val="32"/>
                <w:highlight w:val="none"/>
                <w:vertAlign w:val="baseline"/>
              </w:rPr>
            </w:pPr>
          </w:p>
        </w:tc>
        <w:tc>
          <w:tcPr>
            <w:tcW w:w="1245" w:type="dxa"/>
            <w:tcBorders>
              <w:tl2br w:val="nil"/>
              <w:tr2bl w:val="nil"/>
            </w:tcBorders>
          </w:tcPr>
          <w:p w14:paraId="32C7DC3A">
            <w:pPr>
              <w:spacing w:line="560" w:lineRule="exact"/>
              <w:rPr>
                <w:rFonts w:hint="eastAsia" w:ascii="宋体" w:hAnsi="宋体"/>
                <w:b/>
                <w:bCs/>
                <w:position w:val="4"/>
                <w:sz w:val="32"/>
                <w:szCs w:val="32"/>
                <w:highlight w:val="none"/>
                <w:vertAlign w:val="baseline"/>
              </w:rPr>
            </w:pPr>
          </w:p>
        </w:tc>
      </w:tr>
      <w:tr w14:paraId="416194E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840" w:type="dxa"/>
            <w:tcBorders>
              <w:tl2br w:val="nil"/>
              <w:tr2bl w:val="nil"/>
            </w:tcBorders>
          </w:tcPr>
          <w:p w14:paraId="72A718C9">
            <w:pPr>
              <w:spacing w:line="560" w:lineRule="exact"/>
              <w:rPr>
                <w:rFonts w:hint="eastAsia" w:ascii="宋体" w:hAnsi="宋体"/>
                <w:b/>
                <w:bCs/>
                <w:position w:val="4"/>
                <w:sz w:val="32"/>
                <w:szCs w:val="32"/>
                <w:highlight w:val="none"/>
                <w:vertAlign w:val="baseline"/>
              </w:rPr>
            </w:pPr>
          </w:p>
        </w:tc>
        <w:tc>
          <w:tcPr>
            <w:tcW w:w="2910" w:type="dxa"/>
            <w:tcBorders>
              <w:tl2br w:val="nil"/>
              <w:tr2bl w:val="nil"/>
            </w:tcBorders>
          </w:tcPr>
          <w:p w14:paraId="033FA78E">
            <w:pPr>
              <w:spacing w:line="560" w:lineRule="exact"/>
              <w:rPr>
                <w:rFonts w:hint="eastAsia" w:ascii="宋体" w:hAnsi="宋体"/>
                <w:b/>
                <w:bCs/>
                <w:position w:val="4"/>
                <w:sz w:val="32"/>
                <w:szCs w:val="32"/>
                <w:highlight w:val="none"/>
                <w:vertAlign w:val="baseline"/>
              </w:rPr>
            </w:pPr>
          </w:p>
        </w:tc>
        <w:tc>
          <w:tcPr>
            <w:tcW w:w="2625" w:type="dxa"/>
            <w:tcBorders>
              <w:tl2br w:val="nil"/>
              <w:tr2bl w:val="nil"/>
            </w:tcBorders>
          </w:tcPr>
          <w:p w14:paraId="5E43F6D2">
            <w:pPr>
              <w:spacing w:line="560" w:lineRule="exact"/>
              <w:rPr>
                <w:rFonts w:hint="eastAsia" w:ascii="宋体" w:hAnsi="宋体"/>
                <w:b/>
                <w:bCs/>
                <w:position w:val="4"/>
                <w:sz w:val="32"/>
                <w:szCs w:val="32"/>
                <w:highlight w:val="none"/>
                <w:vertAlign w:val="baseline"/>
              </w:rPr>
            </w:pPr>
          </w:p>
        </w:tc>
        <w:tc>
          <w:tcPr>
            <w:tcW w:w="1590" w:type="dxa"/>
            <w:tcBorders>
              <w:tl2br w:val="nil"/>
              <w:tr2bl w:val="nil"/>
            </w:tcBorders>
          </w:tcPr>
          <w:p w14:paraId="21B11B62">
            <w:pPr>
              <w:spacing w:line="560" w:lineRule="exact"/>
              <w:rPr>
                <w:rFonts w:hint="eastAsia" w:ascii="宋体" w:hAnsi="宋体"/>
                <w:b/>
                <w:bCs/>
                <w:position w:val="4"/>
                <w:sz w:val="32"/>
                <w:szCs w:val="32"/>
                <w:highlight w:val="none"/>
                <w:vertAlign w:val="baseline"/>
              </w:rPr>
            </w:pPr>
          </w:p>
        </w:tc>
        <w:tc>
          <w:tcPr>
            <w:tcW w:w="1245" w:type="dxa"/>
            <w:tcBorders>
              <w:tl2br w:val="nil"/>
              <w:tr2bl w:val="nil"/>
            </w:tcBorders>
          </w:tcPr>
          <w:p w14:paraId="4FF1DC69">
            <w:pPr>
              <w:spacing w:line="560" w:lineRule="exact"/>
              <w:rPr>
                <w:rFonts w:hint="eastAsia" w:ascii="宋体" w:hAnsi="宋体"/>
                <w:b/>
                <w:bCs/>
                <w:position w:val="4"/>
                <w:sz w:val="32"/>
                <w:szCs w:val="32"/>
                <w:highlight w:val="none"/>
                <w:vertAlign w:val="baseline"/>
              </w:rPr>
            </w:pPr>
          </w:p>
        </w:tc>
      </w:tr>
    </w:tbl>
    <w:p w14:paraId="2378E373">
      <w:pPr>
        <w:spacing w:line="440" w:lineRule="exact"/>
        <w:rPr>
          <w:rFonts w:hint="eastAsia"/>
          <w:color w:val="auto"/>
          <w:szCs w:val="21"/>
          <w:highlight w:val="none"/>
        </w:rPr>
      </w:pPr>
      <w:r>
        <w:rPr>
          <w:rFonts w:hint="eastAsia"/>
          <w:color w:val="auto"/>
          <w:szCs w:val="21"/>
          <w:highlight w:val="none"/>
        </w:rPr>
        <w:t>注：</w:t>
      </w:r>
      <w:r>
        <w:rPr>
          <w:rFonts w:hint="eastAsia"/>
          <w:color w:val="auto"/>
          <w:szCs w:val="21"/>
          <w:highlight w:val="none"/>
          <w:lang w:val="en-US" w:eastAsia="zh-CN"/>
        </w:rPr>
        <w:t>1、</w:t>
      </w:r>
      <w:r>
        <w:rPr>
          <w:rFonts w:hint="eastAsia"/>
          <w:color w:val="auto"/>
          <w:szCs w:val="21"/>
          <w:highlight w:val="none"/>
        </w:rPr>
        <w:t>须按招标文件要求的格式填写“技术偏离表”，提供逐条对应招标文件要求响应的详细且明确的技术参数及要求为评标依据，</w:t>
      </w:r>
      <w:r>
        <w:rPr>
          <w:rFonts w:hint="eastAsia"/>
          <w:color w:val="auto"/>
          <w:szCs w:val="21"/>
          <w:highlight w:val="none"/>
          <w:lang w:val="en-US" w:eastAsia="zh-CN"/>
        </w:rPr>
        <w:t>不得缺项漏项，否则按无效文件处理</w:t>
      </w:r>
      <w:r>
        <w:rPr>
          <w:rFonts w:hint="eastAsia"/>
          <w:color w:val="auto"/>
          <w:szCs w:val="21"/>
          <w:highlight w:val="none"/>
        </w:rPr>
        <w:t>。</w:t>
      </w:r>
    </w:p>
    <w:p w14:paraId="63D35343">
      <w:pPr>
        <w:numPr>
          <w:ilvl w:val="0"/>
          <w:numId w:val="0"/>
        </w:numPr>
        <w:spacing w:line="440" w:lineRule="exact"/>
        <w:ind w:firstLine="420" w:firstLineChars="200"/>
        <w:rPr>
          <w:rFonts w:hint="eastAsia"/>
          <w:szCs w:val="21"/>
          <w:highlight w:val="none"/>
        </w:rPr>
      </w:pPr>
      <w:r>
        <w:rPr>
          <w:rFonts w:hint="eastAsia"/>
          <w:szCs w:val="21"/>
          <w:highlight w:val="none"/>
          <w:lang w:val="en-US" w:eastAsia="zh-CN"/>
        </w:rPr>
        <w:t>2、</w:t>
      </w:r>
      <w:r>
        <w:rPr>
          <w:rFonts w:hint="eastAsia"/>
          <w:szCs w:val="21"/>
          <w:highlight w:val="none"/>
        </w:rPr>
        <w:t>投标人必须据实填写，不得虚假响应，否则将取消其投标或中标资格，并按有关规定进行处罚。</w:t>
      </w:r>
    </w:p>
    <w:p w14:paraId="45C2D8EA">
      <w:pPr>
        <w:numPr>
          <w:ilvl w:val="0"/>
          <w:numId w:val="0"/>
        </w:numPr>
        <w:spacing w:line="440" w:lineRule="exact"/>
        <w:rPr>
          <w:rFonts w:hint="eastAsia"/>
          <w:szCs w:val="21"/>
          <w:highlight w:val="none"/>
        </w:rPr>
      </w:pPr>
    </w:p>
    <w:p w14:paraId="6CEC16CF">
      <w:pPr>
        <w:numPr>
          <w:ilvl w:val="0"/>
          <w:numId w:val="0"/>
        </w:numPr>
        <w:spacing w:line="440" w:lineRule="exact"/>
        <w:rPr>
          <w:rFonts w:hint="eastAsia"/>
          <w:szCs w:val="21"/>
          <w:highlight w:val="none"/>
        </w:rPr>
      </w:pPr>
    </w:p>
    <w:p w14:paraId="3E9DE211">
      <w:pPr>
        <w:pStyle w:val="80"/>
        <w:keepNext w:val="0"/>
        <w:keepLines w:val="0"/>
        <w:pageBreakBefore w:val="0"/>
        <w:kinsoku/>
        <w:wordWrap/>
        <w:overflowPunct/>
        <w:topLinePunct w:val="0"/>
        <w:autoSpaceDE/>
        <w:autoSpaceDN/>
        <w:bidi w:val="0"/>
        <w:adjustRightInd/>
        <w:snapToGrid/>
        <w:spacing w:line="500" w:lineRule="exact"/>
        <w:ind w:left="0" w:leftChars="0" w:right="0" w:rightChars="0" w:firstLine="0" w:firstLineChars="0"/>
        <w:jc w:val="left"/>
        <w:textAlignment w:val="auto"/>
        <w:rPr>
          <w:rFonts w:hint="eastAsia" w:ascii="新宋体" w:hAnsi="新宋体"/>
          <w:b w:val="0"/>
          <w:color w:val="auto"/>
          <w:sz w:val="21"/>
          <w:szCs w:val="21"/>
          <w:highlight w:val="none"/>
        </w:rPr>
      </w:pPr>
      <w:r>
        <w:rPr>
          <w:rFonts w:hint="eastAsia" w:ascii="新宋体" w:hAnsi="新宋体"/>
          <w:b w:val="0"/>
          <w:color w:val="auto"/>
          <w:sz w:val="21"/>
          <w:szCs w:val="21"/>
          <w:highlight w:val="none"/>
          <w:lang w:val="en-US" w:eastAsia="zh-CN"/>
        </w:rPr>
        <w:t xml:space="preserve">                                             </w:t>
      </w:r>
      <w:r>
        <w:rPr>
          <w:rFonts w:hint="eastAsia" w:ascii="新宋体" w:hAnsi="新宋体"/>
          <w:b w:val="0"/>
          <w:color w:val="auto"/>
          <w:sz w:val="21"/>
          <w:szCs w:val="21"/>
          <w:highlight w:val="none"/>
        </w:rPr>
        <w:t>投标人：</w:t>
      </w:r>
      <w:r>
        <w:rPr>
          <w:rFonts w:ascii="新宋体" w:hAnsi="新宋体"/>
          <w:b w:val="0"/>
          <w:color w:val="auto"/>
          <w:sz w:val="21"/>
          <w:szCs w:val="21"/>
          <w:highlight w:val="none"/>
          <w:u w:val="single"/>
        </w:rPr>
        <w:t xml:space="preserve">             </w:t>
      </w:r>
      <w:r>
        <w:rPr>
          <w:rFonts w:hint="eastAsia" w:ascii="新宋体" w:hAnsi="新宋体"/>
          <w:b w:val="0"/>
          <w:color w:val="auto"/>
          <w:sz w:val="21"/>
          <w:szCs w:val="21"/>
          <w:highlight w:val="none"/>
          <w:u w:val="single"/>
        </w:rPr>
        <w:t xml:space="preserve">  （单位全称、盖章）   </w:t>
      </w:r>
    </w:p>
    <w:p w14:paraId="5AFDE1F5">
      <w:pPr>
        <w:pStyle w:val="80"/>
        <w:keepNext w:val="0"/>
        <w:keepLines w:val="0"/>
        <w:pageBreakBefore w:val="0"/>
        <w:kinsoku/>
        <w:wordWrap/>
        <w:overflowPunct/>
        <w:topLinePunct w:val="0"/>
        <w:autoSpaceDE/>
        <w:autoSpaceDN/>
        <w:bidi w:val="0"/>
        <w:adjustRightInd/>
        <w:snapToGrid/>
        <w:spacing w:line="500" w:lineRule="exact"/>
        <w:ind w:left="0" w:leftChars="0" w:right="0" w:rightChars="0" w:firstLine="0" w:firstLineChars="0"/>
        <w:jc w:val="left"/>
        <w:textAlignment w:val="auto"/>
        <w:rPr>
          <w:rFonts w:hint="eastAsia" w:ascii="新宋体" w:hAnsi="新宋体"/>
          <w:b w:val="0"/>
          <w:color w:val="auto"/>
          <w:sz w:val="21"/>
          <w:szCs w:val="21"/>
          <w:highlight w:val="none"/>
        </w:rPr>
      </w:pPr>
      <w:r>
        <w:rPr>
          <w:rFonts w:hint="eastAsia" w:ascii="新宋体" w:hAnsi="新宋体"/>
          <w:b w:val="0"/>
          <w:color w:val="auto"/>
          <w:sz w:val="21"/>
          <w:szCs w:val="21"/>
          <w:highlight w:val="none"/>
          <w:lang w:val="en-US" w:eastAsia="zh-CN"/>
        </w:rPr>
        <w:t xml:space="preserve">                                             </w:t>
      </w:r>
      <w:r>
        <w:rPr>
          <w:rFonts w:hint="eastAsia" w:ascii="新宋体" w:hAnsi="新宋体"/>
          <w:b w:val="0"/>
          <w:color w:val="auto"/>
          <w:sz w:val="21"/>
          <w:szCs w:val="21"/>
          <w:highlight w:val="none"/>
        </w:rPr>
        <w:t>法定代表人或授权代表：</w:t>
      </w:r>
      <w:r>
        <w:rPr>
          <w:rFonts w:hint="eastAsia" w:ascii="新宋体" w:hAnsi="新宋体"/>
          <w:b w:val="0"/>
          <w:color w:val="auto"/>
          <w:sz w:val="21"/>
          <w:szCs w:val="21"/>
          <w:highlight w:val="none"/>
          <w:u w:val="single"/>
        </w:rPr>
        <w:t xml:space="preserve">     （</w:t>
      </w:r>
      <w:r>
        <w:rPr>
          <w:rFonts w:hint="eastAsia" w:ascii="新宋体" w:hAnsi="新宋体"/>
          <w:b w:val="0"/>
          <w:color w:val="auto"/>
          <w:sz w:val="21"/>
          <w:szCs w:val="21"/>
          <w:highlight w:val="none"/>
          <w:u w:val="single"/>
          <w:lang w:eastAsia="zh-CN"/>
        </w:rPr>
        <w:t>盖章或签字</w:t>
      </w:r>
      <w:r>
        <w:rPr>
          <w:rFonts w:hint="eastAsia" w:ascii="新宋体" w:hAnsi="新宋体"/>
          <w:b w:val="0"/>
          <w:color w:val="auto"/>
          <w:sz w:val="21"/>
          <w:szCs w:val="21"/>
          <w:highlight w:val="none"/>
          <w:u w:val="single"/>
        </w:rPr>
        <w:t xml:space="preserve">）    </w:t>
      </w:r>
    </w:p>
    <w:p w14:paraId="27D99447">
      <w:pPr>
        <w:spacing w:line="440" w:lineRule="exact"/>
        <w:rPr>
          <w:rFonts w:hint="eastAsia"/>
          <w:szCs w:val="21"/>
          <w:highlight w:val="none"/>
        </w:rPr>
      </w:pPr>
      <w:r>
        <w:rPr>
          <w:rFonts w:hint="eastAsia" w:ascii="新宋体" w:hAnsi="新宋体"/>
          <w:b w:val="0"/>
          <w:color w:val="auto"/>
          <w:sz w:val="21"/>
          <w:szCs w:val="21"/>
          <w:highlight w:val="none"/>
          <w:lang w:val="en-US" w:eastAsia="zh-CN"/>
        </w:rPr>
        <w:t xml:space="preserve">                                             </w:t>
      </w:r>
      <w:r>
        <w:rPr>
          <w:rFonts w:hint="eastAsia" w:ascii="新宋体" w:hAnsi="新宋体"/>
          <w:b w:val="0"/>
          <w:color w:val="auto"/>
          <w:sz w:val="21"/>
          <w:szCs w:val="21"/>
          <w:highlight w:val="none"/>
        </w:rPr>
        <w:t>投标日期：</w:t>
      </w:r>
      <w:r>
        <w:rPr>
          <w:rFonts w:hint="eastAsia" w:ascii="新宋体" w:hAnsi="新宋体"/>
          <w:b w:val="0"/>
          <w:color w:val="auto"/>
          <w:sz w:val="21"/>
          <w:szCs w:val="21"/>
          <w:highlight w:val="none"/>
          <w:u w:val="single"/>
        </w:rPr>
        <w:t xml:space="preserve">        </w:t>
      </w:r>
      <w:r>
        <w:rPr>
          <w:rFonts w:hint="eastAsia" w:ascii="新宋体" w:hAnsi="新宋体"/>
          <w:b w:val="0"/>
          <w:color w:val="auto"/>
          <w:sz w:val="21"/>
          <w:szCs w:val="21"/>
          <w:highlight w:val="none"/>
        </w:rPr>
        <w:t>年</w:t>
      </w:r>
      <w:r>
        <w:rPr>
          <w:rFonts w:hint="eastAsia" w:ascii="新宋体" w:hAnsi="新宋体"/>
          <w:b w:val="0"/>
          <w:color w:val="auto"/>
          <w:sz w:val="21"/>
          <w:szCs w:val="21"/>
          <w:highlight w:val="none"/>
          <w:u w:val="single"/>
        </w:rPr>
        <w:t xml:space="preserve">    </w:t>
      </w:r>
      <w:r>
        <w:rPr>
          <w:rFonts w:hint="eastAsia" w:ascii="新宋体" w:hAnsi="新宋体"/>
          <w:b w:val="0"/>
          <w:color w:val="auto"/>
          <w:sz w:val="21"/>
          <w:szCs w:val="21"/>
          <w:highlight w:val="none"/>
        </w:rPr>
        <w:t>月</w:t>
      </w:r>
      <w:r>
        <w:rPr>
          <w:rFonts w:hint="eastAsia" w:ascii="新宋体" w:hAnsi="新宋体"/>
          <w:b w:val="0"/>
          <w:color w:val="auto"/>
          <w:sz w:val="21"/>
          <w:szCs w:val="21"/>
          <w:highlight w:val="none"/>
          <w:u w:val="single"/>
        </w:rPr>
        <w:t xml:space="preserve">    </w:t>
      </w:r>
      <w:r>
        <w:rPr>
          <w:rFonts w:hint="eastAsia" w:ascii="新宋体" w:hAnsi="新宋体"/>
          <w:b w:val="0"/>
          <w:color w:val="auto"/>
          <w:sz w:val="21"/>
          <w:szCs w:val="21"/>
          <w:highlight w:val="none"/>
        </w:rPr>
        <w:t>日</w:t>
      </w:r>
    </w:p>
    <w:p w14:paraId="1F9EF5DB">
      <w:pPr>
        <w:keepNext w:val="0"/>
        <w:keepLines w:val="0"/>
        <w:pageBreakBefore w:val="0"/>
        <w:widowControl w:val="0"/>
        <w:kinsoku/>
        <w:wordWrap/>
        <w:overflowPunct/>
        <w:topLinePunct w:val="0"/>
        <w:autoSpaceDE/>
        <w:autoSpaceDN/>
        <w:bidi w:val="0"/>
        <w:adjustRightInd/>
        <w:snapToGrid/>
        <w:spacing w:line="560" w:lineRule="atLeast"/>
        <w:ind w:left="0" w:leftChars="0" w:right="0" w:rightChars="0" w:firstLine="0" w:firstLineChars="0"/>
        <w:jc w:val="center"/>
        <w:textAlignment w:val="auto"/>
        <w:outlineLvl w:val="9"/>
        <w:rPr>
          <w:rFonts w:hint="eastAsia"/>
          <w:b/>
          <w:bCs/>
          <w:sz w:val="36"/>
          <w:szCs w:val="36"/>
          <w:highlight w:val="none"/>
          <w:lang w:val="en-US" w:eastAsia="zh-CN"/>
        </w:rPr>
      </w:pPr>
    </w:p>
    <w:p w14:paraId="0F841F4A">
      <w:pPr>
        <w:keepNext w:val="0"/>
        <w:keepLines w:val="0"/>
        <w:pageBreakBefore w:val="0"/>
        <w:widowControl w:val="0"/>
        <w:kinsoku/>
        <w:wordWrap/>
        <w:overflowPunct/>
        <w:topLinePunct w:val="0"/>
        <w:autoSpaceDE/>
        <w:autoSpaceDN/>
        <w:bidi w:val="0"/>
        <w:adjustRightInd/>
        <w:snapToGrid/>
        <w:spacing w:line="560" w:lineRule="atLeast"/>
        <w:ind w:left="0" w:leftChars="0" w:right="0" w:rightChars="0" w:firstLine="0" w:firstLineChars="0"/>
        <w:jc w:val="center"/>
        <w:textAlignment w:val="auto"/>
        <w:outlineLvl w:val="9"/>
        <w:rPr>
          <w:rFonts w:hint="eastAsia"/>
          <w:b/>
          <w:bCs/>
          <w:sz w:val="36"/>
          <w:szCs w:val="36"/>
          <w:highlight w:val="none"/>
          <w:lang w:val="en-US" w:eastAsia="zh-CN"/>
        </w:rPr>
      </w:pPr>
    </w:p>
    <w:p w14:paraId="1DEB87B4">
      <w:pPr>
        <w:keepNext w:val="0"/>
        <w:keepLines w:val="0"/>
        <w:pageBreakBefore w:val="0"/>
        <w:widowControl w:val="0"/>
        <w:kinsoku/>
        <w:wordWrap/>
        <w:overflowPunct/>
        <w:topLinePunct w:val="0"/>
        <w:autoSpaceDE/>
        <w:autoSpaceDN/>
        <w:bidi w:val="0"/>
        <w:adjustRightInd/>
        <w:snapToGrid/>
        <w:spacing w:line="560" w:lineRule="atLeast"/>
        <w:ind w:left="0" w:leftChars="0" w:right="0" w:rightChars="0" w:firstLine="0" w:firstLineChars="0"/>
        <w:jc w:val="center"/>
        <w:textAlignment w:val="auto"/>
        <w:outlineLvl w:val="9"/>
        <w:rPr>
          <w:rFonts w:hint="eastAsia"/>
          <w:b/>
          <w:bCs/>
          <w:sz w:val="36"/>
          <w:szCs w:val="36"/>
          <w:highlight w:val="none"/>
          <w:lang w:val="en-US" w:eastAsia="zh-CN"/>
        </w:rPr>
      </w:pPr>
    </w:p>
    <w:p w14:paraId="33E7FB49">
      <w:pPr>
        <w:keepNext w:val="0"/>
        <w:keepLines w:val="0"/>
        <w:pageBreakBefore w:val="0"/>
        <w:widowControl w:val="0"/>
        <w:kinsoku/>
        <w:wordWrap/>
        <w:overflowPunct/>
        <w:topLinePunct w:val="0"/>
        <w:autoSpaceDE/>
        <w:autoSpaceDN/>
        <w:bidi w:val="0"/>
        <w:adjustRightInd/>
        <w:snapToGrid/>
        <w:spacing w:line="560" w:lineRule="atLeast"/>
        <w:ind w:left="0" w:leftChars="0" w:right="0" w:rightChars="0" w:firstLine="0" w:firstLineChars="0"/>
        <w:jc w:val="center"/>
        <w:textAlignment w:val="auto"/>
        <w:outlineLvl w:val="9"/>
        <w:rPr>
          <w:rFonts w:hint="eastAsia"/>
          <w:b/>
          <w:bCs/>
          <w:sz w:val="36"/>
          <w:szCs w:val="36"/>
          <w:highlight w:val="none"/>
          <w:lang w:val="en-US" w:eastAsia="zh-CN"/>
        </w:rPr>
      </w:pPr>
    </w:p>
    <w:p w14:paraId="6A777C3B">
      <w:pPr>
        <w:keepNext w:val="0"/>
        <w:keepLines w:val="0"/>
        <w:pageBreakBefore w:val="0"/>
        <w:widowControl w:val="0"/>
        <w:kinsoku/>
        <w:wordWrap/>
        <w:overflowPunct/>
        <w:topLinePunct w:val="0"/>
        <w:autoSpaceDE/>
        <w:autoSpaceDN/>
        <w:bidi w:val="0"/>
        <w:adjustRightInd/>
        <w:snapToGrid/>
        <w:spacing w:line="560" w:lineRule="atLeast"/>
        <w:ind w:left="0" w:leftChars="0" w:right="0" w:rightChars="0" w:firstLine="0" w:firstLineChars="0"/>
        <w:jc w:val="center"/>
        <w:textAlignment w:val="auto"/>
        <w:outlineLvl w:val="9"/>
        <w:rPr>
          <w:rFonts w:hint="eastAsia"/>
          <w:b/>
          <w:bCs/>
          <w:sz w:val="36"/>
          <w:szCs w:val="36"/>
          <w:highlight w:val="none"/>
          <w:lang w:val="en-US" w:eastAsia="zh-CN"/>
        </w:rPr>
      </w:pPr>
    </w:p>
    <w:p w14:paraId="7AAA966F">
      <w:pPr>
        <w:keepNext w:val="0"/>
        <w:keepLines w:val="0"/>
        <w:pageBreakBefore w:val="0"/>
        <w:widowControl w:val="0"/>
        <w:kinsoku/>
        <w:wordWrap/>
        <w:overflowPunct/>
        <w:topLinePunct w:val="0"/>
        <w:autoSpaceDE/>
        <w:autoSpaceDN/>
        <w:bidi w:val="0"/>
        <w:adjustRightInd/>
        <w:snapToGrid/>
        <w:spacing w:line="560" w:lineRule="atLeast"/>
        <w:ind w:left="0" w:leftChars="0" w:right="0" w:rightChars="0" w:firstLine="0" w:firstLineChars="0"/>
        <w:jc w:val="center"/>
        <w:textAlignment w:val="auto"/>
        <w:outlineLvl w:val="9"/>
        <w:rPr>
          <w:rFonts w:hint="eastAsia"/>
          <w:b/>
          <w:bCs/>
          <w:sz w:val="36"/>
          <w:szCs w:val="36"/>
          <w:highlight w:val="none"/>
          <w:lang w:val="en-US" w:eastAsia="zh-CN"/>
        </w:rPr>
      </w:pPr>
    </w:p>
    <w:p w14:paraId="5CF2FFAF">
      <w:pPr>
        <w:keepNext w:val="0"/>
        <w:keepLines w:val="0"/>
        <w:pageBreakBefore w:val="0"/>
        <w:widowControl w:val="0"/>
        <w:kinsoku/>
        <w:wordWrap/>
        <w:overflowPunct/>
        <w:topLinePunct w:val="0"/>
        <w:autoSpaceDE/>
        <w:autoSpaceDN/>
        <w:bidi w:val="0"/>
        <w:adjustRightInd/>
        <w:snapToGrid/>
        <w:spacing w:line="560" w:lineRule="atLeast"/>
        <w:ind w:left="0" w:leftChars="0" w:right="0" w:rightChars="0" w:firstLine="0" w:firstLineChars="0"/>
        <w:jc w:val="center"/>
        <w:textAlignment w:val="auto"/>
        <w:outlineLvl w:val="9"/>
        <w:rPr>
          <w:rFonts w:hint="eastAsia"/>
          <w:b/>
          <w:bCs/>
          <w:sz w:val="36"/>
          <w:szCs w:val="36"/>
          <w:highlight w:val="none"/>
          <w:lang w:val="en-US" w:eastAsia="zh-CN"/>
        </w:rPr>
      </w:pPr>
    </w:p>
    <w:p w14:paraId="745E5E63">
      <w:pPr>
        <w:keepNext w:val="0"/>
        <w:keepLines w:val="0"/>
        <w:pageBreakBefore w:val="0"/>
        <w:widowControl w:val="0"/>
        <w:kinsoku/>
        <w:wordWrap/>
        <w:overflowPunct/>
        <w:topLinePunct w:val="0"/>
        <w:autoSpaceDE/>
        <w:autoSpaceDN/>
        <w:bidi w:val="0"/>
        <w:adjustRightInd/>
        <w:snapToGrid/>
        <w:spacing w:line="560" w:lineRule="atLeast"/>
        <w:ind w:left="0" w:leftChars="0" w:right="0" w:rightChars="0" w:firstLine="0" w:firstLineChars="0"/>
        <w:jc w:val="center"/>
        <w:textAlignment w:val="auto"/>
        <w:outlineLvl w:val="9"/>
        <w:rPr>
          <w:rFonts w:hint="eastAsia"/>
          <w:b/>
          <w:bCs/>
          <w:sz w:val="36"/>
          <w:szCs w:val="36"/>
          <w:highlight w:val="none"/>
          <w:lang w:val="en-US" w:eastAsia="zh-CN"/>
        </w:rPr>
      </w:pPr>
    </w:p>
    <w:p w14:paraId="0161A360">
      <w:pPr>
        <w:keepNext w:val="0"/>
        <w:keepLines w:val="0"/>
        <w:pageBreakBefore w:val="0"/>
        <w:widowControl w:val="0"/>
        <w:kinsoku/>
        <w:wordWrap/>
        <w:overflowPunct/>
        <w:topLinePunct w:val="0"/>
        <w:autoSpaceDE/>
        <w:autoSpaceDN/>
        <w:bidi w:val="0"/>
        <w:adjustRightInd/>
        <w:snapToGrid/>
        <w:spacing w:line="560" w:lineRule="atLeast"/>
        <w:ind w:left="0" w:leftChars="0" w:right="0" w:rightChars="0" w:firstLine="0" w:firstLineChars="0"/>
        <w:jc w:val="center"/>
        <w:textAlignment w:val="auto"/>
        <w:outlineLvl w:val="9"/>
        <w:rPr>
          <w:rFonts w:hint="eastAsia"/>
          <w:b/>
          <w:bCs/>
          <w:sz w:val="36"/>
          <w:szCs w:val="36"/>
          <w:highlight w:val="none"/>
          <w:lang w:val="en-US" w:eastAsia="zh-CN"/>
        </w:rPr>
      </w:pPr>
    </w:p>
    <w:p w14:paraId="433CF259">
      <w:pPr>
        <w:keepNext w:val="0"/>
        <w:keepLines w:val="0"/>
        <w:pageBreakBefore w:val="0"/>
        <w:widowControl w:val="0"/>
        <w:kinsoku/>
        <w:wordWrap/>
        <w:overflowPunct/>
        <w:topLinePunct w:val="0"/>
        <w:autoSpaceDE/>
        <w:autoSpaceDN/>
        <w:bidi w:val="0"/>
        <w:adjustRightInd/>
        <w:snapToGrid/>
        <w:spacing w:line="560" w:lineRule="atLeast"/>
        <w:ind w:left="0" w:leftChars="0" w:right="0" w:rightChars="0" w:firstLine="0" w:firstLineChars="0"/>
        <w:jc w:val="center"/>
        <w:textAlignment w:val="auto"/>
        <w:outlineLvl w:val="9"/>
        <w:rPr>
          <w:rFonts w:hint="eastAsia"/>
          <w:b/>
          <w:bCs/>
          <w:sz w:val="36"/>
          <w:szCs w:val="36"/>
          <w:highlight w:val="none"/>
          <w:lang w:val="en-US" w:eastAsia="zh-CN"/>
        </w:rPr>
      </w:pPr>
    </w:p>
    <w:p w14:paraId="66E5C001">
      <w:pPr>
        <w:keepNext w:val="0"/>
        <w:keepLines w:val="0"/>
        <w:pageBreakBefore w:val="0"/>
        <w:widowControl w:val="0"/>
        <w:kinsoku/>
        <w:wordWrap/>
        <w:overflowPunct/>
        <w:topLinePunct w:val="0"/>
        <w:autoSpaceDE/>
        <w:autoSpaceDN/>
        <w:bidi w:val="0"/>
        <w:adjustRightInd/>
        <w:snapToGrid/>
        <w:spacing w:line="560" w:lineRule="atLeast"/>
        <w:ind w:left="0" w:leftChars="0" w:right="0" w:rightChars="0" w:firstLine="0" w:firstLineChars="0"/>
        <w:jc w:val="center"/>
        <w:textAlignment w:val="auto"/>
        <w:outlineLvl w:val="9"/>
        <w:rPr>
          <w:rFonts w:hint="eastAsia"/>
          <w:b/>
          <w:bCs/>
          <w:sz w:val="36"/>
          <w:szCs w:val="36"/>
          <w:highlight w:val="none"/>
          <w:lang w:val="en-US" w:eastAsia="zh-CN"/>
        </w:rPr>
      </w:pPr>
    </w:p>
    <w:p w14:paraId="2CBD8604">
      <w:pPr>
        <w:keepNext w:val="0"/>
        <w:keepLines w:val="0"/>
        <w:pageBreakBefore w:val="0"/>
        <w:widowControl w:val="0"/>
        <w:kinsoku/>
        <w:wordWrap/>
        <w:overflowPunct/>
        <w:topLinePunct w:val="0"/>
        <w:autoSpaceDE/>
        <w:autoSpaceDN/>
        <w:bidi w:val="0"/>
        <w:adjustRightInd/>
        <w:snapToGrid/>
        <w:spacing w:line="560" w:lineRule="atLeast"/>
        <w:ind w:left="0" w:leftChars="0" w:right="0" w:rightChars="0" w:firstLine="0" w:firstLineChars="0"/>
        <w:jc w:val="center"/>
        <w:textAlignment w:val="auto"/>
        <w:outlineLvl w:val="9"/>
        <w:rPr>
          <w:rFonts w:hint="eastAsia"/>
          <w:b/>
          <w:bCs/>
          <w:sz w:val="36"/>
          <w:szCs w:val="36"/>
          <w:highlight w:val="none"/>
          <w:lang w:val="en-US" w:eastAsia="zh-CN"/>
        </w:rPr>
      </w:pPr>
    </w:p>
    <w:p w14:paraId="5C55AF56">
      <w:pPr>
        <w:keepNext w:val="0"/>
        <w:keepLines w:val="0"/>
        <w:pageBreakBefore w:val="0"/>
        <w:widowControl w:val="0"/>
        <w:kinsoku/>
        <w:wordWrap/>
        <w:overflowPunct/>
        <w:topLinePunct w:val="0"/>
        <w:autoSpaceDE/>
        <w:autoSpaceDN/>
        <w:bidi w:val="0"/>
        <w:adjustRightInd/>
        <w:snapToGrid/>
        <w:spacing w:line="560" w:lineRule="atLeast"/>
        <w:ind w:left="0" w:leftChars="0" w:right="0" w:rightChars="0" w:firstLine="0" w:firstLineChars="0"/>
        <w:jc w:val="both"/>
        <w:textAlignment w:val="auto"/>
        <w:outlineLvl w:val="9"/>
        <w:rPr>
          <w:rFonts w:hint="eastAsia"/>
          <w:b/>
          <w:bCs/>
          <w:sz w:val="36"/>
          <w:szCs w:val="36"/>
          <w:highlight w:val="none"/>
          <w:lang w:val="en-US" w:eastAsia="zh-CN"/>
        </w:rPr>
      </w:pPr>
    </w:p>
    <w:p w14:paraId="56D900C7">
      <w:pPr>
        <w:keepNext w:val="0"/>
        <w:keepLines w:val="0"/>
        <w:pageBreakBefore w:val="0"/>
        <w:widowControl w:val="0"/>
        <w:kinsoku/>
        <w:wordWrap/>
        <w:overflowPunct/>
        <w:topLinePunct w:val="0"/>
        <w:autoSpaceDE/>
        <w:autoSpaceDN/>
        <w:bidi w:val="0"/>
        <w:adjustRightInd/>
        <w:snapToGrid/>
        <w:spacing w:line="560" w:lineRule="atLeast"/>
        <w:ind w:left="0" w:leftChars="0" w:right="0" w:rightChars="0" w:firstLine="0" w:firstLineChars="0"/>
        <w:jc w:val="center"/>
        <w:textAlignment w:val="auto"/>
        <w:outlineLvl w:val="9"/>
        <w:rPr>
          <w:rFonts w:hint="eastAsia"/>
          <w:b/>
          <w:bCs/>
          <w:sz w:val="36"/>
          <w:szCs w:val="36"/>
          <w:highlight w:val="none"/>
          <w:lang w:val="en-US" w:eastAsia="zh-CN"/>
        </w:rPr>
      </w:pPr>
    </w:p>
    <w:p w14:paraId="51727BC7">
      <w:pPr>
        <w:keepNext w:val="0"/>
        <w:keepLines w:val="0"/>
        <w:pageBreakBefore w:val="0"/>
        <w:widowControl w:val="0"/>
        <w:kinsoku/>
        <w:wordWrap/>
        <w:overflowPunct/>
        <w:topLinePunct w:val="0"/>
        <w:autoSpaceDE/>
        <w:autoSpaceDN/>
        <w:bidi w:val="0"/>
        <w:adjustRightInd/>
        <w:snapToGrid/>
        <w:spacing w:line="560" w:lineRule="atLeast"/>
        <w:ind w:left="0" w:leftChars="0" w:right="0" w:rightChars="0" w:firstLine="0" w:firstLineChars="0"/>
        <w:jc w:val="both"/>
        <w:textAlignment w:val="auto"/>
        <w:outlineLvl w:val="9"/>
        <w:rPr>
          <w:rFonts w:hint="eastAsia"/>
          <w:b/>
          <w:bCs/>
          <w:sz w:val="36"/>
          <w:szCs w:val="36"/>
          <w:highlight w:val="none"/>
          <w:lang w:val="en-US" w:eastAsia="zh-CN"/>
        </w:rPr>
      </w:pPr>
    </w:p>
    <w:p w14:paraId="25D3D84A">
      <w:pPr>
        <w:keepNext w:val="0"/>
        <w:keepLines w:val="0"/>
        <w:pageBreakBefore w:val="0"/>
        <w:widowControl w:val="0"/>
        <w:kinsoku/>
        <w:wordWrap/>
        <w:overflowPunct/>
        <w:topLinePunct w:val="0"/>
        <w:autoSpaceDE/>
        <w:autoSpaceDN/>
        <w:bidi w:val="0"/>
        <w:adjustRightInd/>
        <w:snapToGrid/>
        <w:spacing w:line="560" w:lineRule="atLeast"/>
        <w:ind w:left="0" w:leftChars="0" w:right="0" w:rightChars="0" w:firstLine="0" w:firstLineChars="0"/>
        <w:jc w:val="center"/>
        <w:textAlignment w:val="auto"/>
        <w:outlineLvl w:val="9"/>
        <w:rPr>
          <w:rFonts w:hint="eastAsia"/>
          <w:highlight w:val="none"/>
        </w:rPr>
      </w:pPr>
      <w:r>
        <w:rPr>
          <w:rFonts w:hint="eastAsia"/>
          <w:b/>
          <w:bCs/>
          <w:sz w:val="36"/>
          <w:szCs w:val="36"/>
          <w:highlight w:val="none"/>
          <w:lang w:val="en-US" w:eastAsia="zh-CN"/>
        </w:rPr>
        <w:t>五</w:t>
      </w:r>
      <w:r>
        <w:rPr>
          <w:rFonts w:hint="eastAsia"/>
          <w:b/>
          <w:bCs/>
          <w:sz w:val="36"/>
          <w:szCs w:val="36"/>
          <w:highlight w:val="none"/>
        </w:rPr>
        <w:t>、投标人认为有必要补充说明的事宜</w:t>
      </w:r>
      <w:bookmarkEnd w:id="23"/>
      <w:bookmarkEnd w:id="24"/>
    </w:p>
    <w:p w14:paraId="6CB9EE51">
      <w:pPr>
        <w:rPr>
          <w:rFonts w:hint="eastAsia"/>
          <w:color w:val="auto"/>
          <w:highlight w:val="none"/>
        </w:rPr>
      </w:pPr>
    </w:p>
    <w:p w14:paraId="2F31E1C2">
      <w:pPr>
        <w:rPr>
          <w:rFonts w:hint="eastAsia"/>
          <w:color w:val="auto"/>
          <w:highlight w:val="none"/>
        </w:rPr>
      </w:pPr>
    </w:p>
    <w:p w14:paraId="16E2319B">
      <w:pPr>
        <w:rPr>
          <w:rFonts w:hint="eastAsia"/>
          <w:color w:val="auto"/>
          <w:highlight w:val="none"/>
        </w:rPr>
      </w:pPr>
    </w:p>
    <w:p w14:paraId="522869BC">
      <w:pPr>
        <w:rPr>
          <w:rFonts w:hint="eastAsia"/>
          <w:color w:val="auto"/>
          <w:highlight w:val="none"/>
        </w:rPr>
      </w:pPr>
    </w:p>
    <w:p w14:paraId="46CDDE7E">
      <w:pPr>
        <w:rPr>
          <w:rFonts w:hint="eastAsia"/>
          <w:color w:val="auto"/>
          <w:highlight w:val="none"/>
        </w:rPr>
      </w:pPr>
    </w:p>
    <w:p w14:paraId="1626487C">
      <w:pPr>
        <w:rPr>
          <w:rFonts w:hint="eastAsia"/>
          <w:color w:val="auto"/>
          <w:highlight w:val="none"/>
        </w:rPr>
      </w:pPr>
    </w:p>
    <w:p w14:paraId="2D623824">
      <w:pPr>
        <w:rPr>
          <w:rFonts w:hint="eastAsia"/>
          <w:color w:val="auto"/>
          <w:highlight w:val="none"/>
        </w:rPr>
      </w:pPr>
    </w:p>
    <w:p w14:paraId="1CC97A3F">
      <w:pPr>
        <w:rPr>
          <w:rFonts w:hint="eastAsia"/>
          <w:color w:val="auto"/>
          <w:highlight w:val="none"/>
        </w:rPr>
      </w:pPr>
    </w:p>
    <w:p w14:paraId="076B7847">
      <w:pPr>
        <w:rPr>
          <w:rFonts w:hint="eastAsia"/>
          <w:color w:val="auto"/>
          <w:highlight w:val="none"/>
        </w:rPr>
      </w:pPr>
    </w:p>
    <w:p w14:paraId="4E784812">
      <w:pPr>
        <w:rPr>
          <w:rFonts w:hint="eastAsia"/>
          <w:color w:val="auto"/>
          <w:highlight w:val="none"/>
        </w:rPr>
      </w:pPr>
    </w:p>
    <w:p w14:paraId="36CA7AFD">
      <w:pPr>
        <w:rPr>
          <w:rFonts w:hint="eastAsia"/>
          <w:color w:val="auto"/>
          <w:highlight w:val="none"/>
        </w:rPr>
      </w:pPr>
    </w:p>
    <w:p w14:paraId="0836EA3A">
      <w:pPr>
        <w:rPr>
          <w:rFonts w:hint="eastAsia"/>
          <w:color w:val="auto"/>
          <w:highlight w:val="none"/>
        </w:rPr>
      </w:pPr>
    </w:p>
    <w:p w14:paraId="196DC7A2">
      <w:pPr>
        <w:rPr>
          <w:rFonts w:hint="eastAsia"/>
          <w:color w:val="auto"/>
          <w:highlight w:val="none"/>
        </w:rPr>
      </w:pPr>
    </w:p>
    <w:p w14:paraId="16CA9FFD">
      <w:pPr>
        <w:rPr>
          <w:rFonts w:hint="eastAsia"/>
          <w:color w:val="auto"/>
          <w:highlight w:val="none"/>
        </w:rPr>
      </w:pPr>
    </w:p>
    <w:p w14:paraId="496111B3">
      <w:pPr>
        <w:rPr>
          <w:rFonts w:hint="eastAsia"/>
          <w:color w:val="auto"/>
          <w:highlight w:val="none"/>
        </w:rPr>
      </w:pPr>
    </w:p>
    <w:p w14:paraId="3CBA326D">
      <w:pPr>
        <w:rPr>
          <w:rFonts w:hint="eastAsia"/>
          <w:color w:val="auto"/>
          <w:highlight w:val="none"/>
        </w:rPr>
      </w:pPr>
    </w:p>
    <w:p w14:paraId="618A5690">
      <w:pPr>
        <w:rPr>
          <w:rFonts w:hint="eastAsia"/>
          <w:color w:val="auto"/>
          <w:highlight w:val="none"/>
        </w:rPr>
      </w:pPr>
    </w:p>
    <w:p w14:paraId="6503D667">
      <w:pPr>
        <w:rPr>
          <w:rFonts w:hint="eastAsia"/>
          <w:color w:val="auto"/>
          <w:highlight w:val="none"/>
        </w:rPr>
      </w:pPr>
    </w:p>
    <w:p w14:paraId="43BEEA06">
      <w:pPr>
        <w:rPr>
          <w:rFonts w:hint="eastAsia"/>
          <w:color w:val="auto"/>
          <w:highlight w:val="none"/>
        </w:rPr>
      </w:pPr>
    </w:p>
    <w:p w14:paraId="12F6B3A5">
      <w:pPr>
        <w:rPr>
          <w:rFonts w:hint="eastAsia"/>
          <w:color w:val="auto"/>
          <w:highlight w:val="none"/>
        </w:rPr>
      </w:pPr>
    </w:p>
    <w:p w14:paraId="4D1E6A4B">
      <w:pPr>
        <w:rPr>
          <w:rFonts w:hint="eastAsia"/>
          <w:color w:val="auto"/>
          <w:highlight w:val="none"/>
        </w:rPr>
      </w:pPr>
    </w:p>
    <w:p w14:paraId="264D60B7">
      <w:pPr>
        <w:rPr>
          <w:rFonts w:hint="eastAsia"/>
          <w:color w:val="auto"/>
          <w:highlight w:val="none"/>
        </w:rPr>
      </w:pPr>
    </w:p>
    <w:p w14:paraId="5E698732">
      <w:pPr>
        <w:rPr>
          <w:rFonts w:hint="eastAsia"/>
          <w:color w:val="auto"/>
          <w:highlight w:val="none"/>
        </w:rPr>
      </w:pPr>
    </w:p>
    <w:p w14:paraId="77AE99F1">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both"/>
        <w:textAlignment w:val="auto"/>
        <w:outlineLvl w:val="9"/>
        <w:rPr>
          <w:rFonts w:hint="eastAsia"/>
          <w:b/>
          <w:bCs/>
          <w:sz w:val="36"/>
          <w:szCs w:val="36"/>
          <w:highlight w:val="none"/>
          <w:lang w:val="en-US" w:eastAsia="zh-CN"/>
        </w:rPr>
      </w:pPr>
      <w:bookmarkStart w:id="31" w:name="_Toc27"/>
      <w:bookmarkStart w:id="32" w:name="_Toc22572"/>
    </w:p>
    <w:p w14:paraId="5BE24925">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b/>
          <w:bCs/>
          <w:sz w:val="36"/>
          <w:szCs w:val="36"/>
          <w:highlight w:val="none"/>
          <w:lang w:val="en-US" w:eastAsia="zh-CN"/>
        </w:rPr>
      </w:pPr>
    </w:p>
    <w:p w14:paraId="387D1B8F">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b/>
          <w:bCs/>
          <w:sz w:val="36"/>
          <w:szCs w:val="36"/>
          <w:highlight w:val="none"/>
          <w:lang w:val="en-US" w:eastAsia="zh-CN"/>
        </w:rPr>
      </w:pPr>
    </w:p>
    <w:p w14:paraId="694B1441">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b/>
          <w:bCs/>
          <w:sz w:val="36"/>
          <w:szCs w:val="36"/>
          <w:highlight w:val="none"/>
        </w:rPr>
      </w:pPr>
      <w:r>
        <w:rPr>
          <w:rFonts w:hint="eastAsia"/>
          <w:b/>
          <w:bCs/>
          <w:sz w:val="36"/>
          <w:szCs w:val="36"/>
          <w:highlight w:val="none"/>
          <w:lang w:val="en-US" w:eastAsia="zh-CN"/>
        </w:rPr>
        <w:t>六</w:t>
      </w:r>
      <w:r>
        <w:rPr>
          <w:rFonts w:hint="eastAsia"/>
          <w:b/>
          <w:bCs/>
          <w:sz w:val="36"/>
          <w:szCs w:val="36"/>
          <w:highlight w:val="none"/>
        </w:rPr>
        <w:t>、《拒绝政府采购领域商业贿赂承诺书》</w:t>
      </w:r>
      <w:bookmarkEnd w:id="25"/>
      <w:bookmarkEnd w:id="26"/>
      <w:bookmarkEnd w:id="27"/>
      <w:bookmarkEnd w:id="28"/>
      <w:bookmarkEnd w:id="31"/>
      <w:bookmarkEnd w:id="32"/>
    </w:p>
    <w:p w14:paraId="37267C36">
      <w:pPr>
        <w:widowControl/>
        <w:spacing w:line="480" w:lineRule="exact"/>
        <w:jc w:val="center"/>
        <w:rPr>
          <w:rFonts w:hint="default" w:ascii="Times New Roman" w:hAnsi="Times New Roman" w:eastAsia="宋体" w:cs="Times New Roman"/>
          <w:b/>
          <w:bCs/>
          <w:color w:val="auto"/>
          <w:sz w:val="21"/>
          <w:szCs w:val="21"/>
          <w:highlight w:val="none"/>
        </w:rPr>
      </w:pPr>
    </w:p>
    <w:bookmarkEnd w:id="29"/>
    <w:bookmarkEnd w:id="30"/>
    <w:p w14:paraId="1B57D33D">
      <w:pPr>
        <w:widowControl/>
        <w:spacing w:line="480" w:lineRule="exact"/>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陕西省政府采购投标人拒绝政府采购领域商业贿赂承诺书</w:t>
      </w:r>
    </w:p>
    <w:p w14:paraId="5BA5BECD">
      <w:pPr>
        <w:widowControl/>
        <w:spacing w:line="240" w:lineRule="exact"/>
        <w:ind w:firstLine="420" w:firstLineChars="200"/>
        <w:jc w:val="left"/>
        <w:rPr>
          <w:rFonts w:hint="default" w:ascii="Times New Roman" w:hAnsi="Times New Roman" w:eastAsia="宋体" w:cs="Times New Roman"/>
          <w:color w:val="auto"/>
          <w:sz w:val="21"/>
          <w:szCs w:val="21"/>
          <w:highlight w:val="none"/>
        </w:rPr>
      </w:pPr>
    </w:p>
    <w:p w14:paraId="008B9570">
      <w:pPr>
        <w:widowControl/>
        <w:spacing w:line="440" w:lineRule="exact"/>
        <w:rPr>
          <w:rFonts w:hint="default"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 xml:space="preserve">    </w:t>
      </w:r>
      <w:r>
        <w:rPr>
          <w:rFonts w:hint="default" w:ascii="Times New Roman" w:hAnsi="Times New Roman" w:eastAsia="宋体" w:cs="Times New Roman"/>
          <w:color w:val="auto"/>
          <w:sz w:val="21"/>
          <w:szCs w:val="21"/>
          <w:highlight w:val="none"/>
        </w:rPr>
        <w:t xml:space="preserve">为响应党中央、国务院关于治理政府采购领域商业贿赂行为的号召，我单位在此庄严承诺： </w:t>
      </w:r>
    </w:p>
    <w:p w14:paraId="68A19772">
      <w:pPr>
        <w:widowControl/>
        <w:spacing w:line="440" w:lineRule="exact"/>
        <w:rPr>
          <w:rFonts w:hint="eastAsia" w:ascii="Times New Roman" w:hAnsi="Times New Roman" w:eastAsia="宋体" w:cs="Times New Roman"/>
          <w:color w:val="auto"/>
          <w:sz w:val="21"/>
          <w:szCs w:val="21"/>
          <w:highlight w:val="none"/>
          <w:lang w:eastAsia="zh-CN"/>
        </w:rPr>
      </w:pPr>
      <w:r>
        <w:rPr>
          <w:rFonts w:hint="eastAsia" w:ascii="Times New Roman" w:hAnsi="Times New Roman" w:eastAsia="宋体" w:cs="Times New Roman"/>
          <w:color w:val="auto"/>
          <w:sz w:val="21"/>
          <w:szCs w:val="21"/>
          <w:highlight w:val="none"/>
          <w:lang w:val="en-US" w:eastAsia="zh-CN"/>
        </w:rPr>
        <w:t xml:space="preserve">    </w:t>
      </w:r>
      <w:r>
        <w:rPr>
          <w:rFonts w:hint="default" w:ascii="Times New Roman" w:hAnsi="Times New Roman" w:eastAsia="宋体" w:cs="Times New Roman"/>
          <w:color w:val="auto"/>
          <w:sz w:val="21"/>
          <w:szCs w:val="21"/>
          <w:highlight w:val="none"/>
        </w:rPr>
        <w:t xml:space="preserve">1、在参与政府采购活动中遵纪守法、诚信经营、公平竞标。 </w:t>
      </w:r>
    </w:p>
    <w:p w14:paraId="33496791">
      <w:pPr>
        <w:widowControl/>
        <w:spacing w:line="440" w:lineRule="exac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　　2、不向采购人、采购代理机构和政府采购评审专家进行任何形式的商业贿赂以谋取交易机会。 </w:t>
      </w:r>
    </w:p>
    <w:p w14:paraId="0B878E60">
      <w:pPr>
        <w:widowControl/>
        <w:spacing w:line="440" w:lineRule="exact"/>
        <w:ind w:firstLine="420" w:firstLineChars="20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3、不向政府采购代理机构和采购人提供虚假资质文件或采用虚假应标方式参与政府采购市场竞争并谋取中标、成交。</w:t>
      </w:r>
    </w:p>
    <w:p w14:paraId="73930222">
      <w:pPr>
        <w:widowControl/>
        <w:spacing w:line="440" w:lineRule="exact"/>
        <w:ind w:firstLine="420" w:firstLineChars="20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4、不采取</w:t>
      </w:r>
      <w:r>
        <w:rPr>
          <w:rFonts w:hint="eastAsia"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围标、陪标</w:t>
      </w:r>
      <w:r>
        <w:rPr>
          <w:rFonts w:hint="eastAsia"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 xml:space="preserve">等商业欺诈手段获得政府采购定单。 </w:t>
      </w:r>
    </w:p>
    <w:p w14:paraId="72DDAE20">
      <w:pPr>
        <w:widowControl/>
        <w:spacing w:line="440" w:lineRule="exact"/>
        <w:ind w:firstLine="420" w:firstLineChars="20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5、不采取不正当手段抵毁、排挤其他投标人。 </w:t>
      </w:r>
    </w:p>
    <w:p w14:paraId="4FBC55B1">
      <w:pPr>
        <w:widowControl/>
        <w:spacing w:line="440" w:lineRule="exact"/>
        <w:ind w:firstLine="420" w:firstLineChars="20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6、不在提供商品和服务时</w:t>
      </w:r>
      <w:r>
        <w:rPr>
          <w:rFonts w:hint="eastAsia"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偷梁换柱、以次充好</w:t>
      </w:r>
      <w:r>
        <w:rPr>
          <w:rFonts w:hint="eastAsia"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损害采购人的合法权益。</w:t>
      </w:r>
    </w:p>
    <w:p w14:paraId="19C219CF">
      <w:pPr>
        <w:widowControl/>
        <w:spacing w:line="440" w:lineRule="exact"/>
        <w:ind w:firstLine="420" w:firstLineChars="20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7、不与采购人、采购代理机构政府采购评审专家或其它投标人恶意串通，进行质疑和投诉，维护政府采购市场秩序。 </w:t>
      </w:r>
    </w:p>
    <w:p w14:paraId="40BAE4FC">
      <w:pPr>
        <w:widowControl/>
        <w:spacing w:line="440" w:lineRule="exact"/>
        <w:ind w:firstLine="420" w:firstLineChars="20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8、尊重和接受政府采购监督管理部门的监督和政府采购代理机构招标要求，承担因违约行为给采购人造成的损失。 </w:t>
      </w:r>
    </w:p>
    <w:p w14:paraId="2236BE29">
      <w:pPr>
        <w:widowControl/>
        <w:spacing w:line="440" w:lineRule="exact"/>
        <w:ind w:firstLine="420" w:firstLineChars="200"/>
        <w:rPr>
          <w:rFonts w:hint="eastAsia"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rPr>
        <w:t xml:space="preserve">9、不发生其他有悖于政府采购公开、公平、公正和诚信原则的行为。 </w:t>
      </w:r>
    </w:p>
    <w:p w14:paraId="1893A980">
      <w:pPr>
        <w:widowControl/>
        <w:spacing w:line="440" w:lineRule="exact"/>
        <w:ind w:firstLine="420" w:firstLineChars="20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   </w:t>
      </w:r>
    </w:p>
    <w:p w14:paraId="36232345">
      <w:pPr>
        <w:widowControl/>
        <w:spacing w:line="440" w:lineRule="exact"/>
        <w:ind w:firstLine="420" w:firstLineChars="20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承诺单位：</w:t>
      </w:r>
      <w:r>
        <w:rPr>
          <w:rFonts w:hint="default" w:ascii="Times New Roman" w:hAnsi="Times New Roman" w:eastAsia="宋体" w:cs="Times New Roman"/>
          <w:color w:val="auto"/>
          <w:sz w:val="21"/>
          <w:szCs w:val="21"/>
          <w:highlight w:val="none"/>
          <w:u w:val="single"/>
        </w:rPr>
        <w:t xml:space="preserve">　　             </w:t>
      </w:r>
      <w:r>
        <w:rPr>
          <w:rFonts w:hint="eastAsia" w:ascii="Times New Roman" w:hAnsi="Times New Roman" w:eastAsia="宋体" w:cs="Times New Roman"/>
          <w:color w:val="auto"/>
          <w:sz w:val="21"/>
          <w:szCs w:val="21"/>
          <w:highlight w:val="none"/>
          <w:u w:val="single"/>
          <w:lang w:val="en-US" w:eastAsia="zh-CN"/>
        </w:rPr>
        <w:t xml:space="preserve">        </w:t>
      </w:r>
      <w:r>
        <w:rPr>
          <w:rFonts w:hint="default" w:ascii="Times New Roman" w:hAnsi="Times New Roman" w:eastAsia="宋体" w:cs="Times New Roman"/>
          <w:color w:val="auto"/>
          <w:sz w:val="21"/>
          <w:szCs w:val="21"/>
          <w:highlight w:val="none"/>
          <w:u w:val="single"/>
        </w:rPr>
        <w:t xml:space="preserve">    　</w:t>
      </w:r>
      <w:r>
        <w:rPr>
          <w:rFonts w:hint="default" w:ascii="Times New Roman" w:hAnsi="Times New Roman" w:eastAsia="宋体" w:cs="Times New Roman"/>
          <w:color w:val="auto"/>
          <w:sz w:val="21"/>
          <w:szCs w:val="21"/>
          <w:highlight w:val="none"/>
        </w:rPr>
        <w:t>（盖章）</w:t>
      </w:r>
    </w:p>
    <w:p w14:paraId="06B169C8">
      <w:pPr>
        <w:widowControl/>
        <w:spacing w:line="440" w:lineRule="exact"/>
        <w:ind w:firstLine="420" w:firstLineChars="200"/>
        <w:rPr>
          <w:rFonts w:hint="default" w:ascii="Times New Roman" w:hAnsi="Times New Roman" w:eastAsia="宋体" w:cs="Times New Roman"/>
          <w:color w:val="auto"/>
          <w:sz w:val="21"/>
          <w:szCs w:val="21"/>
          <w:highlight w:val="none"/>
        </w:rPr>
      </w:pPr>
      <w:r>
        <w:rPr>
          <w:rFonts w:hint="eastAsia" w:ascii="新宋体" w:hAnsi="新宋体"/>
          <w:b w:val="0"/>
          <w:color w:val="auto"/>
          <w:sz w:val="21"/>
          <w:szCs w:val="21"/>
          <w:highlight w:val="none"/>
        </w:rPr>
        <w:t>法定代表人或授权代表：</w:t>
      </w:r>
      <w:r>
        <w:rPr>
          <w:rFonts w:hint="eastAsia" w:ascii="新宋体" w:hAnsi="新宋体"/>
          <w:b w:val="0"/>
          <w:color w:val="auto"/>
          <w:sz w:val="21"/>
          <w:szCs w:val="21"/>
          <w:highlight w:val="none"/>
          <w:u w:val="single"/>
        </w:rPr>
        <w:t xml:space="preserve">     </w:t>
      </w:r>
      <w:r>
        <w:rPr>
          <w:rFonts w:hint="eastAsia" w:ascii="新宋体" w:hAnsi="新宋体"/>
          <w:b w:val="0"/>
          <w:color w:val="auto"/>
          <w:sz w:val="21"/>
          <w:szCs w:val="21"/>
          <w:highlight w:val="none"/>
          <w:u w:val="single"/>
          <w:lang w:val="en-US" w:eastAsia="zh-CN"/>
        </w:rPr>
        <w:t xml:space="preserve">          </w:t>
      </w:r>
      <w:r>
        <w:rPr>
          <w:rFonts w:hint="eastAsia" w:ascii="新宋体" w:hAnsi="新宋体"/>
          <w:b w:val="0"/>
          <w:color w:val="auto"/>
          <w:sz w:val="21"/>
          <w:szCs w:val="21"/>
          <w:highlight w:val="none"/>
          <w:u w:val="none"/>
        </w:rPr>
        <w:t>（</w:t>
      </w:r>
      <w:r>
        <w:rPr>
          <w:rFonts w:hint="eastAsia" w:ascii="新宋体" w:hAnsi="新宋体"/>
          <w:b w:val="0"/>
          <w:color w:val="auto"/>
          <w:sz w:val="21"/>
          <w:szCs w:val="21"/>
          <w:highlight w:val="none"/>
          <w:u w:val="none"/>
          <w:lang w:eastAsia="zh-CN"/>
        </w:rPr>
        <w:t>盖章或签字</w:t>
      </w:r>
      <w:r>
        <w:rPr>
          <w:rFonts w:hint="eastAsia" w:ascii="新宋体" w:hAnsi="新宋体"/>
          <w:b w:val="0"/>
          <w:color w:val="auto"/>
          <w:sz w:val="21"/>
          <w:szCs w:val="21"/>
          <w:highlight w:val="none"/>
          <w:u w:val="none"/>
        </w:rPr>
        <w:t>）</w:t>
      </w:r>
    </w:p>
    <w:p w14:paraId="01402614">
      <w:pPr>
        <w:widowControl/>
        <w:spacing w:line="520" w:lineRule="exact"/>
        <w:ind w:firstLine="420"/>
        <w:rPr>
          <w:rFonts w:hint="default" w:ascii="Times New Roman" w:hAnsi="Times New Roman" w:eastAsia="宋体" w:cs="Times New Roman"/>
          <w:color w:val="auto"/>
          <w:sz w:val="21"/>
          <w:szCs w:val="21"/>
          <w:highlight w:val="none"/>
          <w:u w:val="single"/>
        </w:rPr>
      </w:pPr>
      <w:r>
        <w:rPr>
          <w:rFonts w:hint="default" w:ascii="Times New Roman" w:hAnsi="Times New Roman" w:eastAsia="宋体" w:cs="Times New Roman"/>
          <w:color w:val="auto"/>
          <w:sz w:val="21"/>
          <w:szCs w:val="21"/>
          <w:highlight w:val="none"/>
        </w:rPr>
        <w:t>地　　址：</w:t>
      </w:r>
      <w:r>
        <w:rPr>
          <w:rFonts w:hint="default" w:ascii="Times New Roman" w:hAnsi="Times New Roman" w:eastAsia="宋体" w:cs="Times New Roman"/>
          <w:color w:val="auto"/>
          <w:sz w:val="21"/>
          <w:szCs w:val="21"/>
          <w:highlight w:val="none"/>
          <w:u w:val="single"/>
        </w:rPr>
        <w:t xml:space="preserve">                        </w:t>
      </w:r>
      <w:r>
        <w:rPr>
          <w:rFonts w:hint="eastAsia" w:ascii="Times New Roman" w:hAnsi="Times New Roman" w:eastAsia="宋体" w:cs="Times New Roman"/>
          <w:color w:val="auto"/>
          <w:sz w:val="21"/>
          <w:szCs w:val="21"/>
          <w:highlight w:val="none"/>
          <w:u w:val="single"/>
          <w:lang w:val="en-US" w:eastAsia="zh-CN"/>
        </w:rPr>
        <w:t xml:space="preserve"> </w:t>
      </w:r>
      <w:r>
        <w:rPr>
          <w:rFonts w:hint="default" w:ascii="Times New Roman" w:hAnsi="Times New Roman" w:eastAsia="宋体" w:cs="Times New Roman"/>
          <w:color w:val="auto"/>
          <w:sz w:val="21"/>
          <w:szCs w:val="21"/>
          <w:highlight w:val="none"/>
          <w:u w:val="single"/>
        </w:rPr>
        <w:t xml:space="preserve">      </w:t>
      </w:r>
    </w:p>
    <w:p w14:paraId="6161789C">
      <w:pPr>
        <w:widowControl/>
        <w:spacing w:line="520" w:lineRule="exact"/>
        <w:rPr>
          <w:rFonts w:hint="default" w:ascii="Times New Roman" w:hAnsi="Times New Roman" w:eastAsia="宋体" w:cs="Times New Roman"/>
          <w:color w:val="auto"/>
          <w:sz w:val="21"/>
          <w:szCs w:val="21"/>
          <w:highlight w:val="none"/>
          <w:u w:val="single"/>
        </w:rPr>
      </w:pPr>
      <w:r>
        <w:rPr>
          <w:rFonts w:hint="default" w:ascii="Times New Roman" w:hAnsi="Times New Roman" w:eastAsia="宋体" w:cs="Times New Roman"/>
          <w:color w:val="auto"/>
          <w:sz w:val="21"/>
          <w:szCs w:val="21"/>
          <w:highlight w:val="none"/>
        </w:rPr>
        <w:t xml:space="preserve">    邮    编：</w:t>
      </w:r>
      <w:r>
        <w:rPr>
          <w:rFonts w:hint="default" w:ascii="Times New Roman" w:hAnsi="Times New Roman" w:eastAsia="宋体" w:cs="Times New Roman"/>
          <w:color w:val="auto"/>
          <w:sz w:val="21"/>
          <w:szCs w:val="21"/>
          <w:highlight w:val="none"/>
          <w:u w:val="single"/>
        </w:rPr>
        <w:t xml:space="preserve">　　                    </w:t>
      </w:r>
      <w:r>
        <w:rPr>
          <w:rFonts w:hint="eastAsia" w:ascii="Times New Roman" w:hAnsi="Times New Roman" w:eastAsia="宋体" w:cs="Times New Roman"/>
          <w:color w:val="auto"/>
          <w:sz w:val="21"/>
          <w:szCs w:val="21"/>
          <w:highlight w:val="none"/>
          <w:u w:val="single"/>
          <w:lang w:val="en-US" w:eastAsia="zh-CN"/>
        </w:rPr>
        <w:t xml:space="preserve"> </w:t>
      </w:r>
      <w:r>
        <w:rPr>
          <w:rFonts w:hint="default" w:ascii="Times New Roman" w:hAnsi="Times New Roman" w:eastAsia="宋体" w:cs="Times New Roman"/>
          <w:color w:val="auto"/>
          <w:sz w:val="21"/>
          <w:szCs w:val="21"/>
          <w:highlight w:val="none"/>
          <w:u w:val="single"/>
        </w:rPr>
        <w:t xml:space="preserve"> 　　 </w:t>
      </w:r>
    </w:p>
    <w:p w14:paraId="0B567D11">
      <w:pPr>
        <w:widowControl/>
        <w:spacing w:line="520" w:lineRule="exac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    电　　话：</w:t>
      </w:r>
      <w:r>
        <w:rPr>
          <w:rFonts w:hint="default" w:ascii="Times New Roman" w:hAnsi="Times New Roman" w:eastAsia="宋体" w:cs="Times New Roman"/>
          <w:color w:val="auto"/>
          <w:sz w:val="21"/>
          <w:szCs w:val="21"/>
          <w:highlight w:val="none"/>
          <w:u w:val="single"/>
        </w:rPr>
        <w:t>　　　                　　</w:t>
      </w:r>
      <w:r>
        <w:rPr>
          <w:rFonts w:hint="eastAsia" w:ascii="Times New Roman" w:hAnsi="Times New Roman" w:eastAsia="宋体" w:cs="Times New Roman"/>
          <w:color w:val="auto"/>
          <w:sz w:val="21"/>
          <w:szCs w:val="21"/>
          <w:highlight w:val="none"/>
          <w:u w:val="single"/>
          <w:lang w:val="en-US" w:eastAsia="zh-CN"/>
        </w:rPr>
        <w:t xml:space="preserve"> </w:t>
      </w:r>
      <w:r>
        <w:rPr>
          <w:rFonts w:hint="default" w:ascii="Times New Roman" w:hAnsi="Times New Roman" w:eastAsia="宋体" w:cs="Times New Roman"/>
          <w:color w:val="auto"/>
          <w:sz w:val="21"/>
          <w:szCs w:val="21"/>
          <w:highlight w:val="none"/>
          <w:u w:val="single"/>
        </w:rPr>
        <w:t>　　</w:t>
      </w:r>
    </w:p>
    <w:p w14:paraId="159CA282">
      <w:pPr>
        <w:widowControl/>
        <w:spacing w:line="440" w:lineRule="exact"/>
        <w:ind w:firstLine="420" w:firstLineChars="200"/>
        <w:rPr>
          <w:rFonts w:hint="eastAsia" w:ascii="新宋体" w:hAnsi="新宋体" w:cs="新宋体"/>
          <w:color w:val="auto"/>
          <w:sz w:val="28"/>
          <w:szCs w:val="28"/>
          <w:highlight w:val="none"/>
        </w:rPr>
      </w:pPr>
      <w:r>
        <w:rPr>
          <w:rFonts w:hint="eastAsia" w:ascii="Times New Roman" w:hAnsi="Times New Roman" w:eastAsia="宋体" w:cs="Times New Roman"/>
          <w:color w:val="auto"/>
          <w:sz w:val="21"/>
          <w:szCs w:val="21"/>
          <w:highlight w:val="none"/>
          <w:lang w:val="en-US" w:eastAsia="zh-CN"/>
        </w:rPr>
        <w:t xml:space="preserve">  </w:t>
      </w:r>
      <w:r>
        <w:rPr>
          <w:rFonts w:hint="eastAsia" w:ascii="Times New Roman" w:hAnsi="Times New Roman" w:eastAsia="宋体" w:cs="Times New Roman"/>
          <w:color w:val="auto"/>
          <w:sz w:val="21"/>
          <w:szCs w:val="21"/>
          <w:highlight w:val="none"/>
          <w:u w:val="none"/>
          <w:lang w:val="en-US" w:eastAsia="zh-CN"/>
        </w:rPr>
        <w:t xml:space="preserve">                  </w:t>
      </w:r>
      <w:r>
        <w:rPr>
          <w:rFonts w:hint="default" w:ascii="Times New Roman" w:hAnsi="Times New Roman" w:eastAsia="宋体" w:cs="Times New Roman"/>
          <w:color w:val="auto"/>
          <w:sz w:val="21"/>
          <w:szCs w:val="21"/>
          <w:highlight w:val="none"/>
          <w:u w:val="single"/>
        </w:rPr>
        <w:t xml:space="preserve">     </w:t>
      </w:r>
      <w:r>
        <w:rPr>
          <w:rFonts w:hint="default" w:ascii="Times New Roman" w:hAnsi="Times New Roman" w:eastAsia="宋体" w:cs="Times New Roman"/>
          <w:color w:val="auto"/>
          <w:sz w:val="21"/>
          <w:szCs w:val="21"/>
          <w:highlight w:val="none"/>
        </w:rPr>
        <w:t>年</w:t>
      </w:r>
      <w:r>
        <w:rPr>
          <w:rFonts w:hint="default" w:ascii="Times New Roman" w:hAnsi="Times New Roman" w:eastAsia="宋体" w:cs="Times New Roman"/>
          <w:color w:val="auto"/>
          <w:sz w:val="21"/>
          <w:szCs w:val="21"/>
          <w:highlight w:val="none"/>
          <w:u w:val="single"/>
        </w:rPr>
        <w:t xml:space="preserve">     </w:t>
      </w:r>
      <w:r>
        <w:rPr>
          <w:rFonts w:hint="default" w:ascii="Times New Roman" w:hAnsi="Times New Roman" w:eastAsia="宋体" w:cs="Times New Roman"/>
          <w:color w:val="auto"/>
          <w:sz w:val="21"/>
          <w:szCs w:val="21"/>
          <w:highlight w:val="none"/>
        </w:rPr>
        <w:t>月</w:t>
      </w:r>
      <w:r>
        <w:rPr>
          <w:rFonts w:hint="default" w:ascii="Times New Roman" w:hAnsi="Times New Roman" w:eastAsia="宋体" w:cs="Times New Roman"/>
          <w:color w:val="auto"/>
          <w:sz w:val="21"/>
          <w:szCs w:val="21"/>
          <w:highlight w:val="none"/>
          <w:u w:val="single"/>
        </w:rPr>
        <w:t xml:space="preserve">     </w:t>
      </w:r>
      <w:r>
        <w:rPr>
          <w:rFonts w:hint="default" w:ascii="Times New Roman" w:hAnsi="Times New Roman" w:eastAsia="宋体" w:cs="Times New Roman"/>
          <w:color w:val="auto"/>
          <w:sz w:val="21"/>
          <w:szCs w:val="21"/>
          <w:highlight w:val="none"/>
        </w:rPr>
        <w:t>日</w:t>
      </w:r>
    </w:p>
    <w:p w14:paraId="11D877D2">
      <w:pPr>
        <w:spacing w:line="340" w:lineRule="exact"/>
        <w:ind w:firstLine="5740" w:firstLineChars="2050"/>
        <w:rPr>
          <w:rFonts w:hint="eastAsia" w:ascii="新宋体" w:hAnsi="新宋体" w:cs="新宋体"/>
          <w:color w:val="auto"/>
          <w:sz w:val="28"/>
          <w:szCs w:val="28"/>
          <w:highlight w:val="none"/>
        </w:rPr>
      </w:pPr>
    </w:p>
    <w:p w14:paraId="0D56A909">
      <w:pPr>
        <w:pStyle w:val="11"/>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0" w:firstLineChars="0"/>
        <w:jc w:val="both"/>
        <w:textAlignment w:val="auto"/>
        <w:outlineLvl w:val="9"/>
        <w:rPr>
          <w:rFonts w:hint="eastAsia" w:ascii="新宋体" w:hAnsi="新宋体" w:eastAsia="新宋体" w:cs="新宋体"/>
          <w:color w:val="auto"/>
          <w:sz w:val="28"/>
          <w:szCs w:val="28"/>
          <w:highlight w:val="none"/>
          <w:lang w:val="en-US" w:eastAsia="zh-CN"/>
        </w:rPr>
      </w:pPr>
    </w:p>
    <w:p w14:paraId="01547D88">
      <w:pPr>
        <w:pStyle w:val="11"/>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0" w:firstLineChars="0"/>
        <w:jc w:val="both"/>
        <w:textAlignment w:val="auto"/>
        <w:outlineLvl w:val="9"/>
        <w:rPr>
          <w:rFonts w:hint="eastAsia" w:ascii="新宋体" w:hAnsi="新宋体" w:eastAsia="新宋体" w:cs="新宋体"/>
          <w:color w:val="auto"/>
          <w:sz w:val="28"/>
          <w:szCs w:val="28"/>
          <w:highlight w:val="none"/>
          <w:lang w:val="en-US" w:eastAsia="zh-CN"/>
        </w:rPr>
      </w:pPr>
    </w:p>
    <w:p w14:paraId="77648C5A">
      <w:pPr>
        <w:pStyle w:val="11"/>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0" w:firstLineChars="0"/>
        <w:jc w:val="both"/>
        <w:textAlignment w:val="auto"/>
        <w:outlineLvl w:val="9"/>
        <w:rPr>
          <w:rFonts w:hint="eastAsia" w:ascii="新宋体" w:hAnsi="新宋体" w:eastAsia="新宋体" w:cs="新宋体"/>
          <w:color w:val="auto"/>
          <w:sz w:val="28"/>
          <w:szCs w:val="28"/>
          <w:highlight w:val="none"/>
          <w:lang w:val="en-US" w:eastAsia="zh-CN"/>
        </w:rPr>
      </w:pPr>
    </w:p>
    <w:p w14:paraId="53A9B5E0">
      <w:pPr>
        <w:pStyle w:val="11"/>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0" w:firstLineChars="0"/>
        <w:jc w:val="both"/>
        <w:textAlignment w:val="auto"/>
        <w:outlineLvl w:val="9"/>
        <w:rPr>
          <w:rFonts w:hint="eastAsia" w:ascii="新宋体" w:hAnsi="新宋体" w:eastAsia="新宋体" w:cs="新宋体"/>
          <w:color w:val="auto"/>
          <w:sz w:val="28"/>
          <w:szCs w:val="28"/>
          <w:highlight w:val="none"/>
          <w:lang w:val="en-US" w:eastAsia="zh-CN"/>
        </w:rPr>
      </w:pPr>
    </w:p>
    <w:p w14:paraId="1B83EE5E">
      <w:pPr>
        <w:rPr>
          <w:rFonts w:hint="eastAsia" w:ascii="宋体" w:hAnsi="宋体" w:eastAsia="宋体" w:cs="宋体"/>
          <w:b/>
          <w:color w:val="auto"/>
          <w:sz w:val="21"/>
          <w:szCs w:val="21"/>
          <w:highlight w:val="none"/>
          <w:lang w:eastAsia="zh-CN"/>
        </w:rPr>
      </w:pPr>
    </w:p>
    <w:p w14:paraId="52C0DD1B">
      <w:pPr>
        <w:rPr>
          <w:rFonts w:hint="eastAsia" w:ascii="宋体" w:hAnsi="宋体" w:eastAsia="宋体" w:cs="宋体"/>
          <w:b/>
          <w:color w:val="auto"/>
          <w:sz w:val="21"/>
          <w:szCs w:val="21"/>
          <w:highlight w:val="none"/>
          <w:lang w:eastAsia="zh-CN"/>
        </w:rPr>
      </w:pPr>
    </w:p>
    <w:p w14:paraId="2E658F31">
      <w:pPr>
        <w:pStyle w:val="39"/>
        <w:rPr>
          <w:rFonts w:hint="eastAsia"/>
          <w:lang w:eastAsia="zh-CN"/>
        </w:rPr>
      </w:pPr>
    </w:p>
    <w:p w14:paraId="0AEC121E">
      <w:pPr>
        <w:pStyle w:val="16"/>
        <w:rPr>
          <w:rFonts w:hint="eastAsia"/>
          <w:lang w:eastAsia="zh-CN"/>
        </w:rPr>
      </w:pPr>
    </w:p>
    <w:p w14:paraId="5ECD8D30">
      <w:pPr>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eastAsia="zh-CN"/>
        </w:rPr>
        <w:t>附件</w:t>
      </w:r>
      <w:r>
        <w:rPr>
          <w:rFonts w:hint="eastAsia" w:ascii="宋体" w:hAnsi="宋体" w:eastAsia="宋体" w:cs="宋体"/>
          <w:b/>
          <w:color w:val="auto"/>
          <w:sz w:val="21"/>
          <w:szCs w:val="21"/>
          <w:highlight w:val="none"/>
          <w:lang w:val="en-US" w:eastAsia="zh-CN"/>
        </w:rPr>
        <w:t>1：</w:t>
      </w:r>
    </w:p>
    <w:p w14:paraId="1E234E91">
      <w:pPr>
        <w:keepNext w:val="0"/>
        <w:keepLines w:val="0"/>
        <w:pageBreakBefore w:val="0"/>
        <w:widowControl w:val="0"/>
        <w:kinsoku/>
        <w:wordWrap/>
        <w:overflowPunct/>
        <w:topLinePunct w:val="0"/>
        <w:autoSpaceDE/>
        <w:autoSpaceDN/>
        <w:bidi w:val="0"/>
        <w:adjustRightInd/>
        <w:snapToGrid/>
        <w:spacing w:after="0" w:afterLines="50" w:line="440" w:lineRule="exact"/>
        <w:ind w:left="0" w:leftChars="0" w:right="0" w:rightChars="0" w:firstLine="0" w:firstLineChars="0"/>
        <w:jc w:val="center"/>
        <w:textAlignment w:val="auto"/>
        <w:outlineLvl w:val="9"/>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法定代表人授权书</w:t>
      </w:r>
      <w:r>
        <w:rPr>
          <w:rFonts w:hint="eastAsia" w:ascii="宋体" w:hAnsi="宋体" w:eastAsia="宋体" w:cs="宋体"/>
          <w:b/>
          <w:color w:val="auto"/>
          <w:sz w:val="21"/>
          <w:szCs w:val="21"/>
          <w:highlight w:val="none"/>
          <w:lang w:eastAsia="zh-CN"/>
        </w:rPr>
        <w:t>（格式）</w:t>
      </w:r>
    </w:p>
    <w:p w14:paraId="64FD929E">
      <w:pPr>
        <w:spacing w:beforeLines="50" w:line="440" w:lineRule="exact"/>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rPr>
        <w:t>致：</w:t>
      </w:r>
      <w:r>
        <w:rPr>
          <w:rFonts w:hint="eastAsia" w:ascii="宋体" w:hAnsi="宋体" w:cs="宋体"/>
          <w:b/>
          <w:color w:val="auto"/>
          <w:sz w:val="21"/>
          <w:szCs w:val="21"/>
          <w:highlight w:val="none"/>
          <w:lang w:eastAsia="zh-CN"/>
        </w:rPr>
        <w:t>瑞恒项目管理有限公司</w:t>
      </w:r>
    </w:p>
    <w:p w14:paraId="22C2B06C">
      <w:pPr>
        <w:spacing w:line="440" w:lineRule="exact"/>
        <w:ind w:firstLine="420" w:firstLineChars="20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本授权声明：</w:t>
      </w:r>
      <w:r>
        <w:rPr>
          <w:rFonts w:hint="default" w:ascii="Times New Roman" w:hAnsi="Times New Roman" w:eastAsia="宋体" w:cs="Times New Roman"/>
          <w:color w:val="auto"/>
          <w:sz w:val="21"/>
          <w:szCs w:val="21"/>
          <w:highlight w:val="none"/>
          <w:u w:val="single"/>
        </w:rPr>
        <w:t xml:space="preserve">                   </w:t>
      </w:r>
      <w:r>
        <w:rPr>
          <w:rFonts w:hint="default" w:ascii="Times New Roman" w:hAnsi="Times New Roman" w:eastAsia="宋体" w:cs="Times New Roman"/>
          <w:color w:val="auto"/>
          <w:sz w:val="21"/>
          <w:szCs w:val="21"/>
          <w:highlight w:val="none"/>
        </w:rPr>
        <w:t>（投标人名称）按中华人民共和国法律于</w:t>
      </w:r>
      <w:r>
        <w:rPr>
          <w:rFonts w:hint="default" w:ascii="Times New Roman" w:hAnsi="Times New Roman" w:eastAsia="宋体" w:cs="Times New Roman"/>
          <w:color w:val="auto"/>
          <w:sz w:val="21"/>
          <w:szCs w:val="21"/>
          <w:highlight w:val="none"/>
          <w:u w:val="single"/>
        </w:rPr>
        <w:t xml:space="preserve">     </w:t>
      </w:r>
      <w:r>
        <w:rPr>
          <w:rFonts w:hint="default" w:ascii="Times New Roman" w:hAnsi="Times New Roman" w:eastAsia="宋体" w:cs="Times New Roman"/>
          <w:color w:val="auto"/>
          <w:sz w:val="21"/>
          <w:szCs w:val="21"/>
          <w:highlight w:val="none"/>
          <w:u w:val="none"/>
        </w:rPr>
        <w:t>年</w:t>
      </w:r>
      <w:r>
        <w:rPr>
          <w:rFonts w:hint="default" w:ascii="Times New Roman" w:hAnsi="Times New Roman" w:eastAsia="宋体" w:cs="Times New Roman"/>
          <w:color w:val="auto"/>
          <w:sz w:val="21"/>
          <w:szCs w:val="21"/>
          <w:highlight w:val="none"/>
          <w:u w:val="single"/>
        </w:rPr>
        <w:t xml:space="preserve">   </w:t>
      </w:r>
      <w:r>
        <w:rPr>
          <w:rFonts w:hint="default" w:ascii="Times New Roman" w:hAnsi="Times New Roman" w:eastAsia="宋体" w:cs="Times New Roman"/>
          <w:color w:val="auto"/>
          <w:sz w:val="21"/>
          <w:szCs w:val="21"/>
          <w:highlight w:val="none"/>
          <w:u w:val="none"/>
        </w:rPr>
        <w:t>月</w:t>
      </w:r>
      <w:r>
        <w:rPr>
          <w:rFonts w:hint="default" w:ascii="Times New Roman" w:hAnsi="Times New Roman" w:eastAsia="宋体" w:cs="Times New Roman"/>
          <w:color w:val="auto"/>
          <w:sz w:val="21"/>
          <w:szCs w:val="21"/>
          <w:highlight w:val="none"/>
          <w:u w:val="single"/>
        </w:rPr>
        <w:t xml:space="preserve">   </w:t>
      </w:r>
      <w:r>
        <w:rPr>
          <w:rFonts w:hint="default" w:ascii="Times New Roman" w:hAnsi="Times New Roman" w:eastAsia="宋体" w:cs="Times New Roman"/>
          <w:color w:val="auto"/>
          <w:sz w:val="21"/>
          <w:szCs w:val="21"/>
          <w:highlight w:val="none"/>
          <w:u w:val="none"/>
        </w:rPr>
        <w:t>日</w:t>
      </w:r>
      <w:r>
        <w:rPr>
          <w:rFonts w:hint="default" w:ascii="Times New Roman" w:hAnsi="Times New Roman" w:eastAsia="宋体" w:cs="Times New Roman"/>
          <w:color w:val="auto"/>
          <w:sz w:val="21"/>
          <w:szCs w:val="21"/>
          <w:highlight w:val="none"/>
        </w:rPr>
        <w:t>成立。</w:t>
      </w:r>
      <w:r>
        <w:rPr>
          <w:rFonts w:hint="default" w:ascii="Times New Roman" w:hAnsi="Times New Roman" w:eastAsia="宋体" w:cs="Times New Roman"/>
          <w:color w:val="auto"/>
          <w:sz w:val="21"/>
          <w:szCs w:val="21"/>
          <w:highlight w:val="none"/>
          <w:u w:val="single"/>
        </w:rPr>
        <w:t xml:space="preserve">          </w:t>
      </w:r>
      <w:r>
        <w:rPr>
          <w:rFonts w:hint="default" w:ascii="Times New Roman" w:hAnsi="Times New Roman" w:eastAsia="宋体" w:cs="Times New Roman"/>
          <w:color w:val="auto"/>
          <w:sz w:val="21"/>
          <w:szCs w:val="21"/>
          <w:highlight w:val="none"/>
        </w:rPr>
        <w:t>（法定代表人姓名、职务）特授权</w:t>
      </w:r>
      <w:r>
        <w:rPr>
          <w:rFonts w:hint="default" w:ascii="Times New Roman" w:hAnsi="Times New Roman" w:eastAsia="宋体" w:cs="Times New Roman"/>
          <w:color w:val="auto"/>
          <w:sz w:val="21"/>
          <w:szCs w:val="21"/>
          <w:highlight w:val="none"/>
          <w:u w:val="single"/>
        </w:rPr>
        <w:t xml:space="preserve">                  </w:t>
      </w:r>
      <w:r>
        <w:rPr>
          <w:rFonts w:hint="default" w:ascii="Times New Roman" w:hAnsi="Times New Roman" w:eastAsia="宋体" w:cs="Times New Roman"/>
          <w:color w:val="auto"/>
          <w:sz w:val="21"/>
          <w:szCs w:val="21"/>
          <w:highlight w:val="none"/>
        </w:rPr>
        <w:t>（被授权人姓名、职务、）</w:t>
      </w:r>
      <w:r>
        <w:rPr>
          <w:szCs w:val="21"/>
        </w:rPr>
        <w:t>为我方</w:t>
      </w:r>
      <w:r>
        <w:rPr>
          <w:rFonts w:hint="eastAsia"/>
          <w:szCs w:val="21"/>
        </w:rPr>
        <w:t>“</w:t>
      </w:r>
      <w:r>
        <w:rPr>
          <w:szCs w:val="21"/>
          <w:u w:val="single"/>
        </w:rPr>
        <w:t xml:space="preserve">             </w:t>
      </w:r>
      <w:r>
        <w:rPr>
          <w:rFonts w:hint="eastAsia"/>
          <w:szCs w:val="21"/>
        </w:rPr>
        <w:t>”</w:t>
      </w:r>
      <w:r>
        <w:rPr>
          <w:szCs w:val="21"/>
        </w:rPr>
        <w:t>项目</w:t>
      </w:r>
      <w:r>
        <w:rPr>
          <w:szCs w:val="21"/>
          <w:highlight w:val="none"/>
        </w:rPr>
        <w:t>（采购项目编号：</w:t>
      </w:r>
      <w:r>
        <w:rPr>
          <w:rFonts w:hint="eastAsia"/>
          <w:szCs w:val="21"/>
          <w:highlight w:val="none"/>
          <w:u w:val="single"/>
        </w:rPr>
        <w:t xml:space="preserve">           </w:t>
      </w:r>
      <w:r>
        <w:rPr>
          <w:szCs w:val="21"/>
          <w:highlight w:val="none"/>
        </w:rPr>
        <w:t>）</w:t>
      </w:r>
      <w:r>
        <w:rPr>
          <w:rFonts w:hint="default" w:ascii="Times New Roman" w:hAnsi="Times New Roman" w:eastAsia="宋体" w:cs="Times New Roman"/>
          <w:color w:val="auto"/>
          <w:sz w:val="21"/>
          <w:szCs w:val="21"/>
          <w:highlight w:val="none"/>
        </w:rPr>
        <w:t>投标活动的合法代表，以我方名义全权处理该项目有关投标、签订合同以及执行合同等一切事宜，本单位均予承认并负全部责任。</w:t>
      </w:r>
    </w:p>
    <w:p w14:paraId="6B9E86D7">
      <w:pPr>
        <w:spacing w:line="440" w:lineRule="exact"/>
        <w:ind w:firstLine="422" w:firstLineChars="200"/>
        <w:rPr>
          <w:rFonts w:hint="eastAsia" w:ascii="Times New Roman" w:hAnsi="Times New Roman" w:eastAsia="宋体" w:cs="Times New Roman"/>
          <w:color w:val="auto"/>
          <w:sz w:val="21"/>
          <w:szCs w:val="21"/>
          <w:highlight w:val="none"/>
          <w:lang w:eastAsia="zh-CN"/>
        </w:rPr>
      </w:pPr>
      <w:r>
        <w:rPr>
          <w:rFonts w:hint="eastAsia" w:ascii="宋体" w:hAnsi="宋体" w:eastAsia="宋体" w:cs="宋体"/>
          <w:b/>
          <w:bCs w:val="0"/>
          <w:caps/>
          <w:color w:val="auto"/>
          <w:sz w:val="21"/>
          <w:szCs w:val="21"/>
          <w:highlight w:val="none"/>
        </w:rPr>
        <w:t>本授权有效期自</w:t>
      </w:r>
      <w:r>
        <w:rPr>
          <w:rFonts w:hint="eastAsia" w:ascii="宋体" w:hAnsi="宋体" w:cs="宋体"/>
          <w:b/>
          <w:bCs w:val="0"/>
          <w:caps/>
          <w:color w:val="auto"/>
          <w:sz w:val="21"/>
          <w:szCs w:val="21"/>
          <w:highlight w:val="none"/>
          <w:lang w:eastAsia="zh-CN"/>
        </w:rPr>
        <w:t>提交投标文件截止之日算起</w:t>
      </w:r>
      <w:r>
        <w:rPr>
          <w:rFonts w:hint="eastAsia" w:ascii="宋体" w:hAnsi="宋体" w:eastAsia="宋体" w:cs="宋体"/>
          <w:b/>
          <w:bCs w:val="0"/>
          <w:caps/>
          <w:color w:val="auto"/>
          <w:sz w:val="21"/>
          <w:szCs w:val="21"/>
          <w:highlight w:val="none"/>
        </w:rPr>
        <w:t>90</w:t>
      </w:r>
      <w:r>
        <w:rPr>
          <w:rFonts w:hint="eastAsia" w:ascii="宋体" w:hAnsi="宋体" w:eastAsia="宋体" w:cs="宋体"/>
          <w:b/>
          <w:bCs w:val="0"/>
          <w:caps/>
          <w:color w:val="auto"/>
          <w:sz w:val="21"/>
          <w:szCs w:val="21"/>
          <w:highlight w:val="none"/>
          <w:lang w:eastAsia="zh-CN"/>
        </w:rPr>
        <w:t>日历日</w:t>
      </w:r>
    </w:p>
    <w:p w14:paraId="503BB36E">
      <w:pPr>
        <w:spacing w:line="440" w:lineRule="exac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附：1、授权代表信息：</w:t>
      </w:r>
    </w:p>
    <w:p w14:paraId="3A3F0D60">
      <w:pPr>
        <w:spacing w:line="440" w:lineRule="exact"/>
        <w:ind w:firstLine="735" w:firstLineChars="35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授权代表姓名：</w:t>
      </w:r>
      <w:r>
        <w:rPr>
          <w:rFonts w:hint="default" w:ascii="Times New Roman" w:hAnsi="Times New Roman" w:eastAsia="宋体" w:cs="Times New Roman"/>
          <w:color w:val="auto"/>
          <w:sz w:val="21"/>
          <w:szCs w:val="21"/>
          <w:highlight w:val="none"/>
          <w:u w:val="single"/>
        </w:rPr>
        <w:t xml:space="preserve">   </w:t>
      </w:r>
      <w:r>
        <w:rPr>
          <w:rFonts w:hint="eastAsia" w:ascii="Times New Roman" w:hAnsi="Times New Roman" w:eastAsia="宋体" w:cs="Times New Roman"/>
          <w:color w:val="auto"/>
          <w:sz w:val="21"/>
          <w:szCs w:val="21"/>
          <w:highlight w:val="none"/>
          <w:u w:val="single"/>
          <w:lang w:val="en-US" w:eastAsia="zh-CN"/>
        </w:rPr>
        <w:t xml:space="preserve">      </w:t>
      </w:r>
      <w:r>
        <w:rPr>
          <w:rFonts w:hint="default" w:ascii="Times New Roman" w:hAnsi="Times New Roman" w:eastAsia="宋体" w:cs="Times New Roman"/>
          <w:color w:val="auto"/>
          <w:sz w:val="21"/>
          <w:szCs w:val="21"/>
          <w:highlight w:val="none"/>
          <w:u w:val="single"/>
        </w:rPr>
        <w:t xml:space="preserve">   </w:t>
      </w:r>
      <w:r>
        <w:rPr>
          <w:rFonts w:hint="default" w:ascii="Times New Roman" w:hAnsi="Times New Roman" w:eastAsia="宋体" w:cs="Times New Roman"/>
          <w:color w:val="auto"/>
          <w:sz w:val="21"/>
          <w:szCs w:val="21"/>
          <w:highlight w:val="none"/>
        </w:rPr>
        <w:t xml:space="preserve">  性别：</w:t>
      </w:r>
      <w:r>
        <w:rPr>
          <w:rFonts w:hint="default" w:ascii="Times New Roman" w:hAnsi="Times New Roman" w:eastAsia="宋体" w:cs="Times New Roman"/>
          <w:color w:val="auto"/>
          <w:sz w:val="21"/>
          <w:szCs w:val="21"/>
          <w:highlight w:val="none"/>
          <w:u w:val="single"/>
        </w:rPr>
        <w:t xml:space="preserve">   </w:t>
      </w:r>
      <w:r>
        <w:rPr>
          <w:rFonts w:hint="eastAsia" w:ascii="Times New Roman" w:hAnsi="Times New Roman" w:eastAsia="宋体" w:cs="Times New Roman"/>
          <w:color w:val="auto"/>
          <w:sz w:val="21"/>
          <w:szCs w:val="21"/>
          <w:highlight w:val="none"/>
          <w:u w:val="single"/>
          <w:lang w:val="en-US" w:eastAsia="zh-CN"/>
        </w:rPr>
        <w:t xml:space="preserve">        </w:t>
      </w:r>
      <w:r>
        <w:rPr>
          <w:rFonts w:hint="default" w:ascii="Times New Roman" w:hAnsi="Times New Roman" w:eastAsia="宋体" w:cs="Times New Roman"/>
          <w:color w:val="auto"/>
          <w:sz w:val="21"/>
          <w:szCs w:val="21"/>
          <w:highlight w:val="none"/>
          <w:u w:val="single"/>
        </w:rPr>
        <w:t xml:space="preserve"> </w:t>
      </w:r>
      <w:r>
        <w:rPr>
          <w:rFonts w:hint="default" w:ascii="Times New Roman" w:hAnsi="Times New Roman" w:eastAsia="宋体" w:cs="Times New Roman"/>
          <w:color w:val="auto"/>
          <w:sz w:val="21"/>
          <w:szCs w:val="21"/>
          <w:highlight w:val="none"/>
        </w:rPr>
        <w:t xml:space="preserve">  </w:t>
      </w:r>
      <w:r>
        <w:rPr>
          <w:rFonts w:hint="eastAsia" w:ascii="Times New Roman" w:hAnsi="Times New Roman" w:eastAsia="宋体" w:cs="Times New Roman"/>
          <w:color w:val="auto"/>
          <w:sz w:val="21"/>
          <w:szCs w:val="21"/>
          <w:highlight w:val="none"/>
          <w:lang w:val="en-US" w:eastAsia="zh-CN"/>
        </w:rPr>
        <w:t xml:space="preserve"> </w:t>
      </w:r>
      <w:r>
        <w:rPr>
          <w:rFonts w:hint="default" w:ascii="Times New Roman" w:hAnsi="Times New Roman" w:eastAsia="宋体" w:cs="Times New Roman"/>
          <w:color w:val="auto"/>
          <w:sz w:val="21"/>
          <w:szCs w:val="21"/>
          <w:highlight w:val="none"/>
        </w:rPr>
        <w:t>年龄：</w:t>
      </w:r>
      <w:r>
        <w:rPr>
          <w:rFonts w:hint="default" w:ascii="Times New Roman" w:hAnsi="Times New Roman" w:eastAsia="宋体" w:cs="Times New Roman"/>
          <w:color w:val="auto"/>
          <w:sz w:val="21"/>
          <w:szCs w:val="21"/>
          <w:highlight w:val="none"/>
          <w:u w:val="single"/>
        </w:rPr>
        <w:t xml:space="preserve">      </w:t>
      </w:r>
    </w:p>
    <w:p w14:paraId="337F15E7">
      <w:pPr>
        <w:spacing w:line="440" w:lineRule="exact"/>
        <w:ind w:firstLine="555"/>
        <w:rPr>
          <w:rFonts w:hint="default" w:ascii="Times New Roman" w:hAnsi="Times New Roman" w:eastAsia="宋体" w:cs="Times New Roman"/>
          <w:color w:val="auto"/>
          <w:sz w:val="21"/>
          <w:szCs w:val="21"/>
          <w:highlight w:val="none"/>
          <w:u w:val="single"/>
        </w:rPr>
      </w:pPr>
      <w:r>
        <w:rPr>
          <w:rFonts w:hint="default" w:ascii="Times New Roman" w:hAnsi="Times New Roman" w:eastAsia="宋体" w:cs="Times New Roman"/>
          <w:color w:val="auto"/>
          <w:sz w:val="21"/>
          <w:szCs w:val="21"/>
          <w:highlight w:val="none"/>
        </w:rPr>
        <w:t xml:space="preserve">  身份证号码：</w:t>
      </w:r>
      <w:r>
        <w:rPr>
          <w:rFonts w:hint="default" w:ascii="Times New Roman" w:hAnsi="Times New Roman" w:eastAsia="宋体" w:cs="Times New Roman"/>
          <w:color w:val="auto"/>
          <w:sz w:val="21"/>
          <w:szCs w:val="21"/>
          <w:highlight w:val="none"/>
          <w:u w:val="single"/>
        </w:rPr>
        <w:t xml:space="preserve">     </w:t>
      </w:r>
      <w:r>
        <w:rPr>
          <w:rFonts w:hint="eastAsia" w:ascii="Times New Roman" w:hAnsi="Times New Roman" w:eastAsia="宋体" w:cs="Times New Roman"/>
          <w:color w:val="auto"/>
          <w:sz w:val="21"/>
          <w:szCs w:val="21"/>
          <w:highlight w:val="none"/>
          <w:u w:val="single"/>
          <w:lang w:val="en-US" w:eastAsia="zh-CN"/>
        </w:rPr>
        <w:t xml:space="preserve"> </w:t>
      </w:r>
      <w:r>
        <w:rPr>
          <w:rFonts w:hint="default" w:ascii="Times New Roman" w:hAnsi="Times New Roman" w:eastAsia="宋体" w:cs="Times New Roman"/>
          <w:color w:val="auto"/>
          <w:sz w:val="21"/>
          <w:szCs w:val="21"/>
          <w:highlight w:val="none"/>
          <w:u w:val="single"/>
        </w:rPr>
        <w:t xml:space="preserve">    </w:t>
      </w:r>
      <w:r>
        <w:rPr>
          <w:rFonts w:hint="eastAsia" w:ascii="Times New Roman" w:hAnsi="Times New Roman" w:eastAsia="宋体" w:cs="Times New Roman"/>
          <w:color w:val="auto"/>
          <w:sz w:val="21"/>
          <w:szCs w:val="21"/>
          <w:highlight w:val="none"/>
          <w:u w:val="single"/>
          <w:lang w:val="en-US" w:eastAsia="zh-CN"/>
        </w:rPr>
        <w:t xml:space="preserve">  </w:t>
      </w:r>
      <w:r>
        <w:rPr>
          <w:rFonts w:hint="default" w:ascii="Times New Roman" w:hAnsi="Times New Roman" w:eastAsia="宋体" w:cs="Times New Roman"/>
          <w:color w:val="auto"/>
          <w:sz w:val="21"/>
          <w:szCs w:val="21"/>
          <w:highlight w:val="none"/>
          <w:u w:val="single"/>
        </w:rPr>
        <w:t xml:space="preserve">  </w:t>
      </w:r>
      <w:r>
        <w:rPr>
          <w:rFonts w:hint="default" w:ascii="Times New Roman" w:hAnsi="Times New Roman" w:eastAsia="宋体" w:cs="Times New Roman"/>
          <w:color w:val="auto"/>
          <w:sz w:val="21"/>
          <w:szCs w:val="21"/>
          <w:highlight w:val="none"/>
        </w:rPr>
        <w:t xml:space="preserve">  职务：</w:t>
      </w:r>
      <w:r>
        <w:rPr>
          <w:rFonts w:hint="default" w:ascii="Times New Roman" w:hAnsi="Times New Roman" w:eastAsia="宋体" w:cs="Times New Roman"/>
          <w:color w:val="auto"/>
          <w:sz w:val="21"/>
          <w:szCs w:val="21"/>
          <w:highlight w:val="none"/>
          <w:u w:val="single"/>
        </w:rPr>
        <w:t xml:space="preserve">            </w:t>
      </w:r>
    </w:p>
    <w:p w14:paraId="067116BF">
      <w:pPr>
        <w:spacing w:line="440" w:lineRule="exact"/>
        <w:ind w:firstLine="555"/>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  通讯地址：</w:t>
      </w:r>
      <w:r>
        <w:rPr>
          <w:rFonts w:hint="default" w:ascii="Times New Roman" w:hAnsi="Times New Roman" w:eastAsia="宋体" w:cs="Times New Roman"/>
          <w:color w:val="auto"/>
          <w:sz w:val="21"/>
          <w:szCs w:val="21"/>
          <w:highlight w:val="none"/>
          <w:u w:val="single"/>
        </w:rPr>
        <w:t xml:space="preserve">                                    </w:t>
      </w:r>
    </w:p>
    <w:p w14:paraId="7D647CFC">
      <w:pPr>
        <w:spacing w:line="440" w:lineRule="exact"/>
        <w:ind w:firstLine="555"/>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color w:val="auto"/>
          <w:sz w:val="21"/>
          <w:szCs w:val="21"/>
          <w:highlight w:val="none"/>
        </w:rPr>
        <w:t xml:space="preserve">  邮政编码：</w:t>
      </w:r>
      <w:r>
        <w:rPr>
          <w:rFonts w:hint="default" w:ascii="Times New Roman" w:hAnsi="Times New Roman" w:eastAsia="宋体" w:cs="Times New Roman"/>
          <w:color w:val="auto"/>
          <w:sz w:val="21"/>
          <w:szCs w:val="21"/>
          <w:highlight w:val="none"/>
          <w:u w:val="single"/>
        </w:rPr>
        <w:t xml:space="preserve">        </w:t>
      </w:r>
      <w:r>
        <w:rPr>
          <w:rFonts w:hint="default" w:ascii="Times New Roman" w:hAnsi="Times New Roman" w:eastAsia="宋体" w:cs="Times New Roman"/>
          <w:color w:val="auto"/>
          <w:sz w:val="21"/>
          <w:szCs w:val="21"/>
          <w:highlight w:val="none"/>
        </w:rPr>
        <w:t xml:space="preserve"> 电话：</w:t>
      </w:r>
      <w:r>
        <w:rPr>
          <w:rFonts w:hint="default" w:ascii="Times New Roman" w:hAnsi="Times New Roman" w:eastAsia="宋体" w:cs="Times New Roman"/>
          <w:color w:val="auto"/>
          <w:sz w:val="21"/>
          <w:szCs w:val="21"/>
          <w:highlight w:val="none"/>
          <w:u w:val="single"/>
        </w:rPr>
        <w:t xml:space="preserve">        </w:t>
      </w:r>
      <w:r>
        <w:rPr>
          <w:rFonts w:hint="default" w:ascii="Times New Roman" w:hAnsi="Times New Roman" w:eastAsia="宋体" w:cs="Times New Roman"/>
          <w:color w:val="auto"/>
          <w:sz w:val="21"/>
          <w:szCs w:val="21"/>
          <w:highlight w:val="none"/>
        </w:rPr>
        <w:t xml:space="preserve"> 传真：</w:t>
      </w:r>
      <w:r>
        <w:rPr>
          <w:rFonts w:hint="default" w:ascii="Times New Roman" w:hAnsi="Times New Roman" w:eastAsia="宋体" w:cs="Times New Roman"/>
          <w:color w:val="auto"/>
          <w:sz w:val="21"/>
          <w:szCs w:val="21"/>
          <w:highlight w:val="none"/>
          <w:u w:val="single"/>
        </w:rPr>
        <w:t xml:space="preserve">      </w:t>
      </w:r>
    </w:p>
    <w:p w14:paraId="13FC42D4">
      <w:pPr>
        <w:spacing w:line="440" w:lineRule="exac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color w:val="auto"/>
          <w:sz w:val="21"/>
          <w:szCs w:val="21"/>
          <w:highlight w:val="none"/>
        </w:rPr>
        <w:t xml:space="preserve">    </w:t>
      </w:r>
      <w:r>
        <w:rPr>
          <w:rFonts w:hint="default" w:ascii="Times New Roman" w:hAnsi="Times New Roman" w:eastAsia="宋体" w:cs="Times New Roman"/>
          <w:color w:val="auto"/>
          <w:sz w:val="21"/>
          <w:szCs w:val="21"/>
          <w:highlight w:val="none"/>
        </w:rPr>
        <w:t>2、法定代表人身份证复印件、授权代表身份证复印件（正反两面）</w:t>
      </w:r>
    </w:p>
    <w:tbl>
      <w:tblPr>
        <w:tblStyle w:val="40"/>
        <w:tblW w:w="9300"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4650"/>
        <w:gridCol w:w="4650"/>
      </w:tblGrid>
      <w:tr w14:paraId="062EB1E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419" w:hRule="atLeast"/>
        </w:trPr>
        <w:tc>
          <w:tcPr>
            <w:tcW w:w="4650" w:type="dxa"/>
            <w:tcBorders>
              <w:tl2br w:val="nil"/>
              <w:tr2bl w:val="nil"/>
            </w:tcBorders>
          </w:tcPr>
          <w:p w14:paraId="07190D53">
            <w:pPr>
              <w:spacing w:line="480" w:lineRule="exact"/>
              <w:rPr>
                <w:rFonts w:hint="eastAsia" w:ascii="宋体" w:hAnsi="宋体" w:eastAsia="宋体" w:cs="宋体"/>
                <w:color w:val="auto"/>
                <w:sz w:val="21"/>
                <w:szCs w:val="21"/>
                <w:highlight w:val="none"/>
              </w:rPr>
            </w:pPr>
          </w:p>
        </w:tc>
        <w:tc>
          <w:tcPr>
            <w:tcW w:w="4650" w:type="dxa"/>
            <w:tcBorders>
              <w:tl2br w:val="nil"/>
              <w:tr2bl w:val="nil"/>
            </w:tcBorders>
          </w:tcPr>
          <w:p w14:paraId="7829A58F">
            <w:pPr>
              <w:spacing w:line="480" w:lineRule="exact"/>
              <w:rPr>
                <w:rFonts w:hint="eastAsia" w:ascii="宋体" w:hAnsi="宋体" w:eastAsia="宋体" w:cs="宋体"/>
                <w:color w:val="auto"/>
                <w:sz w:val="21"/>
                <w:szCs w:val="21"/>
                <w:highlight w:val="none"/>
              </w:rPr>
            </w:pPr>
          </w:p>
        </w:tc>
      </w:tr>
      <w:tr w14:paraId="6E13DC2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429" w:hRule="atLeast"/>
        </w:trPr>
        <w:tc>
          <w:tcPr>
            <w:tcW w:w="4650" w:type="dxa"/>
            <w:tcBorders>
              <w:tl2br w:val="nil"/>
              <w:tr2bl w:val="nil"/>
            </w:tcBorders>
          </w:tcPr>
          <w:p w14:paraId="2B9FAD9E">
            <w:pPr>
              <w:spacing w:line="480" w:lineRule="exact"/>
              <w:rPr>
                <w:rFonts w:hint="eastAsia" w:ascii="宋体" w:hAnsi="宋体" w:eastAsia="宋体" w:cs="宋体"/>
                <w:color w:val="auto"/>
                <w:sz w:val="21"/>
                <w:szCs w:val="21"/>
                <w:highlight w:val="none"/>
              </w:rPr>
            </w:pPr>
          </w:p>
        </w:tc>
        <w:tc>
          <w:tcPr>
            <w:tcW w:w="4650" w:type="dxa"/>
            <w:tcBorders>
              <w:tl2br w:val="nil"/>
              <w:tr2bl w:val="nil"/>
            </w:tcBorders>
          </w:tcPr>
          <w:p w14:paraId="498BFE78">
            <w:pPr>
              <w:spacing w:line="480" w:lineRule="exact"/>
              <w:rPr>
                <w:rFonts w:hint="eastAsia" w:ascii="宋体" w:hAnsi="宋体" w:eastAsia="宋体" w:cs="宋体"/>
                <w:color w:val="auto"/>
                <w:sz w:val="21"/>
                <w:szCs w:val="21"/>
                <w:highlight w:val="none"/>
              </w:rPr>
            </w:pPr>
          </w:p>
        </w:tc>
      </w:tr>
    </w:tbl>
    <w:p w14:paraId="56ED94FA">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p>
    <w:p w14:paraId="51BC7875">
      <w:pPr>
        <w:keepNext w:val="0"/>
        <w:keepLines w:val="0"/>
        <w:pageBreakBefore w:val="0"/>
        <w:widowControl w:val="0"/>
        <w:kinsoku/>
        <w:wordWrap/>
        <w:overflowPunct/>
        <w:topLinePunct w:val="0"/>
        <w:autoSpaceDE/>
        <w:autoSpaceDN/>
        <w:bidi w:val="0"/>
        <w:adjustRightInd/>
        <w:snapToGrid w:val="0"/>
        <w:spacing w:line="360" w:lineRule="auto"/>
        <w:ind w:firstLine="4620" w:firstLineChars="2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法定代表人签字：</w:t>
      </w:r>
      <w:r>
        <w:rPr>
          <w:rFonts w:hint="eastAsia" w:ascii="宋体" w:hAnsi="宋体" w:eastAsia="宋体" w:cs="宋体"/>
          <w:color w:val="auto"/>
          <w:sz w:val="21"/>
          <w:szCs w:val="21"/>
          <w:highlight w:val="none"/>
          <w:u w:val="single"/>
        </w:rPr>
        <w:t xml:space="preserve">               </w:t>
      </w:r>
    </w:p>
    <w:p w14:paraId="62A7B5E3">
      <w:pPr>
        <w:keepNext w:val="0"/>
        <w:keepLines w:val="0"/>
        <w:pageBreakBefore w:val="0"/>
        <w:widowControl w:val="0"/>
        <w:kinsoku/>
        <w:wordWrap/>
        <w:overflowPunct/>
        <w:topLinePunct w:val="0"/>
        <w:autoSpaceDE/>
        <w:autoSpaceDN/>
        <w:bidi w:val="0"/>
        <w:adjustRightInd/>
        <w:snapToGrid w:val="0"/>
        <w:spacing w:line="360" w:lineRule="auto"/>
        <w:ind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授权代表签字：</w:t>
      </w:r>
      <w:r>
        <w:rPr>
          <w:rFonts w:hint="eastAsia" w:ascii="宋体" w:hAnsi="宋体" w:eastAsia="宋体" w:cs="宋体"/>
          <w:color w:val="auto"/>
          <w:sz w:val="21"/>
          <w:szCs w:val="21"/>
          <w:highlight w:val="none"/>
          <w:u w:val="single"/>
        </w:rPr>
        <w:t xml:space="preserve">                 </w:t>
      </w:r>
    </w:p>
    <w:p w14:paraId="5FE3B153">
      <w:pPr>
        <w:keepNext w:val="0"/>
        <w:keepLines w:val="0"/>
        <w:pageBreakBefore w:val="0"/>
        <w:widowControl w:val="0"/>
        <w:kinsoku/>
        <w:wordWrap/>
        <w:overflowPunct/>
        <w:topLinePunct w:val="0"/>
        <w:autoSpaceDE/>
        <w:autoSpaceDN/>
        <w:bidi w:val="0"/>
        <w:adjustRightInd/>
        <w:snapToGri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投标人名称：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（盖章）</w:t>
      </w:r>
    </w:p>
    <w:p w14:paraId="0B48BD5C">
      <w:pPr>
        <w:keepNext w:val="0"/>
        <w:keepLines w:val="0"/>
        <w:pageBreakBefore w:val="0"/>
        <w:widowControl w:val="0"/>
        <w:kinsoku/>
        <w:wordWrap/>
        <w:overflowPunct/>
        <w:topLinePunct w:val="0"/>
        <w:autoSpaceDE/>
        <w:autoSpaceDN/>
        <w:bidi w:val="0"/>
        <w:adjustRightInd/>
        <w:snapToGrid w:val="0"/>
        <w:spacing w:line="360" w:lineRule="auto"/>
        <w:ind w:firstLine="420" w:firstLineChars="200"/>
        <w:textAlignment w:val="auto"/>
        <w:rPr>
          <w:rFonts w:hint="default" w:ascii="Times New Roman" w:hAnsi="Times New Roman" w:eastAsia="宋体" w:cs="Times New Roman"/>
          <w:color w:val="auto"/>
          <w:sz w:val="21"/>
          <w:szCs w:val="21"/>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cs="宋体"/>
          <w:color w:val="FF0000"/>
          <w:sz w:val="21"/>
          <w:szCs w:val="21"/>
          <w:highlight w:val="none"/>
          <w:lang w:val="en-US" w:eastAsia="zh-CN"/>
        </w:rPr>
        <w:t>　　</w:t>
      </w:r>
      <w:r>
        <w:rPr>
          <w:rFonts w:hint="eastAsia" w:ascii="宋体" w:hAnsi="宋体" w:cs="宋体"/>
          <w:color w:val="000000"/>
          <w:sz w:val="21"/>
          <w:szCs w:val="21"/>
          <w:highlight w:val="none"/>
          <w:lang w:val="en-US" w:eastAsia="zh-CN"/>
        </w:rPr>
        <w:t>日      期：</w:t>
      </w:r>
      <w:r>
        <w:rPr>
          <w:rFonts w:hint="default" w:ascii="Times New Roman" w:hAnsi="Times New Roman" w:eastAsia="宋体" w:cs="Times New Roman"/>
          <w:color w:val="auto"/>
          <w:sz w:val="21"/>
          <w:szCs w:val="21"/>
          <w:highlight w:val="none"/>
          <w:u w:val="single"/>
        </w:rPr>
        <w:t xml:space="preserve">     </w:t>
      </w:r>
      <w:r>
        <w:rPr>
          <w:rFonts w:hint="default" w:ascii="Times New Roman" w:hAnsi="Times New Roman" w:eastAsia="宋体" w:cs="Times New Roman"/>
          <w:color w:val="auto"/>
          <w:sz w:val="21"/>
          <w:szCs w:val="21"/>
          <w:highlight w:val="none"/>
        </w:rPr>
        <w:t>年</w:t>
      </w:r>
      <w:r>
        <w:rPr>
          <w:rFonts w:hint="default" w:ascii="Times New Roman" w:hAnsi="Times New Roman" w:eastAsia="宋体" w:cs="Times New Roman"/>
          <w:color w:val="auto"/>
          <w:sz w:val="21"/>
          <w:szCs w:val="21"/>
          <w:highlight w:val="none"/>
          <w:u w:val="single"/>
        </w:rPr>
        <w:t xml:space="preserve">     </w:t>
      </w:r>
      <w:r>
        <w:rPr>
          <w:rFonts w:hint="default" w:ascii="Times New Roman" w:hAnsi="Times New Roman" w:eastAsia="宋体" w:cs="Times New Roman"/>
          <w:color w:val="auto"/>
          <w:sz w:val="21"/>
          <w:szCs w:val="21"/>
          <w:highlight w:val="none"/>
        </w:rPr>
        <w:t>月</w:t>
      </w:r>
      <w:r>
        <w:rPr>
          <w:rFonts w:hint="default" w:ascii="Times New Roman" w:hAnsi="Times New Roman" w:eastAsia="宋体" w:cs="Times New Roman"/>
          <w:color w:val="auto"/>
          <w:sz w:val="21"/>
          <w:szCs w:val="21"/>
          <w:highlight w:val="none"/>
          <w:u w:val="single"/>
        </w:rPr>
        <w:t xml:space="preserve">     </w:t>
      </w:r>
      <w:r>
        <w:rPr>
          <w:rFonts w:hint="default" w:ascii="Times New Roman" w:hAnsi="Times New Roman" w:eastAsia="宋体" w:cs="Times New Roman"/>
          <w:color w:val="auto"/>
          <w:sz w:val="21"/>
          <w:szCs w:val="21"/>
          <w:highlight w:val="none"/>
        </w:rPr>
        <w:t>日</w:t>
      </w:r>
    </w:p>
    <w:p w14:paraId="33DCD140">
      <w:pPr>
        <w:spacing w:beforeLines="50" w:afterLines="50" w:line="480" w:lineRule="exact"/>
        <w:rPr>
          <w:rFonts w:hint="default" w:ascii="宋体" w:hAnsi="宋体" w:eastAsia="宋体" w:cs="宋体"/>
          <w:b/>
          <w:color w:val="auto"/>
          <w:sz w:val="21"/>
          <w:szCs w:val="21"/>
          <w:highlight w:val="none"/>
          <w:lang w:eastAsia="zh-CN"/>
        </w:rPr>
      </w:pPr>
    </w:p>
    <w:p w14:paraId="2195A95A">
      <w:pPr>
        <w:spacing w:beforeLines="50" w:afterLines="50" w:line="480" w:lineRule="exact"/>
        <w:rPr>
          <w:rFonts w:hint="default" w:ascii="宋体" w:hAnsi="宋体" w:eastAsia="宋体" w:cs="宋体"/>
          <w:b/>
          <w:color w:val="auto"/>
          <w:sz w:val="21"/>
          <w:szCs w:val="21"/>
          <w:highlight w:val="none"/>
          <w:lang w:eastAsia="zh-CN"/>
        </w:rPr>
      </w:pPr>
      <w:r>
        <w:rPr>
          <w:rFonts w:hint="default" w:ascii="宋体" w:hAnsi="宋体" w:eastAsia="宋体" w:cs="宋体"/>
          <w:b/>
          <w:color w:val="auto"/>
          <w:sz w:val="21"/>
          <w:szCs w:val="21"/>
          <w:highlight w:val="none"/>
          <w:lang w:eastAsia="zh-CN"/>
        </w:rPr>
        <w:t>附件</w:t>
      </w:r>
      <w:r>
        <w:rPr>
          <w:rFonts w:hint="eastAsia" w:ascii="宋体" w:hAnsi="宋体" w:cs="宋体"/>
          <w:b/>
          <w:color w:val="auto"/>
          <w:sz w:val="21"/>
          <w:szCs w:val="21"/>
          <w:highlight w:val="none"/>
          <w:lang w:val="en-US" w:eastAsia="zh-CN"/>
        </w:rPr>
        <w:t>2</w:t>
      </w:r>
      <w:r>
        <w:rPr>
          <w:rFonts w:hint="default" w:ascii="宋体" w:hAnsi="宋体" w:eastAsia="宋体" w:cs="宋体"/>
          <w:b/>
          <w:color w:val="auto"/>
          <w:sz w:val="21"/>
          <w:szCs w:val="21"/>
          <w:highlight w:val="none"/>
          <w:lang w:eastAsia="zh-CN"/>
        </w:rPr>
        <w:t>：</w:t>
      </w:r>
    </w:p>
    <w:p w14:paraId="54F58FF6">
      <w:pPr>
        <w:pStyle w:val="34"/>
        <w:keepNext w:val="0"/>
        <w:keepLines w:val="0"/>
        <w:pageBreakBefore w:val="0"/>
        <w:widowControl w:val="0"/>
        <w:kinsoku/>
        <w:wordWrap/>
        <w:overflowPunct/>
        <w:topLinePunct w:val="0"/>
        <w:autoSpaceDE/>
        <w:autoSpaceDN/>
        <w:bidi w:val="0"/>
        <w:adjustRightInd/>
        <w:snapToGrid w:val="0"/>
        <w:spacing w:after="240" w:afterLines="100" w:line="360" w:lineRule="auto"/>
        <w:jc w:val="center"/>
        <w:textAlignment w:val="auto"/>
        <w:rPr>
          <w:rFonts w:ascii="Times New Roman" w:hAnsi="Times New Roman" w:cs="Times New Roman"/>
          <w:b/>
          <w:bCs/>
          <w:color w:val="auto"/>
          <w:sz w:val="21"/>
          <w:szCs w:val="21"/>
          <w:highlight w:val="none"/>
        </w:rPr>
      </w:pPr>
      <w:r>
        <w:rPr>
          <w:rFonts w:ascii="Times New Roman" w:hAnsi="Times New Roman" w:cs="Times New Roman"/>
          <w:b/>
          <w:bCs/>
          <w:color w:val="auto"/>
          <w:sz w:val="21"/>
          <w:szCs w:val="21"/>
          <w:highlight w:val="none"/>
        </w:rPr>
        <w:t>关于信用担保的说明</w:t>
      </w:r>
    </w:p>
    <w:p w14:paraId="0BE42012">
      <w:pPr>
        <w:keepNext w:val="0"/>
        <w:keepLines w:val="0"/>
        <w:pageBreakBefore w:val="0"/>
        <w:kinsoku/>
        <w:wordWrap/>
        <w:overflowPunct/>
        <w:topLinePunct w:val="0"/>
        <w:autoSpaceDE/>
        <w:autoSpaceDN/>
        <w:bidi w:val="0"/>
        <w:adjustRightInd/>
        <w:snapToGrid w:val="0"/>
        <w:spacing w:line="360" w:lineRule="auto"/>
        <w:textAlignment w:val="auto"/>
        <w:rPr>
          <w:color w:val="auto"/>
          <w:szCs w:val="21"/>
          <w:highlight w:val="none"/>
        </w:rPr>
      </w:pPr>
      <w:r>
        <w:rPr>
          <w:rFonts w:hint="eastAsia"/>
          <w:color w:val="auto"/>
          <w:szCs w:val="21"/>
          <w:highlight w:val="none"/>
        </w:rPr>
        <w:t xml:space="preserve">    </w:t>
      </w:r>
      <w:r>
        <w:rPr>
          <w:color w:val="auto"/>
          <w:szCs w:val="21"/>
          <w:highlight w:val="none"/>
        </w:rPr>
        <w:t>1、</w:t>
      </w:r>
      <w:r>
        <w:rPr>
          <w:rFonts w:hint="eastAsia"/>
          <w:color w:val="auto"/>
          <w:szCs w:val="21"/>
          <w:highlight w:val="none"/>
          <w:lang w:val="en-US" w:eastAsia="zh-CN"/>
        </w:rPr>
        <w:t>投标人</w:t>
      </w:r>
      <w:r>
        <w:rPr>
          <w:color w:val="auto"/>
          <w:szCs w:val="21"/>
          <w:highlight w:val="none"/>
        </w:rPr>
        <w:t>在</w:t>
      </w:r>
      <w:r>
        <w:rPr>
          <w:rFonts w:hint="eastAsia"/>
          <w:color w:val="auto"/>
          <w:szCs w:val="21"/>
          <w:highlight w:val="none"/>
          <w:lang w:val="en-US" w:eastAsia="zh-CN"/>
        </w:rPr>
        <w:t>投标</w:t>
      </w:r>
      <w:r>
        <w:rPr>
          <w:color w:val="auto"/>
          <w:szCs w:val="21"/>
          <w:highlight w:val="none"/>
        </w:rPr>
        <w:t>、履约、融资等环节可自愿选择采取信用担保的形式。</w:t>
      </w:r>
    </w:p>
    <w:p w14:paraId="5B433676">
      <w:pPr>
        <w:keepNext w:val="0"/>
        <w:keepLines w:val="0"/>
        <w:pageBreakBefore w:val="0"/>
        <w:kinsoku/>
        <w:wordWrap/>
        <w:overflowPunct/>
        <w:topLinePunct w:val="0"/>
        <w:autoSpaceDE/>
        <w:autoSpaceDN/>
        <w:bidi w:val="0"/>
        <w:adjustRightInd/>
        <w:snapToGrid w:val="0"/>
        <w:spacing w:line="360" w:lineRule="auto"/>
        <w:ind w:firstLine="420" w:firstLineChars="200"/>
        <w:textAlignment w:val="auto"/>
        <w:rPr>
          <w:color w:val="auto"/>
          <w:szCs w:val="21"/>
          <w:highlight w:val="none"/>
        </w:rPr>
      </w:pPr>
      <w:r>
        <w:rPr>
          <w:color w:val="auto"/>
          <w:szCs w:val="21"/>
          <w:highlight w:val="none"/>
        </w:rPr>
        <w:t>2、</w:t>
      </w:r>
      <w:r>
        <w:rPr>
          <w:rFonts w:hint="eastAsia"/>
          <w:color w:val="auto"/>
          <w:szCs w:val="21"/>
          <w:highlight w:val="none"/>
          <w:lang w:val="en-US" w:eastAsia="zh-CN"/>
        </w:rPr>
        <w:t>投标人</w:t>
      </w:r>
      <w:r>
        <w:rPr>
          <w:color w:val="auto"/>
          <w:szCs w:val="21"/>
          <w:highlight w:val="none"/>
        </w:rPr>
        <w:t>可以自愿选择是否采取</w:t>
      </w:r>
      <w:r>
        <w:rPr>
          <w:rFonts w:hint="eastAsia"/>
          <w:color w:val="auto"/>
          <w:szCs w:val="21"/>
          <w:highlight w:val="none"/>
          <w:lang w:val="en-US" w:eastAsia="zh-CN"/>
        </w:rPr>
        <w:t>投标</w:t>
      </w:r>
      <w:r>
        <w:rPr>
          <w:color w:val="auto"/>
          <w:szCs w:val="21"/>
          <w:highlight w:val="none"/>
        </w:rPr>
        <w:t>担保函的形式交纳</w:t>
      </w:r>
      <w:r>
        <w:rPr>
          <w:rFonts w:hint="eastAsia"/>
          <w:color w:val="auto"/>
          <w:szCs w:val="21"/>
          <w:highlight w:val="none"/>
          <w:lang w:val="en-US" w:eastAsia="zh-CN"/>
        </w:rPr>
        <w:t>投标</w:t>
      </w:r>
      <w:r>
        <w:rPr>
          <w:rFonts w:hint="eastAsia"/>
          <w:color w:val="auto"/>
          <w:szCs w:val="21"/>
          <w:highlight w:val="none"/>
          <w:lang w:eastAsia="zh-CN"/>
        </w:rPr>
        <w:t>保证金</w:t>
      </w:r>
      <w:r>
        <w:rPr>
          <w:color w:val="auto"/>
          <w:szCs w:val="21"/>
          <w:highlight w:val="none"/>
        </w:rPr>
        <w:t>，也可以自愿选择是否采取履约担保函的形式交纳履约保证金。</w:t>
      </w:r>
    </w:p>
    <w:p w14:paraId="071BAC49">
      <w:pPr>
        <w:keepNext w:val="0"/>
        <w:keepLines w:val="0"/>
        <w:pageBreakBefore w:val="0"/>
        <w:kinsoku/>
        <w:wordWrap/>
        <w:overflowPunct/>
        <w:topLinePunct w:val="0"/>
        <w:autoSpaceDE/>
        <w:autoSpaceDN/>
        <w:bidi w:val="0"/>
        <w:adjustRightInd/>
        <w:snapToGrid w:val="0"/>
        <w:spacing w:line="360" w:lineRule="auto"/>
        <w:ind w:firstLine="420" w:firstLineChars="200"/>
        <w:textAlignment w:val="auto"/>
        <w:rPr>
          <w:rFonts w:hint="eastAsia" w:ascii="宋体" w:hAnsi="宋体" w:cs="宋体"/>
          <w:color w:val="auto"/>
          <w:szCs w:val="21"/>
          <w:highlight w:val="none"/>
          <w:lang w:eastAsia="zh-CN"/>
        </w:rPr>
      </w:pPr>
      <w:r>
        <w:rPr>
          <w:color w:val="auto"/>
          <w:szCs w:val="21"/>
          <w:highlight w:val="none"/>
        </w:rPr>
        <w:t>3、</w:t>
      </w:r>
      <w:r>
        <w:rPr>
          <w:rFonts w:hint="eastAsia"/>
          <w:color w:val="auto"/>
          <w:szCs w:val="21"/>
          <w:highlight w:val="none"/>
        </w:rPr>
        <w:t>根据中办、国办《关于促进中小企业健康发展的指导意见》、财政部、工信部《政府采购促进中小企业发展暂行办法》（财库〔2011〕181号）、陕西省政府《应对新冠肺炎疫情支持中小微企业稳定健康发展若干措施》（陕政办发〔2020〕4号）、陕西省财政厅《陕西省中小企业政府采购信用融资办法》（陕财办采〔2018〕23号）</w:t>
      </w:r>
      <w:r>
        <w:rPr>
          <w:rFonts w:hint="eastAsia"/>
          <w:color w:val="auto"/>
          <w:szCs w:val="21"/>
          <w:highlight w:val="none"/>
          <w:lang w:eastAsia="zh-CN"/>
        </w:rPr>
        <w:t>、《</w:t>
      </w:r>
      <w:r>
        <w:rPr>
          <w:rFonts w:hint="eastAsia"/>
          <w:color w:val="auto"/>
          <w:szCs w:val="21"/>
          <w:highlight w:val="none"/>
          <w:lang w:val="en-US" w:eastAsia="zh-CN"/>
        </w:rPr>
        <w:t>陕西省财政厅关于加快推进我省中小企业政府采购信仰融资工作的通知</w:t>
      </w:r>
      <w:r>
        <w:rPr>
          <w:rFonts w:hint="eastAsia"/>
          <w:color w:val="auto"/>
          <w:szCs w:val="21"/>
          <w:highlight w:val="none"/>
          <w:lang w:eastAsia="zh-CN"/>
        </w:rPr>
        <w:t>》</w:t>
      </w:r>
      <w:r>
        <w:rPr>
          <w:rFonts w:hint="eastAsia"/>
          <w:color w:val="auto"/>
          <w:szCs w:val="21"/>
          <w:highlight w:val="none"/>
        </w:rPr>
        <w:t>（陕</w:t>
      </w:r>
      <w:r>
        <w:rPr>
          <w:rFonts w:hint="eastAsia"/>
          <w:color w:val="auto"/>
          <w:szCs w:val="21"/>
          <w:highlight w:val="none"/>
          <w:lang w:val="en-US" w:eastAsia="zh-CN"/>
        </w:rPr>
        <w:t>财</w:t>
      </w:r>
      <w:r>
        <w:rPr>
          <w:rFonts w:hint="eastAsia"/>
          <w:color w:val="auto"/>
          <w:szCs w:val="21"/>
          <w:highlight w:val="none"/>
        </w:rPr>
        <w:t>办</w:t>
      </w:r>
      <w:r>
        <w:rPr>
          <w:rFonts w:hint="eastAsia"/>
          <w:color w:val="auto"/>
          <w:szCs w:val="21"/>
          <w:highlight w:val="none"/>
          <w:lang w:val="en-US" w:eastAsia="zh-CN"/>
        </w:rPr>
        <w:t>采</w:t>
      </w:r>
      <w:r>
        <w:rPr>
          <w:rFonts w:hint="eastAsia"/>
          <w:color w:val="auto"/>
          <w:szCs w:val="21"/>
          <w:highlight w:val="none"/>
        </w:rPr>
        <w:t>〔2020〕</w:t>
      </w:r>
      <w:r>
        <w:rPr>
          <w:rFonts w:hint="eastAsia"/>
          <w:color w:val="auto"/>
          <w:szCs w:val="21"/>
          <w:highlight w:val="none"/>
          <w:lang w:val="en-US" w:eastAsia="zh-CN"/>
        </w:rPr>
        <w:t>15</w:t>
      </w:r>
      <w:r>
        <w:rPr>
          <w:rFonts w:hint="eastAsia"/>
          <w:color w:val="auto"/>
          <w:szCs w:val="21"/>
          <w:highlight w:val="none"/>
        </w:rPr>
        <w:t>号）等有关规定，现对2021年至2022年陕西省政府采购支持中小企业信用融资合作银行予以公告</w:t>
      </w:r>
      <w:r>
        <w:rPr>
          <w:rFonts w:hint="eastAsia" w:ascii="宋体" w:hAnsi="宋体" w:cs="宋体"/>
          <w:color w:val="auto"/>
          <w:szCs w:val="21"/>
          <w:highlight w:val="none"/>
          <w:lang w:eastAsia="zh-CN"/>
        </w:rPr>
        <w:t>。</w:t>
      </w:r>
    </w:p>
    <w:tbl>
      <w:tblPr>
        <w:tblStyle w:val="41"/>
        <w:tblpPr w:leftFromText="180" w:rightFromText="180" w:vertAnchor="text" w:horzAnchor="page" w:tblpX="1418" w:tblpY="565"/>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1"/>
        <w:gridCol w:w="6488"/>
      </w:tblGrid>
      <w:tr w14:paraId="021754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2351" w:type="dxa"/>
            <w:tcBorders>
              <w:tl2br w:val="nil"/>
              <w:tr2bl w:val="nil"/>
            </w:tcBorders>
            <w:noWrap w:val="0"/>
            <w:vAlign w:val="top"/>
          </w:tcPr>
          <w:p w14:paraId="6CBEA3C8">
            <w:pPr>
              <w:pStyle w:val="34"/>
              <w:keepNext w:val="0"/>
              <w:keepLines w:val="0"/>
              <w:pageBreakBefore w:val="0"/>
              <w:widowControl/>
              <w:kinsoku/>
              <w:wordWrap/>
              <w:overflowPunct/>
              <w:topLinePunct w:val="0"/>
              <w:autoSpaceDE/>
              <w:autoSpaceDN/>
              <w:bidi w:val="0"/>
              <w:adjustRightInd/>
              <w:snapToGrid w:val="0"/>
              <w:spacing w:before="0" w:beforeLines="50" w:beforeAutospacing="0" w:after="0" w:afterLines="0" w:afterAutospacing="0" w:line="360" w:lineRule="auto"/>
              <w:jc w:val="center"/>
              <w:textAlignment w:val="auto"/>
              <w:rPr>
                <w:rFonts w:hint="eastAsia" w:eastAsia="宋体"/>
                <w:b/>
                <w:bCs/>
                <w:color w:val="auto"/>
                <w:sz w:val="21"/>
                <w:szCs w:val="21"/>
                <w:highlight w:val="none"/>
                <w:vertAlign w:val="baseline"/>
                <w:lang w:val="en-US" w:eastAsia="zh-CN"/>
              </w:rPr>
            </w:pPr>
            <w:r>
              <w:rPr>
                <w:rFonts w:hint="eastAsia"/>
                <w:b/>
                <w:bCs/>
                <w:color w:val="auto"/>
                <w:sz w:val="21"/>
                <w:szCs w:val="21"/>
                <w:highlight w:val="none"/>
                <w:vertAlign w:val="baseline"/>
                <w:lang w:val="en-US" w:eastAsia="zh-CN"/>
              </w:rPr>
              <w:t>序号</w:t>
            </w:r>
          </w:p>
        </w:tc>
        <w:tc>
          <w:tcPr>
            <w:tcW w:w="6488" w:type="dxa"/>
            <w:tcBorders>
              <w:tl2br w:val="nil"/>
              <w:tr2bl w:val="nil"/>
            </w:tcBorders>
            <w:noWrap w:val="0"/>
            <w:vAlign w:val="top"/>
          </w:tcPr>
          <w:p w14:paraId="5F15508D">
            <w:pPr>
              <w:pStyle w:val="34"/>
              <w:keepNext w:val="0"/>
              <w:keepLines w:val="0"/>
              <w:pageBreakBefore w:val="0"/>
              <w:widowControl/>
              <w:kinsoku/>
              <w:wordWrap/>
              <w:overflowPunct/>
              <w:topLinePunct w:val="0"/>
              <w:autoSpaceDE/>
              <w:autoSpaceDN/>
              <w:bidi w:val="0"/>
              <w:adjustRightInd/>
              <w:snapToGrid w:val="0"/>
              <w:spacing w:before="0" w:beforeLines="50" w:beforeAutospacing="0" w:after="0" w:afterLines="0" w:afterAutospacing="0" w:line="360" w:lineRule="auto"/>
              <w:jc w:val="center"/>
              <w:textAlignment w:val="auto"/>
              <w:rPr>
                <w:rFonts w:hint="eastAsia" w:eastAsia="宋体"/>
                <w:b/>
                <w:bCs/>
                <w:color w:val="auto"/>
                <w:sz w:val="21"/>
                <w:szCs w:val="21"/>
                <w:highlight w:val="none"/>
                <w:vertAlign w:val="baseline"/>
                <w:lang w:val="en-US" w:eastAsia="zh-CN"/>
              </w:rPr>
            </w:pPr>
            <w:r>
              <w:rPr>
                <w:rFonts w:hint="eastAsia"/>
                <w:b/>
                <w:bCs/>
                <w:color w:val="auto"/>
                <w:sz w:val="21"/>
                <w:szCs w:val="21"/>
                <w:highlight w:val="none"/>
                <w:vertAlign w:val="baseline"/>
                <w:lang w:val="en-US" w:eastAsia="zh-CN"/>
              </w:rPr>
              <w:t>合作银行</w:t>
            </w:r>
          </w:p>
        </w:tc>
      </w:tr>
      <w:tr w14:paraId="35A959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2351" w:type="dxa"/>
            <w:tcBorders>
              <w:tl2br w:val="nil"/>
              <w:tr2bl w:val="nil"/>
            </w:tcBorders>
            <w:noWrap w:val="0"/>
            <w:vAlign w:val="top"/>
          </w:tcPr>
          <w:p w14:paraId="1C0729EE">
            <w:pPr>
              <w:pStyle w:val="34"/>
              <w:keepNext w:val="0"/>
              <w:keepLines w:val="0"/>
              <w:pageBreakBefore w:val="0"/>
              <w:widowControl/>
              <w:kinsoku/>
              <w:wordWrap/>
              <w:overflowPunct/>
              <w:topLinePunct w:val="0"/>
              <w:autoSpaceDE/>
              <w:autoSpaceDN/>
              <w:bidi w:val="0"/>
              <w:adjustRightInd/>
              <w:snapToGrid w:val="0"/>
              <w:spacing w:before="0" w:beforeLines="50" w:beforeAutospacing="0" w:after="0" w:afterLines="0" w:afterAutospacing="0" w:line="360" w:lineRule="auto"/>
              <w:jc w:val="center"/>
              <w:textAlignment w:val="auto"/>
              <w:rPr>
                <w:rFonts w:hint="eastAsia" w:eastAsia="宋体"/>
                <w:color w:val="auto"/>
                <w:sz w:val="21"/>
                <w:szCs w:val="21"/>
                <w:highlight w:val="none"/>
                <w:vertAlign w:val="baseline"/>
                <w:lang w:val="en-US" w:eastAsia="zh-CN"/>
              </w:rPr>
            </w:pPr>
            <w:r>
              <w:rPr>
                <w:rFonts w:hint="eastAsia"/>
                <w:color w:val="auto"/>
                <w:sz w:val="21"/>
                <w:szCs w:val="21"/>
                <w:highlight w:val="none"/>
                <w:vertAlign w:val="baseline"/>
                <w:lang w:val="en-US" w:eastAsia="zh-CN"/>
              </w:rPr>
              <w:t>1</w:t>
            </w:r>
          </w:p>
        </w:tc>
        <w:tc>
          <w:tcPr>
            <w:tcW w:w="6488" w:type="dxa"/>
            <w:tcBorders>
              <w:tl2br w:val="nil"/>
              <w:tr2bl w:val="nil"/>
            </w:tcBorders>
            <w:noWrap w:val="0"/>
            <w:vAlign w:val="top"/>
          </w:tcPr>
          <w:p w14:paraId="7D27055B">
            <w:pPr>
              <w:keepNext w:val="0"/>
              <w:keepLines w:val="0"/>
              <w:pageBreakBefore w:val="0"/>
              <w:widowControl/>
              <w:kinsoku/>
              <w:wordWrap/>
              <w:overflowPunct/>
              <w:topLinePunct w:val="0"/>
              <w:autoSpaceDE/>
              <w:autoSpaceDN/>
              <w:bidi w:val="0"/>
              <w:adjustRightInd/>
              <w:snapToGrid w:val="0"/>
              <w:spacing w:before="0" w:beforeLines="50" w:beforeAutospacing="0" w:afterAutospacing="0" w:line="360" w:lineRule="auto"/>
              <w:jc w:val="center"/>
              <w:textAlignment w:val="auto"/>
              <w:rPr>
                <w:rFonts w:hint="eastAsia"/>
                <w:color w:val="auto"/>
                <w:sz w:val="21"/>
                <w:szCs w:val="21"/>
                <w:highlight w:val="none"/>
                <w:vertAlign w:val="baseline"/>
              </w:rPr>
            </w:pPr>
            <w:r>
              <w:rPr>
                <w:rFonts w:hint="eastAsia"/>
                <w:color w:val="auto"/>
                <w:highlight w:val="none"/>
              </w:rPr>
              <w:t>中国建设银行股份有限公司陕西省分行</w:t>
            </w:r>
          </w:p>
        </w:tc>
      </w:tr>
      <w:tr w14:paraId="56080E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2351" w:type="dxa"/>
            <w:tcBorders>
              <w:tl2br w:val="nil"/>
              <w:tr2bl w:val="nil"/>
            </w:tcBorders>
            <w:noWrap w:val="0"/>
            <w:vAlign w:val="top"/>
          </w:tcPr>
          <w:p w14:paraId="51DDB78C">
            <w:pPr>
              <w:pStyle w:val="34"/>
              <w:keepNext w:val="0"/>
              <w:keepLines w:val="0"/>
              <w:pageBreakBefore w:val="0"/>
              <w:widowControl/>
              <w:kinsoku/>
              <w:wordWrap/>
              <w:overflowPunct/>
              <w:topLinePunct w:val="0"/>
              <w:autoSpaceDE/>
              <w:autoSpaceDN/>
              <w:bidi w:val="0"/>
              <w:adjustRightInd/>
              <w:snapToGrid w:val="0"/>
              <w:spacing w:before="0" w:beforeLines="50" w:beforeAutospacing="0" w:after="0" w:afterLines="0" w:afterAutospacing="0" w:line="360" w:lineRule="auto"/>
              <w:jc w:val="center"/>
              <w:textAlignment w:val="auto"/>
              <w:rPr>
                <w:rFonts w:hint="eastAsia" w:eastAsia="宋体"/>
                <w:color w:val="auto"/>
                <w:sz w:val="21"/>
                <w:szCs w:val="21"/>
                <w:highlight w:val="none"/>
                <w:vertAlign w:val="baseline"/>
                <w:lang w:val="en-US" w:eastAsia="zh-CN"/>
              </w:rPr>
            </w:pPr>
            <w:r>
              <w:rPr>
                <w:rFonts w:hint="eastAsia"/>
                <w:color w:val="auto"/>
                <w:sz w:val="21"/>
                <w:szCs w:val="21"/>
                <w:highlight w:val="none"/>
                <w:vertAlign w:val="baseline"/>
                <w:lang w:val="en-US" w:eastAsia="zh-CN"/>
              </w:rPr>
              <w:t>2</w:t>
            </w:r>
          </w:p>
        </w:tc>
        <w:tc>
          <w:tcPr>
            <w:tcW w:w="6488" w:type="dxa"/>
            <w:tcBorders>
              <w:tl2br w:val="nil"/>
              <w:tr2bl w:val="nil"/>
            </w:tcBorders>
            <w:noWrap w:val="0"/>
            <w:vAlign w:val="top"/>
          </w:tcPr>
          <w:p w14:paraId="4BA0795D">
            <w:pPr>
              <w:keepNext w:val="0"/>
              <w:keepLines w:val="0"/>
              <w:pageBreakBefore w:val="0"/>
              <w:widowControl/>
              <w:kinsoku/>
              <w:wordWrap/>
              <w:overflowPunct/>
              <w:topLinePunct w:val="0"/>
              <w:autoSpaceDE/>
              <w:autoSpaceDN/>
              <w:bidi w:val="0"/>
              <w:adjustRightInd/>
              <w:snapToGrid w:val="0"/>
              <w:spacing w:before="0" w:beforeLines="50" w:beforeAutospacing="0" w:afterAutospacing="0" w:line="360" w:lineRule="auto"/>
              <w:jc w:val="center"/>
              <w:textAlignment w:val="auto"/>
              <w:rPr>
                <w:rFonts w:hint="eastAsia"/>
                <w:color w:val="auto"/>
                <w:sz w:val="21"/>
                <w:szCs w:val="21"/>
                <w:highlight w:val="none"/>
                <w:vertAlign w:val="baseline"/>
              </w:rPr>
            </w:pPr>
            <w:r>
              <w:rPr>
                <w:rFonts w:hint="eastAsia"/>
                <w:color w:val="auto"/>
                <w:highlight w:val="none"/>
              </w:rPr>
              <w:t>北京银行股份有限公司西安分行</w:t>
            </w:r>
          </w:p>
        </w:tc>
      </w:tr>
      <w:tr w14:paraId="7F695B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2351" w:type="dxa"/>
            <w:tcBorders>
              <w:tl2br w:val="nil"/>
              <w:tr2bl w:val="nil"/>
            </w:tcBorders>
            <w:noWrap w:val="0"/>
            <w:vAlign w:val="top"/>
          </w:tcPr>
          <w:p w14:paraId="5A2DD576">
            <w:pPr>
              <w:pStyle w:val="34"/>
              <w:keepNext w:val="0"/>
              <w:keepLines w:val="0"/>
              <w:pageBreakBefore w:val="0"/>
              <w:widowControl/>
              <w:kinsoku/>
              <w:wordWrap/>
              <w:overflowPunct/>
              <w:topLinePunct w:val="0"/>
              <w:autoSpaceDE/>
              <w:autoSpaceDN/>
              <w:bidi w:val="0"/>
              <w:adjustRightInd/>
              <w:snapToGrid w:val="0"/>
              <w:spacing w:before="0" w:beforeLines="50" w:beforeAutospacing="0" w:after="0" w:afterLines="0" w:afterAutospacing="0" w:line="360" w:lineRule="auto"/>
              <w:jc w:val="center"/>
              <w:textAlignment w:val="auto"/>
              <w:rPr>
                <w:rFonts w:hint="eastAsia" w:eastAsia="宋体"/>
                <w:color w:val="auto"/>
                <w:sz w:val="21"/>
                <w:szCs w:val="21"/>
                <w:highlight w:val="none"/>
                <w:vertAlign w:val="baseline"/>
                <w:lang w:val="en-US" w:eastAsia="zh-CN"/>
              </w:rPr>
            </w:pPr>
            <w:r>
              <w:rPr>
                <w:rFonts w:hint="eastAsia"/>
                <w:color w:val="auto"/>
                <w:sz w:val="21"/>
                <w:szCs w:val="21"/>
                <w:highlight w:val="none"/>
                <w:vertAlign w:val="baseline"/>
                <w:lang w:val="en-US" w:eastAsia="zh-CN"/>
              </w:rPr>
              <w:t>3</w:t>
            </w:r>
          </w:p>
        </w:tc>
        <w:tc>
          <w:tcPr>
            <w:tcW w:w="6488" w:type="dxa"/>
            <w:tcBorders>
              <w:tl2br w:val="nil"/>
              <w:tr2bl w:val="nil"/>
            </w:tcBorders>
            <w:noWrap w:val="0"/>
            <w:vAlign w:val="top"/>
          </w:tcPr>
          <w:p w14:paraId="001B9433">
            <w:pPr>
              <w:keepNext w:val="0"/>
              <w:keepLines w:val="0"/>
              <w:pageBreakBefore w:val="0"/>
              <w:widowControl/>
              <w:kinsoku/>
              <w:wordWrap/>
              <w:overflowPunct/>
              <w:topLinePunct w:val="0"/>
              <w:autoSpaceDE/>
              <w:autoSpaceDN/>
              <w:bidi w:val="0"/>
              <w:adjustRightInd/>
              <w:snapToGrid w:val="0"/>
              <w:spacing w:before="0" w:beforeLines="50" w:beforeAutospacing="0" w:afterAutospacing="0" w:line="360" w:lineRule="auto"/>
              <w:jc w:val="center"/>
              <w:textAlignment w:val="auto"/>
              <w:rPr>
                <w:rFonts w:hint="eastAsia"/>
                <w:color w:val="auto"/>
                <w:sz w:val="21"/>
                <w:szCs w:val="21"/>
                <w:highlight w:val="none"/>
                <w:vertAlign w:val="baseline"/>
              </w:rPr>
            </w:pPr>
            <w:r>
              <w:rPr>
                <w:rFonts w:hint="eastAsia"/>
                <w:color w:val="auto"/>
                <w:highlight w:val="none"/>
              </w:rPr>
              <w:t>中国光大银行股份有限公司西安分行</w:t>
            </w:r>
          </w:p>
        </w:tc>
      </w:tr>
      <w:tr w14:paraId="5B3CB9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2351" w:type="dxa"/>
            <w:tcBorders>
              <w:tl2br w:val="nil"/>
              <w:tr2bl w:val="nil"/>
            </w:tcBorders>
            <w:noWrap w:val="0"/>
            <w:vAlign w:val="top"/>
          </w:tcPr>
          <w:p w14:paraId="0280DFEE">
            <w:pPr>
              <w:pStyle w:val="34"/>
              <w:keepNext w:val="0"/>
              <w:keepLines w:val="0"/>
              <w:pageBreakBefore w:val="0"/>
              <w:widowControl/>
              <w:kinsoku/>
              <w:wordWrap/>
              <w:overflowPunct/>
              <w:topLinePunct w:val="0"/>
              <w:autoSpaceDE/>
              <w:autoSpaceDN/>
              <w:bidi w:val="0"/>
              <w:adjustRightInd/>
              <w:snapToGrid w:val="0"/>
              <w:spacing w:before="0" w:beforeLines="50" w:beforeAutospacing="0" w:after="0" w:afterLines="0" w:afterAutospacing="0" w:line="360" w:lineRule="auto"/>
              <w:jc w:val="center"/>
              <w:textAlignment w:val="auto"/>
              <w:rPr>
                <w:rFonts w:hint="eastAsia" w:eastAsia="宋体"/>
                <w:color w:val="auto"/>
                <w:sz w:val="21"/>
                <w:szCs w:val="21"/>
                <w:highlight w:val="none"/>
                <w:vertAlign w:val="baseline"/>
                <w:lang w:val="en-US" w:eastAsia="zh-CN"/>
              </w:rPr>
            </w:pPr>
            <w:r>
              <w:rPr>
                <w:rFonts w:hint="eastAsia"/>
                <w:color w:val="auto"/>
                <w:sz w:val="21"/>
                <w:szCs w:val="21"/>
                <w:highlight w:val="none"/>
                <w:vertAlign w:val="baseline"/>
                <w:lang w:val="en-US" w:eastAsia="zh-CN"/>
              </w:rPr>
              <w:t>4</w:t>
            </w:r>
          </w:p>
        </w:tc>
        <w:tc>
          <w:tcPr>
            <w:tcW w:w="6488" w:type="dxa"/>
            <w:tcBorders>
              <w:tl2br w:val="nil"/>
              <w:tr2bl w:val="nil"/>
            </w:tcBorders>
            <w:noWrap w:val="0"/>
            <w:vAlign w:val="top"/>
          </w:tcPr>
          <w:p w14:paraId="0B7E22A5">
            <w:pPr>
              <w:keepNext w:val="0"/>
              <w:keepLines w:val="0"/>
              <w:pageBreakBefore w:val="0"/>
              <w:widowControl/>
              <w:kinsoku/>
              <w:wordWrap/>
              <w:overflowPunct/>
              <w:topLinePunct w:val="0"/>
              <w:autoSpaceDE/>
              <w:autoSpaceDN/>
              <w:bidi w:val="0"/>
              <w:adjustRightInd/>
              <w:snapToGrid w:val="0"/>
              <w:spacing w:before="0" w:beforeLines="50" w:beforeAutospacing="0" w:afterAutospacing="0" w:line="360" w:lineRule="auto"/>
              <w:jc w:val="center"/>
              <w:textAlignment w:val="auto"/>
              <w:rPr>
                <w:rFonts w:hint="eastAsia"/>
                <w:color w:val="auto"/>
                <w:sz w:val="21"/>
                <w:szCs w:val="21"/>
                <w:highlight w:val="none"/>
                <w:vertAlign w:val="baseline"/>
              </w:rPr>
            </w:pPr>
            <w:r>
              <w:rPr>
                <w:rFonts w:hint="eastAsia"/>
                <w:color w:val="auto"/>
                <w:highlight w:val="none"/>
              </w:rPr>
              <w:t>上海浦东发展银行股份有限公司西安分行</w:t>
            </w:r>
          </w:p>
        </w:tc>
      </w:tr>
      <w:tr w14:paraId="6E9ED1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2351" w:type="dxa"/>
            <w:tcBorders>
              <w:tl2br w:val="nil"/>
              <w:tr2bl w:val="nil"/>
            </w:tcBorders>
            <w:noWrap w:val="0"/>
            <w:vAlign w:val="top"/>
          </w:tcPr>
          <w:p w14:paraId="7C1CAB60">
            <w:pPr>
              <w:pStyle w:val="34"/>
              <w:keepNext w:val="0"/>
              <w:keepLines w:val="0"/>
              <w:pageBreakBefore w:val="0"/>
              <w:widowControl/>
              <w:kinsoku/>
              <w:wordWrap/>
              <w:overflowPunct/>
              <w:topLinePunct w:val="0"/>
              <w:autoSpaceDE/>
              <w:autoSpaceDN/>
              <w:bidi w:val="0"/>
              <w:adjustRightInd/>
              <w:snapToGrid w:val="0"/>
              <w:spacing w:before="0" w:beforeLines="50" w:beforeAutospacing="0" w:after="0" w:afterLines="0" w:afterAutospacing="0" w:line="360" w:lineRule="auto"/>
              <w:jc w:val="center"/>
              <w:textAlignment w:val="auto"/>
              <w:rPr>
                <w:rFonts w:hint="eastAsia" w:eastAsia="宋体"/>
                <w:color w:val="auto"/>
                <w:sz w:val="21"/>
                <w:szCs w:val="21"/>
                <w:highlight w:val="none"/>
                <w:vertAlign w:val="baseline"/>
                <w:lang w:val="en-US" w:eastAsia="zh-CN"/>
              </w:rPr>
            </w:pPr>
            <w:r>
              <w:rPr>
                <w:rFonts w:hint="eastAsia"/>
                <w:color w:val="auto"/>
                <w:sz w:val="21"/>
                <w:szCs w:val="21"/>
                <w:highlight w:val="none"/>
                <w:vertAlign w:val="baseline"/>
                <w:lang w:val="en-US" w:eastAsia="zh-CN"/>
              </w:rPr>
              <w:t>5</w:t>
            </w:r>
          </w:p>
        </w:tc>
        <w:tc>
          <w:tcPr>
            <w:tcW w:w="6488" w:type="dxa"/>
            <w:tcBorders>
              <w:tl2br w:val="nil"/>
              <w:tr2bl w:val="nil"/>
            </w:tcBorders>
            <w:noWrap w:val="0"/>
            <w:vAlign w:val="top"/>
          </w:tcPr>
          <w:p w14:paraId="738C6809">
            <w:pPr>
              <w:keepNext w:val="0"/>
              <w:keepLines w:val="0"/>
              <w:pageBreakBefore w:val="0"/>
              <w:widowControl/>
              <w:kinsoku/>
              <w:wordWrap/>
              <w:overflowPunct/>
              <w:topLinePunct w:val="0"/>
              <w:autoSpaceDE/>
              <w:autoSpaceDN/>
              <w:bidi w:val="0"/>
              <w:adjustRightInd/>
              <w:snapToGrid w:val="0"/>
              <w:spacing w:before="0" w:beforeLines="50" w:beforeAutospacing="0" w:afterAutospacing="0" w:line="360" w:lineRule="auto"/>
              <w:jc w:val="center"/>
              <w:textAlignment w:val="auto"/>
              <w:rPr>
                <w:rFonts w:hint="eastAsia"/>
                <w:color w:val="auto"/>
                <w:sz w:val="21"/>
                <w:szCs w:val="21"/>
                <w:highlight w:val="none"/>
                <w:vertAlign w:val="baseline"/>
              </w:rPr>
            </w:pPr>
            <w:r>
              <w:rPr>
                <w:rFonts w:hint="eastAsia"/>
                <w:color w:val="auto"/>
                <w:highlight w:val="none"/>
              </w:rPr>
              <w:t>浙商银行股份有限公司西安分行</w:t>
            </w:r>
          </w:p>
        </w:tc>
      </w:tr>
      <w:tr w14:paraId="7AA19A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2351" w:type="dxa"/>
            <w:tcBorders>
              <w:tl2br w:val="nil"/>
              <w:tr2bl w:val="nil"/>
            </w:tcBorders>
            <w:noWrap w:val="0"/>
            <w:vAlign w:val="top"/>
          </w:tcPr>
          <w:p w14:paraId="589EEE40">
            <w:pPr>
              <w:pStyle w:val="34"/>
              <w:keepNext w:val="0"/>
              <w:keepLines w:val="0"/>
              <w:pageBreakBefore w:val="0"/>
              <w:widowControl/>
              <w:kinsoku/>
              <w:wordWrap/>
              <w:overflowPunct/>
              <w:topLinePunct w:val="0"/>
              <w:autoSpaceDE/>
              <w:autoSpaceDN/>
              <w:bidi w:val="0"/>
              <w:adjustRightInd/>
              <w:snapToGrid w:val="0"/>
              <w:spacing w:before="0" w:beforeLines="50" w:beforeAutospacing="0" w:after="0" w:afterLines="0" w:afterAutospacing="0" w:line="360" w:lineRule="auto"/>
              <w:jc w:val="center"/>
              <w:textAlignment w:val="auto"/>
              <w:rPr>
                <w:rFonts w:hint="eastAsia" w:eastAsia="宋体"/>
                <w:color w:val="auto"/>
                <w:sz w:val="21"/>
                <w:szCs w:val="21"/>
                <w:highlight w:val="none"/>
                <w:vertAlign w:val="baseline"/>
                <w:lang w:val="en-US" w:eastAsia="zh-CN"/>
              </w:rPr>
            </w:pPr>
            <w:r>
              <w:rPr>
                <w:rFonts w:hint="eastAsia"/>
                <w:color w:val="auto"/>
                <w:sz w:val="21"/>
                <w:szCs w:val="21"/>
                <w:highlight w:val="none"/>
                <w:vertAlign w:val="baseline"/>
                <w:lang w:val="en-US" w:eastAsia="zh-CN"/>
              </w:rPr>
              <w:t>6</w:t>
            </w:r>
          </w:p>
        </w:tc>
        <w:tc>
          <w:tcPr>
            <w:tcW w:w="6488" w:type="dxa"/>
            <w:tcBorders>
              <w:tl2br w:val="nil"/>
              <w:tr2bl w:val="nil"/>
            </w:tcBorders>
            <w:noWrap w:val="0"/>
            <w:vAlign w:val="top"/>
          </w:tcPr>
          <w:p w14:paraId="4CF28F0F">
            <w:pPr>
              <w:keepNext w:val="0"/>
              <w:keepLines w:val="0"/>
              <w:pageBreakBefore w:val="0"/>
              <w:widowControl/>
              <w:kinsoku/>
              <w:wordWrap/>
              <w:overflowPunct/>
              <w:topLinePunct w:val="0"/>
              <w:autoSpaceDE/>
              <w:autoSpaceDN/>
              <w:bidi w:val="0"/>
              <w:adjustRightInd/>
              <w:snapToGrid w:val="0"/>
              <w:spacing w:before="0" w:beforeLines="50" w:beforeAutospacing="0" w:afterAutospacing="0" w:line="360" w:lineRule="auto"/>
              <w:jc w:val="center"/>
              <w:textAlignment w:val="auto"/>
              <w:rPr>
                <w:rFonts w:hint="eastAsia"/>
                <w:color w:val="auto"/>
                <w:sz w:val="21"/>
                <w:szCs w:val="21"/>
                <w:highlight w:val="none"/>
                <w:vertAlign w:val="baseline"/>
              </w:rPr>
            </w:pPr>
            <w:r>
              <w:rPr>
                <w:rFonts w:hint="eastAsia"/>
                <w:color w:val="auto"/>
                <w:highlight w:val="none"/>
              </w:rPr>
              <w:t>招商银行股份有限公司西安分行</w:t>
            </w:r>
          </w:p>
        </w:tc>
      </w:tr>
      <w:tr w14:paraId="3A7EA9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2351" w:type="dxa"/>
            <w:tcBorders>
              <w:tl2br w:val="nil"/>
              <w:tr2bl w:val="nil"/>
            </w:tcBorders>
            <w:noWrap w:val="0"/>
            <w:vAlign w:val="top"/>
          </w:tcPr>
          <w:p w14:paraId="027D91BA">
            <w:pPr>
              <w:pStyle w:val="34"/>
              <w:keepNext w:val="0"/>
              <w:keepLines w:val="0"/>
              <w:pageBreakBefore w:val="0"/>
              <w:widowControl/>
              <w:kinsoku/>
              <w:wordWrap/>
              <w:overflowPunct/>
              <w:topLinePunct w:val="0"/>
              <w:autoSpaceDE/>
              <w:autoSpaceDN/>
              <w:bidi w:val="0"/>
              <w:adjustRightInd/>
              <w:snapToGrid w:val="0"/>
              <w:spacing w:before="0" w:beforeLines="50" w:beforeAutospacing="0" w:after="0" w:afterLines="0" w:afterAutospacing="0" w:line="360" w:lineRule="auto"/>
              <w:jc w:val="center"/>
              <w:textAlignment w:val="auto"/>
              <w:rPr>
                <w:rFonts w:hint="eastAsia" w:eastAsia="宋体"/>
                <w:color w:val="auto"/>
                <w:sz w:val="21"/>
                <w:szCs w:val="21"/>
                <w:highlight w:val="none"/>
                <w:vertAlign w:val="baseline"/>
                <w:lang w:val="en-US" w:eastAsia="zh-CN"/>
              </w:rPr>
            </w:pPr>
            <w:r>
              <w:rPr>
                <w:rFonts w:hint="eastAsia"/>
                <w:color w:val="auto"/>
                <w:sz w:val="21"/>
                <w:szCs w:val="21"/>
                <w:highlight w:val="none"/>
                <w:vertAlign w:val="baseline"/>
                <w:lang w:val="en-US" w:eastAsia="zh-CN"/>
              </w:rPr>
              <w:t>7</w:t>
            </w:r>
          </w:p>
        </w:tc>
        <w:tc>
          <w:tcPr>
            <w:tcW w:w="6488" w:type="dxa"/>
            <w:tcBorders>
              <w:tl2br w:val="nil"/>
              <w:tr2bl w:val="nil"/>
            </w:tcBorders>
            <w:noWrap w:val="0"/>
            <w:vAlign w:val="top"/>
          </w:tcPr>
          <w:p w14:paraId="0DC42718">
            <w:pPr>
              <w:keepNext w:val="0"/>
              <w:keepLines w:val="0"/>
              <w:pageBreakBefore w:val="0"/>
              <w:widowControl/>
              <w:kinsoku/>
              <w:wordWrap/>
              <w:overflowPunct/>
              <w:topLinePunct w:val="0"/>
              <w:autoSpaceDE/>
              <w:autoSpaceDN/>
              <w:bidi w:val="0"/>
              <w:adjustRightInd/>
              <w:snapToGrid w:val="0"/>
              <w:spacing w:before="0" w:beforeLines="50" w:beforeAutospacing="0" w:afterAutospacing="0" w:line="360" w:lineRule="auto"/>
              <w:jc w:val="center"/>
              <w:textAlignment w:val="auto"/>
              <w:rPr>
                <w:rFonts w:hint="eastAsia"/>
                <w:color w:val="auto"/>
                <w:sz w:val="21"/>
                <w:szCs w:val="21"/>
                <w:highlight w:val="none"/>
                <w:vertAlign w:val="baseline"/>
              </w:rPr>
            </w:pPr>
            <w:r>
              <w:rPr>
                <w:rFonts w:hint="eastAsia"/>
                <w:color w:val="auto"/>
                <w:sz w:val="21"/>
                <w:szCs w:val="21"/>
                <w:highlight w:val="none"/>
                <w:vertAlign w:val="baseline"/>
              </w:rPr>
              <w:t>中信银行股份有限公司西安分行</w:t>
            </w:r>
          </w:p>
        </w:tc>
      </w:tr>
      <w:tr w14:paraId="02FF0C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2351" w:type="dxa"/>
            <w:tcBorders>
              <w:tl2br w:val="nil"/>
              <w:tr2bl w:val="nil"/>
            </w:tcBorders>
            <w:noWrap w:val="0"/>
            <w:vAlign w:val="top"/>
          </w:tcPr>
          <w:p w14:paraId="3425FAD1">
            <w:pPr>
              <w:pStyle w:val="34"/>
              <w:keepNext w:val="0"/>
              <w:keepLines w:val="0"/>
              <w:pageBreakBefore w:val="0"/>
              <w:widowControl/>
              <w:kinsoku/>
              <w:wordWrap/>
              <w:overflowPunct/>
              <w:topLinePunct w:val="0"/>
              <w:autoSpaceDE/>
              <w:autoSpaceDN/>
              <w:bidi w:val="0"/>
              <w:adjustRightInd/>
              <w:snapToGrid w:val="0"/>
              <w:spacing w:before="0" w:beforeLines="50" w:beforeAutospacing="0" w:after="0" w:afterLines="0" w:afterAutospacing="0" w:line="360" w:lineRule="auto"/>
              <w:jc w:val="center"/>
              <w:textAlignment w:val="auto"/>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8</w:t>
            </w:r>
          </w:p>
        </w:tc>
        <w:tc>
          <w:tcPr>
            <w:tcW w:w="6488" w:type="dxa"/>
            <w:tcBorders>
              <w:tl2br w:val="nil"/>
              <w:tr2bl w:val="nil"/>
            </w:tcBorders>
            <w:noWrap w:val="0"/>
            <w:vAlign w:val="top"/>
          </w:tcPr>
          <w:p w14:paraId="072520D6">
            <w:pPr>
              <w:keepNext w:val="0"/>
              <w:keepLines w:val="0"/>
              <w:pageBreakBefore w:val="0"/>
              <w:widowControl/>
              <w:kinsoku/>
              <w:wordWrap/>
              <w:overflowPunct/>
              <w:topLinePunct w:val="0"/>
              <w:autoSpaceDE/>
              <w:autoSpaceDN/>
              <w:bidi w:val="0"/>
              <w:adjustRightInd/>
              <w:snapToGrid w:val="0"/>
              <w:spacing w:before="0" w:beforeLines="50" w:beforeAutospacing="0" w:afterAutospacing="0" w:line="360" w:lineRule="auto"/>
              <w:jc w:val="center"/>
              <w:textAlignment w:val="auto"/>
              <w:rPr>
                <w:rFonts w:hint="eastAsia"/>
                <w:color w:val="auto"/>
                <w:sz w:val="21"/>
                <w:szCs w:val="21"/>
                <w:highlight w:val="none"/>
                <w:vertAlign w:val="baseline"/>
              </w:rPr>
            </w:pPr>
            <w:r>
              <w:rPr>
                <w:rFonts w:hint="eastAsia"/>
                <w:color w:val="auto"/>
                <w:highlight w:val="none"/>
              </w:rPr>
              <w:t>兴业银行股份有限公司西安分行</w:t>
            </w:r>
          </w:p>
        </w:tc>
      </w:tr>
      <w:tr w14:paraId="30FC4A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2351" w:type="dxa"/>
            <w:tcBorders>
              <w:tl2br w:val="nil"/>
              <w:tr2bl w:val="nil"/>
            </w:tcBorders>
            <w:noWrap w:val="0"/>
            <w:vAlign w:val="top"/>
          </w:tcPr>
          <w:p w14:paraId="51A9FACA">
            <w:pPr>
              <w:pStyle w:val="34"/>
              <w:keepNext w:val="0"/>
              <w:keepLines w:val="0"/>
              <w:pageBreakBefore w:val="0"/>
              <w:widowControl/>
              <w:kinsoku/>
              <w:wordWrap/>
              <w:overflowPunct/>
              <w:topLinePunct w:val="0"/>
              <w:autoSpaceDE/>
              <w:autoSpaceDN/>
              <w:bidi w:val="0"/>
              <w:adjustRightInd/>
              <w:snapToGrid w:val="0"/>
              <w:spacing w:before="0" w:beforeLines="50" w:beforeAutospacing="0" w:after="0" w:afterLines="0" w:afterAutospacing="0" w:line="360" w:lineRule="auto"/>
              <w:jc w:val="center"/>
              <w:textAlignment w:val="auto"/>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9</w:t>
            </w:r>
          </w:p>
        </w:tc>
        <w:tc>
          <w:tcPr>
            <w:tcW w:w="6488" w:type="dxa"/>
            <w:tcBorders>
              <w:tl2br w:val="nil"/>
              <w:tr2bl w:val="nil"/>
            </w:tcBorders>
            <w:noWrap w:val="0"/>
            <w:vAlign w:val="top"/>
          </w:tcPr>
          <w:p w14:paraId="4BBB0A54">
            <w:pPr>
              <w:keepNext w:val="0"/>
              <w:keepLines w:val="0"/>
              <w:pageBreakBefore w:val="0"/>
              <w:widowControl/>
              <w:kinsoku/>
              <w:wordWrap/>
              <w:overflowPunct/>
              <w:topLinePunct w:val="0"/>
              <w:autoSpaceDE/>
              <w:autoSpaceDN/>
              <w:bidi w:val="0"/>
              <w:adjustRightInd/>
              <w:snapToGrid w:val="0"/>
              <w:spacing w:before="0" w:beforeLines="50" w:beforeAutospacing="0" w:afterAutospacing="0" w:line="360" w:lineRule="auto"/>
              <w:jc w:val="center"/>
              <w:textAlignment w:val="auto"/>
              <w:rPr>
                <w:rFonts w:hint="eastAsia"/>
                <w:color w:val="auto"/>
                <w:sz w:val="21"/>
                <w:szCs w:val="21"/>
                <w:highlight w:val="none"/>
                <w:vertAlign w:val="baseline"/>
              </w:rPr>
            </w:pPr>
            <w:r>
              <w:rPr>
                <w:rFonts w:hint="eastAsia"/>
                <w:color w:val="auto"/>
                <w:highlight w:val="none"/>
              </w:rPr>
              <w:t>中国工商银行股份有限公司陕西省分行</w:t>
            </w:r>
          </w:p>
        </w:tc>
      </w:tr>
      <w:tr w14:paraId="33FCB5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2351" w:type="dxa"/>
            <w:tcBorders>
              <w:tl2br w:val="nil"/>
              <w:tr2bl w:val="nil"/>
            </w:tcBorders>
            <w:noWrap w:val="0"/>
            <w:vAlign w:val="top"/>
          </w:tcPr>
          <w:p w14:paraId="314775A5">
            <w:pPr>
              <w:pStyle w:val="34"/>
              <w:keepNext w:val="0"/>
              <w:keepLines w:val="0"/>
              <w:pageBreakBefore w:val="0"/>
              <w:widowControl/>
              <w:kinsoku/>
              <w:wordWrap/>
              <w:overflowPunct/>
              <w:topLinePunct w:val="0"/>
              <w:autoSpaceDE/>
              <w:autoSpaceDN/>
              <w:bidi w:val="0"/>
              <w:adjustRightInd/>
              <w:snapToGrid w:val="0"/>
              <w:spacing w:before="0" w:beforeLines="50" w:beforeAutospacing="0" w:after="0" w:afterLines="0" w:afterAutospacing="0" w:line="360" w:lineRule="auto"/>
              <w:jc w:val="center"/>
              <w:textAlignment w:val="auto"/>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10</w:t>
            </w:r>
          </w:p>
        </w:tc>
        <w:tc>
          <w:tcPr>
            <w:tcW w:w="6488" w:type="dxa"/>
            <w:tcBorders>
              <w:tl2br w:val="nil"/>
              <w:tr2bl w:val="nil"/>
            </w:tcBorders>
            <w:noWrap w:val="0"/>
            <w:vAlign w:val="top"/>
          </w:tcPr>
          <w:p w14:paraId="264ABF7A">
            <w:pPr>
              <w:keepNext w:val="0"/>
              <w:keepLines w:val="0"/>
              <w:pageBreakBefore w:val="0"/>
              <w:widowControl/>
              <w:kinsoku/>
              <w:wordWrap/>
              <w:overflowPunct/>
              <w:topLinePunct w:val="0"/>
              <w:autoSpaceDE/>
              <w:autoSpaceDN/>
              <w:bidi w:val="0"/>
              <w:adjustRightInd/>
              <w:snapToGrid w:val="0"/>
              <w:spacing w:before="0" w:beforeLines="50" w:beforeAutospacing="0" w:afterAutospacing="0" w:line="360" w:lineRule="auto"/>
              <w:jc w:val="center"/>
              <w:textAlignment w:val="auto"/>
              <w:rPr>
                <w:rFonts w:hint="eastAsia"/>
                <w:color w:val="auto"/>
                <w:sz w:val="21"/>
                <w:szCs w:val="21"/>
                <w:highlight w:val="none"/>
                <w:vertAlign w:val="baseline"/>
              </w:rPr>
            </w:pPr>
            <w:r>
              <w:rPr>
                <w:rFonts w:hint="eastAsia"/>
                <w:color w:val="auto"/>
                <w:sz w:val="21"/>
                <w:szCs w:val="21"/>
                <w:highlight w:val="none"/>
                <w:vertAlign w:val="baseline"/>
              </w:rPr>
              <w:t>长安银行股份有限公司</w:t>
            </w:r>
          </w:p>
        </w:tc>
      </w:tr>
      <w:tr w14:paraId="3100D5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trPr>
        <w:tc>
          <w:tcPr>
            <w:tcW w:w="2351" w:type="dxa"/>
            <w:tcBorders>
              <w:tl2br w:val="nil"/>
              <w:tr2bl w:val="nil"/>
            </w:tcBorders>
            <w:noWrap w:val="0"/>
            <w:vAlign w:val="top"/>
          </w:tcPr>
          <w:p w14:paraId="22CE5034">
            <w:pPr>
              <w:pStyle w:val="34"/>
              <w:keepNext w:val="0"/>
              <w:keepLines w:val="0"/>
              <w:pageBreakBefore w:val="0"/>
              <w:widowControl/>
              <w:kinsoku/>
              <w:wordWrap/>
              <w:overflowPunct/>
              <w:topLinePunct w:val="0"/>
              <w:autoSpaceDE/>
              <w:autoSpaceDN/>
              <w:bidi w:val="0"/>
              <w:adjustRightInd/>
              <w:snapToGrid w:val="0"/>
              <w:spacing w:before="0" w:beforeLines="50" w:beforeAutospacing="0" w:after="0" w:afterLines="0" w:afterAutospacing="0" w:line="360" w:lineRule="auto"/>
              <w:jc w:val="center"/>
              <w:textAlignment w:val="auto"/>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11</w:t>
            </w:r>
          </w:p>
        </w:tc>
        <w:tc>
          <w:tcPr>
            <w:tcW w:w="6488" w:type="dxa"/>
            <w:tcBorders>
              <w:tl2br w:val="nil"/>
              <w:tr2bl w:val="nil"/>
            </w:tcBorders>
            <w:noWrap w:val="0"/>
            <w:vAlign w:val="top"/>
          </w:tcPr>
          <w:p w14:paraId="023AB1E1">
            <w:pPr>
              <w:pStyle w:val="34"/>
              <w:keepNext w:val="0"/>
              <w:keepLines w:val="0"/>
              <w:pageBreakBefore w:val="0"/>
              <w:widowControl/>
              <w:kinsoku/>
              <w:wordWrap/>
              <w:overflowPunct/>
              <w:topLinePunct w:val="0"/>
              <w:autoSpaceDE/>
              <w:autoSpaceDN/>
              <w:bidi w:val="0"/>
              <w:adjustRightInd/>
              <w:snapToGrid w:val="0"/>
              <w:spacing w:before="0" w:beforeLines="50" w:beforeAutospacing="0" w:after="0" w:afterLines="0" w:afterAutospacing="0" w:line="360" w:lineRule="auto"/>
              <w:jc w:val="center"/>
              <w:textAlignment w:val="auto"/>
              <w:rPr>
                <w:rFonts w:hint="default" w:eastAsia="宋体"/>
                <w:color w:val="auto"/>
                <w:sz w:val="21"/>
                <w:szCs w:val="21"/>
                <w:highlight w:val="none"/>
                <w:vertAlign w:val="baseline"/>
                <w:lang w:val="en-US" w:eastAsia="zh-CN"/>
              </w:rPr>
            </w:pPr>
            <w:r>
              <w:rPr>
                <w:rFonts w:hint="eastAsia"/>
                <w:color w:val="auto"/>
                <w:sz w:val="21"/>
                <w:szCs w:val="21"/>
                <w:highlight w:val="none"/>
                <w:vertAlign w:val="baseline"/>
                <w:lang w:val="en-US" w:eastAsia="zh-CN"/>
              </w:rPr>
              <w:t>浙商网商银行股份有限公司</w:t>
            </w:r>
          </w:p>
        </w:tc>
      </w:tr>
    </w:tbl>
    <w:p w14:paraId="1E701981">
      <w:pPr>
        <w:keepNext w:val="0"/>
        <w:keepLines w:val="0"/>
        <w:pageBreakBefore w:val="0"/>
        <w:kinsoku/>
        <w:wordWrap/>
        <w:overflowPunct/>
        <w:topLinePunct w:val="0"/>
        <w:autoSpaceDE/>
        <w:autoSpaceDN/>
        <w:bidi w:val="0"/>
        <w:adjustRightInd/>
        <w:snapToGrid w:val="0"/>
        <w:spacing w:line="360" w:lineRule="auto"/>
        <w:ind w:firstLine="420" w:firstLineChars="200"/>
        <w:textAlignment w:val="auto"/>
        <w:rPr>
          <w:rFonts w:hint="eastAsia"/>
          <w:color w:val="auto"/>
          <w:szCs w:val="21"/>
          <w:highlight w:val="none"/>
          <w:lang w:eastAsia="zh-CN"/>
        </w:rPr>
      </w:pPr>
      <w:r>
        <w:rPr>
          <w:rFonts w:hint="eastAsia"/>
          <w:color w:val="auto"/>
          <w:szCs w:val="21"/>
          <w:highlight w:val="none"/>
          <w:lang w:eastAsia="zh-CN"/>
        </w:rPr>
        <w:t>合作银行如下（包括但不限于）：具体合作银行</w:t>
      </w:r>
      <w:r>
        <w:rPr>
          <w:rFonts w:hint="eastAsia"/>
          <w:color w:val="auto"/>
          <w:szCs w:val="21"/>
          <w:highlight w:val="none"/>
          <w:lang w:val="en-US" w:eastAsia="zh-CN"/>
        </w:rPr>
        <w:t>投标人</w:t>
      </w:r>
      <w:r>
        <w:rPr>
          <w:rFonts w:hint="eastAsia"/>
          <w:color w:val="auto"/>
          <w:szCs w:val="21"/>
          <w:highlight w:val="none"/>
          <w:lang w:eastAsia="zh-CN"/>
        </w:rPr>
        <w:t>可在陕西省政府采购网上进行查询。</w:t>
      </w:r>
    </w:p>
    <w:p w14:paraId="24B8C060">
      <w:pPr>
        <w:rPr>
          <w:rFonts w:hint="default" w:ascii="宋体" w:hAnsi="宋体" w:eastAsia="宋体" w:cs="宋体"/>
          <w:b/>
          <w:color w:val="auto"/>
          <w:kern w:val="2"/>
          <w:sz w:val="21"/>
          <w:szCs w:val="21"/>
          <w:highlight w:val="none"/>
          <w:lang w:val="en-US" w:eastAsia="zh-CN" w:bidi="ar-SA"/>
        </w:rPr>
      </w:pPr>
    </w:p>
    <w:p w14:paraId="24E3C744">
      <w:pPr>
        <w:rPr>
          <w:rFonts w:hint="default" w:ascii="宋体" w:hAnsi="宋体" w:eastAsia="宋体" w:cs="宋体"/>
          <w:b/>
          <w:color w:val="auto"/>
          <w:kern w:val="2"/>
          <w:sz w:val="21"/>
          <w:szCs w:val="21"/>
          <w:highlight w:val="none"/>
          <w:lang w:val="en-US" w:eastAsia="zh-CN" w:bidi="ar-SA"/>
        </w:rPr>
      </w:pPr>
    </w:p>
    <w:p w14:paraId="176B49F5">
      <w:pPr>
        <w:rPr>
          <w:rFonts w:hint="default" w:ascii="宋体" w:hAnsi="宋体" w:eastAsia="宋体" w:cs="宋体"/>
          <w:b/>
          <w:color w:val="auto"/>
          <w:kern w:val="2"/>
          <w:sz w:val="21"/>
          <w:szCs w:val="21"/>
          <w:highlight w:val="none"/>
          <w:lang w:val="en-US" w:eastAsia="zh-CN" w:bidi="ar-SA"/>
        </w:rPr>
      </w:pPr>
    </w:p>
    <w:p w14:paraId="607E02DC">
      <w:pPr>
        <w:rPr>
          <w:rFonts w:hint="eastAsia" w:ascii="宋体" w:hAnsi="宋体" w:eastAsia="宋体" w:cs="宋体"/>
          <w:b/>
          <w:color w:val="auto"/>
          <w:sz w:val="21"/>
          <w:szCs w:val="21"/>
          <w:highlight w:val="none"/>
          <w:lang w:eastAsia="zh-CN"/>
        </w:rPr>
      </w:pPr>
    </w:p>
    <w:p w14:paraId="2332973D">
      <w:pPr>
        <w:rPr>
          <w:rFonts w:hint="eastAsia" w:ascii="宋体" w:hAnsi="宋体" w:eastAsia="宋体" w:cs="宋体"/>
          <w:b/>
          <w:color w:val="auto"/>
          <w:sz w:val="21"/>
          <w:szCs w:val="21"/>
          <w:highlight w:val="none"/>
          <w:lang w:eastAsia="zh-CN"/>
        </w:rPr>
      </w:pPr>
    </w:p>
    <w:p w14:paraId="14B08D1C">
      <w:pPr>
        <w:rPr>
          <w:rFonts w:hint="default"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eastAsia="zh-CN"/>
        </w:rPr>
        <w:t>附件</w:t>
      </w:r>
      <w:r>
        <w:rPr>
          <w:rFonts w:hint="eastAsia" w:ascii="宋体" w:hAnsi="宋体" w:cs="宋体"/>
          <w:b/>
          <w:color w:val="auto"/>
          <w:sz w:val="21"/>
          <w:szCs w:val="21"/>
          <w:highlight w:val="none"/>
          <w:lang w:eastAsia="zh-CN"/>
        </w:rPr>
        <w:t>：</w:t>
      </w:r>
      <w:r>
        <w:rPr>
          <w:rFonts w:hint="eastAsia" w:ascii="宋体" w:hAnsi="宋体" w:cs="宋体"/>
          <w:b/>
          <w:color w:val="auto"/>
          <w:sz w:val="21"/>
          <w:szCs w:val="21"/>
          <w:highlight w:val="none"/>
          <w:lang w:val="en-US" w:eastAsia="zh-CN"/>
        </w:rPr>
        <w:t>3</w:t>
      </w:r>
    </w:p>
    <w:p w14:paraId="72B7DC13">
      <w:pPr>
        <w:spacing w:line="480" w:lineRule="auto"/>
        <w:jc w:val="center"/>
        <w:rPr>
          <w:rFonts w:asciiTheme="minorEastAsia" w:hAnsiTheme="minorEastAsia" w:eastAsiaTheme="minorEastAsia"/>
          <w:b/>
          <w:sz w:val="24"/>
        </w:rPr>
      </w:pPr>
      <w:r>
        <w:rPr>
          <w:rFonts w:hint="eastAsia" w:asciiTheme="minorEastAsia" w:hAnsiTheme="minorEastAsia" w:eastAsiaTheme="minorEastAsia"/>
          <w:b/>
          <w:sz w:val="24"/>
        </w:rPr>
        <w:t>中小企业声明函（货物）</w:t>
      </w:r>
    </w:p>
    <w:p w14:paraId="767AD747">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本公司（联合体）郑重声明，根据《政府采购促进中小企业发展管理办法》（财库〔2020〕46号）的规定，本公司（联合体）参加</w:t>
      </w:r>
      <w:r>
        <w:rPr>
          <w:rFonts w:hint="eastAsia" w:ascii="宋体" w:hAnsi="宋体" w:eastAsia="宋体" w:cs="宋体"/>
          <w:i/>
          <w:iCs/>
          <w:sz w:val="24"/>
          <w:szCs w:val="24"/>
          <w:u w:val="single"/>
        </w:rPr>
        <w:t>（单位名称）</w:t>
      </w:r>
      <w:r>
        <w:rPr>
          <w:rFonts w:hint="eastAsia" w:ascii="宋体" w:hAnsi="宋体" w:eastAsia="宋体" w:cs="宋体"/>
          <w:sz w:val="24"/>
          <w:szCs w:val="24"/>
        </w:rPr>
        <w:t>的</w:t>
      </w:r>
      <w:r>
        <w:rPr>
          <w:rFonts w:hint="eastAsia" w:ascii="宋体" w:hAnsi="宋体" w:eastAsia="宋体" w:cs="宋体"/>
          <w:i/>
          <w:iCs/>
          <w:sz w:val="24"/>
          <w:szCs w:val="24"/>
          <w:u w:val="single"/>
        </w:rPr>
        <w:t>（项目名称）</w:t>
      </w:r>
      <w:r>
        <w:rPr>
          <w:rFonts w:hint="eastAsia" w:ascii="宋体" w:hAnsi="宋体" w:eastAsia="宋体" w:cs="宋体"/>
          <w:sz w:val="24"/>
          <w:szCs w:val="24"/>
        </w:rPr>
        <w:t>采购活动，提供的货物全部由符合政府采购政策要求的中小企业制造。相关企业（含联合体中的中小企业、签订分包意向协议的中小企业）的具体情况如下：</w:t>
      </w:r>
    </w:p>
    <w:p w14:paraId="2E705E70">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i/>
          <w:iCs/>
          <w:sz w:val="24"/>
          <w:szCs w:val="24"/>
          <w:u w:val="single"/>
        </w:rPr>
        <w:t>（标的名称）</w:t>
      </w:r>
      <w:r>
        <w:rPr>
          <w:rFonts w:hint="eastAsia" w:ascii="宋体" w:hAnsi="宋体" w:eastAsia="宋体" w:cs="宋体"/>
          <w:sz w:val="24"/>
          <w:szCs w:val="24"/>
        </w:rPr>
        <w:t>，属于</w:t>
      </w:r>
      <w:r>
        <w:rPr>
          <w:rFonts w:hint="eastAsia" w:ascii="宋体" w:hAnsi="宋体" w:eastAsia="宋体" w:cs="宋体"/>
          <w:b/>
          <w:i/>
          <w:iCs/>
          <w:sz w:val="24"/>
          <w:szCs w:val="24"/>
          <w:u w:val="single"/>
        </w:rPr>
        <w:t>（采购文件中明确的所属行业）</w:t>
      </w:r>
      <w:r>
        <w:rPr>
          <w:rFonts w:hint="eastAsia" w:ascii="宋体" w:hAnsi="宋体" w:eastAsia="宋体" w:cs="宋体"/>
          <w:sz w:val="24"/>
          <w:szCs w:val="24"/>
        </w:rPr>
        <w:t>；制造商为</w:t>
      </w:r>
      <w:r>
        <w:rPr>
          <w:rFonts w:hint="eastAsia" w:ascii="宋体" w:hAnsi="宋体" w:eastAsia="宋体" w:cs="宋体"/>
          <w:i/>
          <w:iCs/>
          <w:sz w:val="24"/>
          <w:szCs w:val="24"/>
          <w:u w:val="single"/>
        </w:rPr>
        <w:t>（企业名称）</w:t>
      </w:r>
      <w:r>
        <w:rPr>
          <w:rFonts w:hint="eastAsia" w:ascii="宋体" w:hAnsi="宋体" w:eastAsia="宋体" w:cs="宋体"/>
          <w:sz w:val="24"/>
          <w:szCs w:val="24"/>
        </w:rPr>
        <w:t>，从业人员</w:t>
      </w:r>
      <w:r>
        <w:rPr>
          <w:rFonts w:hint="eastAsia" w:ascii="宋体" w:hAnsi="宋体" w:eastAsia="宋体" w:cs="宋体"/>
          <w:sz w:val="24"/>
          <w:szCs w:val="24"/>
          <w:u w:val="single"/>
        </w:rPr>
        <w:t xml:space="preserve">    </w:t>
      </w:r>
      <w:r>
        <w:rPr>
          <w:rFonts w:hint="eastAsia" w:ascii="宋体" w:hAnsi="宋体" w:eastAsia="宋体" w:cs="宋体"/>
          <w:sz w:val="24"/>
          <w:szCs w:val="24"/>
        </w:rPr>
        <w:t>人，营业收入为</w:t>
      </w:r>
      <w:r>
        <w:rPr>
          <w:rFonts w:hint="eastAsia" w:ascii="宋体" w:hAnsi="宋体" w:eastAsia="宋体" w:cs="宋体"/>
          <w:sz w:val="24"/>
          <w:szCs w:val="24"/>
          <w:u w:val="single"/>
        </w:rPr>
        <w:t xml:space="preserve">    </w:t>
      </w:r>
      <w:r>
        <w:rPr>
          <w:rFonts w:hint="eastAsia" w:ascii="宋体" w:hAnsi="宋体" w:eastAsia="宋体" w:cs="宋体"/>
          <w:sz w:val="24"/>
          <w:szCs w:val="24"/>
        </w:rPr>
        <w:t>万元，资产总额为</w:t>
      </w:r>
      <w:r>
        <w:rPr>
          <w:rFonts w:hint="eastAsia" w:ascii="宋体" w:hAnsi="宋体" w:eastAsia="宋体" w:cs="宋体"/>
          <w:sz w:val="24"/>
          <w:szCs w:val="24"/>
          <w:u w:val="single"/>
        </w:rPr>
        <w:t xml:space="preserve">    </w:t>
      </w:r>
      <w:r>
        <w:rPr>
          <w:rFonts w:hint="eastAsia" w:ascii="宋体" w:hAnsi="宋体" w:eastAsia="宋体" w:cs="宋体"/>
          <w:sz w:val="24"/>
          <w:szCs w:val="24"/>
        </w:rPr>
        <w:t>万元</w:t>
      </w:r>
      <w:r>
        <w:rPr>
          <w:rFonts w:hint="eastAsia" w:ascii="宋体" w:hAnsi="宋体" w:eastAsia="宋体" w:cs="宋体"/>
          <w:sz w:val="24"/>
          <w:szCs w:val="24"/>
          <w:vertAlign w:val="superscript"/>
        </w:rPr>
        <w:t>1</w:t>
      </w:r>
      <w:r>
        <w:rPr>
          <w:rFonts w:hint="eastAsia" w:ascii="宋体" w:hAnsi="宋体" w:eastAsia="宋体" w:cs="宋体"/>
          <w:sz w:val="24"/>
          <w:szCs w:val="24"/>
        </w:rPr>
        <w:t>，属于</w:t>
      </w:r>
      <w:r>
        <w:rPr>
          <w:rFonts w:hint="eastAsia" w:ascii="宋体" w:hAnsi="宋体" w:eastAsia="宋体" w:cs="宋体"/>
          <w:i/>
          <w:iCs/>
          <w:sz w:val="24"/>
          <w:szCs w:val="24"/>
          <w:u w:val="single"/>
        </w:rPr>
        <w:t>（中型企业、小型企业、微型企业）</w:t>
      </w:r>
      <w:r>
        <w:rPr>
          <w:rFonts w:hint="eastAsia" w:ascii="宋体" w:hAnsi="宋体" w:eastAsia="宋体" w:cs="宋体"/>
          <w:sz w:val="24"/>
          <w:szCs w:val="24"/>
        </w:rPr>
        <w:t>；</w:t>
      </w:r>
    </w:p>
    <w:p w14:paraId="7226B249">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i/>
          <w:iCs/>
          <w:sz w:val="24"/>
          <w:szCs w:val="24"/>
          <w:u w:val="single"/>
        </w:rPr>
        <w:t>（标的名称）</w:t>
      </w:r>
      <w:r>
        <w:rPr>
          <w:rFonts w:hint="eastAsia" w:ascii="宋体" w:hAnsi="宋体" w:eastAsia="宋体" w:cs="宋体"/>
          <w:sz w:val="24"/>
          <w:szCs w:val="24"/>
        </w:rPr>
        <w:t>，属于</w:t>
      </w:r>
      <w:r>
        <w:rPr>
          <w:rFonts w:hint="eastAsia" w:ascii="宋体" w:hAnsi="宋体" w:eastAsia="宋体" w:cs="宋体"/>
          <w:b/>
          <w:i/>
          <w:iCs/>
          <w:sz w:val="24"/>
          <w:szCs w:val="24"/>
          <w:u w:val="single"/>
        </w:rPr>
        <w:t>（采购文件中明确的所属行业）</w:t>
      </w:r>
      <w:r>
        <w:rPr>
          <w:rFonts w:hint="eastAsia" w:ascii="宋体" w:hAnsi="宋体" w:eastAsia="宋体" w:cs="宋体"/>
          <w:sz w:val="24"/>
          <w:szCs w:val="24"/>
        </w:rPr>
        <w:t>；制造商为</w:t>
      </w:r>
      <w:r>
        <w:rPr>
          <w:rFonts w:hint="eastAsia" w:ascii="宋体" w:hAnsi="宋体" w:eastAsia="宋体" w:cs="宋体"/>
          <w:i/>
          <w:iCs/>
          <w:sz w:val="24"/>
          <w:szCs w:val="24"/>
          <w:u w:val="single"/>
        </w:rPr>
        <w:t>（企业名称）</w:t>
      </w:r>
      <w:r>
        <w:rPr>
          <w:rFonts w:hint="eastAsia" w:ascii="宋体" w:hAnsi="宋体" w:eastAsia="宋体" w:cs="宋体"/>
          <w:sz w:val="24"/>
          <w:szCs w:val="24"/>
        </w:rPr>
        <w:t>，从业人员</w:t>
      </w:r>
      <w:r>
        <w:rPr>
          <w:rFonts w:hint="eastAsia" w:ascii="宋体" w:hAnsi="宋体" w:eastAsia="宋体" w:cs="宋体"/>
          <w:sz w:val="24"/>
          <w:szCs w:val="24"/>
          <w:u w:val="single"/>
        </w:rPr>
        <w:t xml:space="preserve">    </w:t>
      </w:r>
      <w:r>
        <w:rPr>
          <w:rFonts w:hint="eastAsia" w:ascii="宋体" w:hAnsi="宋体" w:eastAsia="宋体" w:cs="宋体"/>
          <w:sz w:val="24"/>
          <w:szCs w:val="24"/>
        </w:rPr>
        <w:t>人，营业收入为</w:t>
      </w:r>
      <w:r>
        <w:rPr>
          <w:rFonts w:hint="eastAsia" w:ascii="宋体" w:hAnsi="宋体" w:eastAsia="宋体" w:cs="宋体"/>
          <w:sz w:val="24"/>
          <w:szCs w:val="24"/>
          <w:u w:val="single"/>
        </w:rPr>
        <w:t xml:space="preserve">    </w:t>
      </w:r>
      <w:r>
        <w:rPr>
          <w:rFonts w:hint="eastAsia" w:ascii="宋体" w:hAnsi="宋体" w:eastAsia="宋体" w:cs="宋体"/>
          <w:sz w:val="24"/>
          <w:szCs w:val="24"/>
        </w:rPr>
        <w:t>万元，资产总额为</w:t>
      </w:r>
      <w:r>
        <w:rPr>
          <w:rFonts w:hint="eastAsia" w:ascii="宋体" w:hAnsi="宋体" w:eastAsia="宋体" w:cs="宋体"/>
          <w:sz w:val="24"/>
          <w:szCs w:val="24"/>
          <w:u w:val="single"/>
        </w:rPr>
        <w:t xml:space="preserve">    </w:t>
      </w:r>
      <w:r>
        <w:rPr>
          <w:rFonts w:hint="eastAsia" w:ascii="宋体" w:hAnsi="宋体" w:eastAsia="宋体" w:cs="宋体"/>
          <w:sz w:val="24"/>
          <w:szCs w:val="24"/>
        </w:rPr>
        <w:t>万元，属于</w:t>
      </w:r>
      <w:r>
        <w:rPr>
          <w:rFonts w:hint="eastAsia" w:ascii="宋体" w:hAnsi="宋体" w:eastAsia="宋体" w:cs="宋体"/>
          <w:i/>
          <w:iCs/>
          <w:sz w:val="24"/>
          <w:szCs w:val="24"/>
          <w:u w:val="single"/>
        </w:rPr>
        <w:t>（中型企业、小型企业、微型企业）</w:t>
      </w:r>
      <w:r>
        <w:rPr>
          <w:rFonts w:hint="eastAsia" w:ascii="宋体" w:hAnsi="宋体" w:eastAsia="宋体" w:cs="宋体"/>
          <w:sz w:val="24"/>
          <w:szCs w:val="24"/>
        </w:rPr>
        <w:t>；</w:t>
      </w:r>
    </w:p>
    <w:p w14:paraId="7665FCC4">
      <w:pPr>
        <w:spacing w:line="460" w:lineRule="exact"/>
        <w:rPr>
          <w:rFonts w:hint="eastAsia" w:ascii="宋体" w:hAnsi="宋体" w:eastAsia="宋体" w:cs="宋体"/>
          <w:sz w:val="24"/>
          <w:szCs w:val="24"/>
        </w:rPr>
      </w:pPr>
      <w:r>
        <w:rPr>
          <w:rFonts w:hint="eastAsia" w:ascii="宋体" w:hAnsi="宋体" w:eastAsia="宋体" w:cs="宋体"/>
          <w:sz w:val="24"/>
          <w:szCs w:val="24"/>
        </w:rPr>
        <w:t>……</w:t>
      </w:r>
    </w:p>
    <w:p w14:paraId="65A558B3">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以上企业，不属于大企业的分支机构，不存在控股股东为大企业的情形，也不存在与大企业的负责人为同一人的情形。</w:t>
      </w:r>
    </w:p>
    <w:p w14:paraId="603F75D5">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本企业对上述声明内容的真实性负责。如有虚假，将依法承担相应责任。</w:t>
      </w:r>
    </w:p>
    <w:p w14:paraId="69FE6730">
      <w:pPr>
        <w:spacing w:line="480" w:lineRule="auto"/>
        <w:ind w:firstLine="5760" w:firstLineChars="2400"/>
        <w:rPr>
          <w:rFonts w:hint="eastAsia" w:ascii="宋体" w:hAnsi="宋体" w:eastAsia="宋体" w:cs="宋体"/>
          <w:sz w:val="24"/>
          <w:szCs w:val="24"/>
        </w:rPr>
      </w:pPr>
      <w:r>
        <w:rPr>
          <w:rFonts w:hint="eastAsia" w:ascii="宋体" w:hAnsi="宋体" w:eastAsia="宋体" w:cs="宋体"/>
          <w:sz w:val="24"/>
          <w:szCs w:val="24"/>
        </w:rPr>
        <w:t>企业名称（盖章）：</w:t>
      </w:r>
    </w:p>
    <w:p w14:paraId="4CCF89B3">
      <w:pPr>
        <w:spacing w:line="480" w:lineRule="auto"/>
        <w:ind w:firstLine="5760" w:firstLineChars="2400"/>
        <w:rPr>
          <w:rFonts w:hint="eastAsia" w:ascii="宋体" w:hAnsi="宋体" w:eastAsia="宋体" w:cs="宋体"/>
          <w:sz w:val="24"/>
          <w:szCs w:val="24"/>
        </w:rPr>
      </w:pPr>
      <w:r>
        <w:rPr>
          <w:rFonts w:hint="eastAsia" w:ascii="宋体" w:hAnsi="宋体" w:eastAsia="宋体" w:cs="宋体"/>
          <w:sz w:val="24"/>
          <w:szCs w:val="24"/>
        </w:rPr>
        <w:t>日    期：</w:t>
      </w:r>
    </w:p>
    <w:p w14:paraId="426563E2">
      <w:pPr>
        <w:pStyle w:val="186"/>
        <w:shd w:val="clear" w:color="auto" w:fill="auto"/>
        <w:spacing w:line="360" w:lineRule="auto"/>
        <w:rPr>
          <w:rFonts w:hint="eastAsia" w:ascii="宋体" w:hAnsi="宋体" w:eastAsia="宋体" w:cs="宋体"/>
          <w:color w:val="auto"/>
          <w:spacing w:val="-8"/>
          <w:sz w:val="24"/>
          <w:szCs w:val="24"/>
          <w:highlight w:val="none"/>
        </w:rPr>
      </w:pPr>
      <w:r>
        <w:rPr>
          <w:rFonts w:hint="eastAsia" w:ascii="宋体" w:hAnsi="宋体" w:eastAsia="宋体" w:cs="宋体"/>
          <w:color w:val="auto"/>
          <w:sz w:val="24"/>
          <w:szCs w:val="24"/>
          <w:highlight w:val="none"/>
        </w:rPr>
        <w:t>备注：1.</w:t>
      </w:r>
      <w:r>
        <w:rPr>
          <w:rFonts w:hint="eastAsia" w:ascii="宋体" w:hAnsi="宋体" w:eastAsia="宋体" w:cs="宋体"/>
          <w:color w:val="auto"/>
          <w:spacing w:val="-8"/>
          <w:sz w:val="24"/>
          <w:szCs w:val="24"/>
          <w:highlight w:val="none"/>
        </w:rPr>
        <w:t>中小企业参加政府采购活动，应当按照《政府采购促进中小企业发展管理办法》（财库〔2020〕46号）规定和《中小企业划型标准规定》（工信部联企业〔2011〕300号），如实填写并提交本《中小企业声明函》。</w:t>
      </w:r>
    </w:p>
    <w:p w14:paraId="5ED55996">
      <w:pPr>
        <w:numPr>
          <w:ilvl w:val="0"/>
          <w:numId w:val="0"/>
        </w:numPr>
        <w:spacing w:line="360" w:lineRule="auto"/>
        <w:ind w:firstLine="448" w:firstLineChars="200"/>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lang w:val="en-US" w:eastAsia="zh-CN"/>
        </w:rPr>
        <w:t>2.</w:t>
      </w:r>
      <w:r>
        <w:rPr>
          <w:rFonts w:hint="eastAsia" w:ascii="宋体" w:hAnsi="宋体" w:eastAsia="宋体" w:cs="宋体"/>
          <w:color w:val="auto"/>
          <w:spacing w:val="-8"/>
          <w:sz w:val="24"/>
          <w:szCs w:val="24"/>
          <w:highlight w:val="none"/>
        </w:rPr>
        <w:t>从业人员、营业收入、资产总额填报上一年度数据，无上一年度数据的新成立企业可不填报。</w:t>
      </w:r>
    </w:p>
    <w:p w14:paraId="08A90FF7">
      <w:pPr>
        <w:pStyle w:val="16"/>
        <w:numPr>
          <w:ilvl w:val="0"/>
          <w:numId w:val="0"/>
        </w:numPr>
        <w:ind w:firstLine="448" w:firstLineChars="200"/>
        <w:jc w:val="both"/>
        <w:rPr>
          <w:rFonts w:hint="eastAsia" w:ascii="宋体" w:hAnsi="宋体" w:eastAsia="宋体" w:cs="宋体"/>
          <w:color w:val="auto"/>
          <w:spacing w:val="-8"/>
          <w:kern w:val="2"/>
          <w:sz w:val="24"/>
          <w:szCs w:val="24"/>
          <w:highlight w:val="none"/>
          <w:lang w:val="en-US" w:eastAsia="zh-CN" w:bidi="ar-SA"/>
        </w:rPr>
      </w:pPr>
      <w:r>
        <w:rPr>
          <w:rFonts w:hint="eastAsia" w:ascii="宋体" w:hAnsi="宋体" w:eastAsia="宋体" w:cs="宋体"/>
          <w:color w:val="auto"/>
          <w:spacing w:val="-8"/>
          <w:kern w:val="2"/>
          <w:sz w:val="24"/>
          <w:szCs w:val="24"/>
          <w:highlight w:val="none"/>
          <w:lang w:val="en-US" w:eastAsia="zh-CN" w:bidi="ar-SA"/>
        </w:rPr>
        <w:t>3.本项目标的所属行业为工业。</w:t>
      </w:r>
    </w:p>
    <w:p w14:paraId="779E396A"/>
    <w:p w14:paraId="233AB534">
      <w:pPr>
        <w:pStyle w:val="5"/>
        <w:numPr>
          <w:ilvl w:val="0"/>
          <w:numId w:val="0"/>
        </w:numPr>
        <w:ind w:leftChars="0"/>
        <w:jc w:val="both"/>
      </w:pPr>
    </w:p>
    <w:p w14:paraId="3F6CABA0"/>
    <w:p w14:paraId="74E78813">
      <w:pPr>
        <w:pStyle w:val="5"/>
        <w:numPr>
          <w:ilvl w:val="0"/>
          <w:numId w:val="0"/>
        </w:numPr>
        <w:ind w:leftChars="0"/>
        <w:jc w:val="both"/>
      </w:pPr>
    </w:p>
    <w:p w14:paraId="5F14F252"/>
    <w:p w14:paraId="4BA5487F">
      <w:pPr>
        <w:rPr>
          <w:rFonts w:hint="eastAsia" w:ascii="宋体" w:hAnsi="宋体" w:eastAsia="宋体" w:cs="宋体"/>
          <w:b/>
          <w:color w:val="auto"/>
          <w:sz w:val="21"/>
          <w:szCs w:val="21"/>
          <w:highlight w:val="none"/>
          <w:lang w:eastAsia="zh-CN"/>
        </w:rPr>
      </w:pPr>
    </w:p>
    <w:p w14:paraId="7D705DF0">
      <w:pPr>
        <w:rPr>
          <w:rFonts w:hint="default"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eastAsia="zh-CN"/>
        </w:rPr>
        <w:t>附件</w:t>
      </w:r>
      <w:r>
        <w:rPr>
          <w:rFonts w:hint="eastAsia" w:ascii="宋体" w:hAnsi="宋体" w:cs="宋体"/>
          <w:b/>
          <w:color w:val="auto"/>
          <w:sz w:val="21"/>
          <w:szCs w:val="21"/>
          <w:highlight w:val="none"/>
          <w:lang w:eastAsia="zh-CN"/>
        </w:rPr>
        <w:t>：</w:t>
      </w:r>
      <w:r>
        <w:rPr>
          <w:rFonts w:hint="eastAsia" w:ascii="宋体" w:hAnsi="宋体" w:cs="宋体"/>
          <w:b/>
          <w:color w:val="auto"/>
          <w:sz w:val="21"/>
          <w:szCs w:val="21"/>
          <w:highlight w:val="none"/>
          <w:lang w:val="en-US" w:eastAsia="zh-CN"/>
        </w:rPr>
        <w:t>4</w:t>
      </w:r>
    </w:p>
    <w:p w14:paraId="40A4C630">
      <w:pPr>
        <w:spacing w:line="588" w:lineRule="exact"/>
        <w:jc w:val="center"/>
        <w:rPr>
          <w:rFonts w:cs="新宋体" w:asciiTheme="minorEastAsia" w:hAnsiTheme="minorEastAsia" w:eastAsiaTheme="minorEastAsia"/>
          <w:b/>
          <w:spacing w:val="6"/>
          <w:sz w:val="24"/>
        </w:rPr>
      </w:pPr>
      <w:r>
        <w:rPr>
          <w:rFonts w:hint="eastAsia" w:cs="新宋体" w:asciiTheme="minorEastAsia" w:hAnsiTheme="minorEastAsia" w:eastAsiaTheme="minorEastAsia"/>
          <w:b/>
          <w:spacing w:val="6"/>
          <w:sz w:val="24"/>
        </w:rPr>
        <w:t>残疾人福利性单位声明函</w:t>
      </w:r>
    </w:p>
    <w:p w14:paraId="26877B8D">
      <w:pPr>
        <w:spacing w:line="460" w:lineRule="exact"/>
        <w:ind w:firstLine="444" w:firstLineChars="200"/>
        <w:rPr>
          <w:rFonts w:cs="新宋体" w:asciiTheme="minorEastAsia" w:hAnsiTheme="minorEastAsia" w:eastAsiaTheme="minorEastAsia"/>
          <w:spacing w:val="6"/>
          <w:szCs w:val="21"/>
        </w:rPr>
      </w:pPr>
      <w:r>
        <w:rPr>
          <w:rFonts w:hint="eastAsia" w:cs="新宋体" w:asciiTheme="minorEastAsia" w:hAnsiTheme="minorEastAsia" w:eastAsiaTheme="minorEastAsia"/>
          <w:spacing w:val="6"/>
          <w:szCs w:val="21"/>
        </w:rPr>
        <w:t>本单位郑重声明，根据《财政部 民政部 中国残疾人联合会关于促进残疾人就业政府采购政策的通知》（财库</w:t>
      </w:r>
      <w:r>
        <w:rPr>
          <w:rFonts w:hint="eastAsia" w:cs="新宋体" w:asciiTheme="minorEastAsia" w:hAnsiTheme="minorEastAsia" w:eastAsiaTheme="minorEastAsia"/>
          <w:szCs w:val="21"/>
        </w:rPr>
        <w:t>〔2017〕141</w:t>
      </w:r>
      <w:r>
        <w:rPr>
          <w:rFonts w:hint="eastAsia" w:cs="新宋体" w:asciiTheme="minorEastAsia" w:hAnsiTheme="minorEastAsia" w:eastAsiaTheme="minorEastAsia"/>
          <w:spacing w:val="6"/>
          <w:szCs w:val="21"/>
        </w:rPr>
        <w:t>号）的规定，本单位为符合条件的残疾人福利性单位，且本单位参加</w:t>
      </w:r>
      <w:r>
        <w:rPr>
          <w:rFonts w:hint="eastAsia" w:cs="新宋体" w:asciiTheme="minorEastAsia" w:hAnsiTheme="minorEastAsia" w:eastAsiaTheme="minorEastAsia"/>
          <w:spacing w:val="6"/>
          <w:szCs w:val="21"/>
          <w:u w:val="single"/>
        </w:rPr>
        <w:t xml:space="preserve">      </w:t>
      </w:r>
      <w:r>
        <w:rPr>
          <w:rFonts w:hint="eastAsia" w:cs="新宋体" w:asciiTheme="minorEastAsia" w:hAnsiTheme="minorEastAsia" w:eastAsiaTheme="minorEastAsia"/>
          <w:spacing w:val="6"/>
          <w:szCs w:val="21"/>
        </w:rPr>
        <w:t>单位的</w:t>
      </w:r>
      <w:r>
        <w:rPr>
          <w:rFonts w:hint="eastAsia" w:cs="新宋体" w:asciiTheme="minorEastAsia" w:hAnsiTheme="minorEastAsia" w:eastAsiaTheme="minorEastAsia"/>
          <w:spacing w:val="6"/>
          <w:szCs w:val="21"/>
          <w:u w:val="single"/>
        </w:rPr>
        <w:t xml:space="preserve">      </w:t>
      </w:r>
      <w:r>
        <w:rPr>
          <w:rFonts w:hint="eastAsia" w:cs="新宋体" w:asciiTheme="minorEastAsia" w:hAnsiTheme="minorEastAsia" w:eastAsiaTheme="minorEastAsia"/>
          <w:spacing w:val="6"/>
          <w:szCs w:val="21"/>
        </w:rPr>
        <w:t>项目采购活动提供本单位制造的货物（由本单位承担工程/提供服务），或者提供其他残疾人福利性单位制造的货物（不包括使用非残疾人福利性单位注册商标的货物）。</w:t>
      </w:r>
    </w:p>
    <w:p w14:paraId="4C395549">
      <w:pPr>
        <w:spacing w:line="460" w:lineRule="exact"/>
        <w:ind w:firstLine="444" w:firstLineChars="200"/>
        <w:rPr>
          <w:rFonts w:cs="新宋体" w:asciiTheme="minorEastAsia" w:hAnsiTheme="minorEastAsia" w:eastAsiaTheme="minorEastAsia"/>
          <w:spacing w:val="6"/>
          <w:szCs w:val="21"/>
        </w:rPr>
      </w:pPr>
      <w:r>
        <w:rPr>
          <w:rFonts w:hint="eastAsia" w:cs="新宋体" w:asciiTheme="minorEastAsia" w:hAnsiTheme="minorEastAsia" w:eastAsiaTheme="minorEastAsia"/>
          <w:spacing w:val="6"/>
          <w:szCs w:val="21"/>
        </w:rPr>
        <w:t>本单位对上述声明的真实性负责。如有虚假，将依法承担相应责任。</w:t>
      </w:r>
    </w:p>
    <w:p w14:paraId="5A447560">
      <w:pPr>
        <w:spacing w:line="480" w:lineRule="auto"/>
        <w:rPr>
          <w:rFonts w:cs="新宋体" w:asciiTheme="minorEastAsia" w:hAnsiTheme="minorEastAsia" w:eastAsiaTheme="minorEastAsia"/>
          <w:spacing w:val="6"/>
          <w:szCs w:val="21"/>
        </w:rPr>
      </w:pPr>
    </w:p>
    <w:p w14:paraId="05F5950F">
      <w:pPr>
        <w:spacing w:line="480" w:lineRule="auto"/>
        <w:rPr>
          <w:rFonts w:cs="新宋体" w:asciiTheme="minorEastAsia" w:hAnsiTheme="minorEastAsia" w:eastAsiaTheme="minorEastAsia"/>
          <w:spacing w:val="6"/>
          <w:szCs w:val="21"/>
        </w:rPr>
      </w:pPr>
    </w:p>
    <w:p w14:paraId="19E1945E">
      <w:pPr>
        <w:spacing w:line="480" w:lineRule="auto"/>
        <w:rPr>
          <w:rFonts w:cs="新宋体" w:asciiTheme="minorEastAsia" w:hAnsiTheme="minorEastAsia" w:eastAsiaTheme="minorEastAsia"/>
          <w:spacing w:val="6"/>
          <w:szCs w:val="21"/>
        </w:rPr>
      </w:pPr>
    </w:p>
    <w:p w14:paraId="2D9C3611">
      <w:pPr>
        <w:spacing w:line="480" w:lineRule="auto"/>
        <w:rPr>
          <w:rFonts w:asciiTheme="minorEastAsia" w:hAnsiTheme="minorEastAsia" w:eastAsiaTheme="minorEastAsia"/>
        </w:rPr>
      </w:pPr>
      <w:r>
        <w:rPr>
          <w:rFonts w:hint="eastAsia" w:asciiTheme="minorEastAsia" w:hAnsiTheme="minorEastAsia" w:eastAsiaTheme="minorEastAsia"/>
        </w:rPr>
        <w:t xml:space="preserve">          </w:t>
      </w:r>
      <w:r>
        <w:rPr>
          <w:rFonts w:asciiTheme="minorEastAsia" w:hAnsiTheme="minorEastAsia" w:eastAsiaTheme="minorEastAsia"/>
        </w:rPr>
        <w:t xml:space="preserve">     </w:t>
      </w:r>
      <w:r>
        <w:rPr>
          <w:rFonts w:hint="eastAsia" w:asciiTheme="minorEastAsia" w:hAnsiTheme="minorEastAsia" w:eastAsiaTheme="minorEastAsia"/>
        </w:rPr>
        <w:t xml:space="preserve">                   单位名称：</w:t>
      </w:r>
      <w:r>
        <w:rPr>
          <w:rFonts w:hint="eastAsia" w:asciiTheme="minorEastAsia" w:hAnsiTheme="minorEastAsia" w:eastAsiaTheme="minorEastAsia"/>
          <w:u w:val="single"/>
        </w:rPr>
        <w:t xml:space="preserve">               </w:t>
      </w:r>
      <w:r>
        <w:rPr>
          <w:rFonts w:hint="eastAsia" w:asciiTheme="minorEastAsia" w:hAnsiTheme="minorEastAsia" w:eastAsiaTheme="minorEastAsia"/>
        </w:rPr>
        <w:t>（</w:t>
      </w:r>
      <w:r>
        <w:rPr>
          <w:rFonts w:asciiTheme="minorEastAsia" w:hAnsiTheme="minorEastAsia" w:eastAsiaTheme="minorEastAsia"/>
        </w:rPr>
        <w:t>全称并加盖公章</w:t>
      </w:r>
      <w:r>
        <w:rPr>
          <w:rFonts w:hint="eastAsia" w:asciiTheme="minorEastAsia" w:hAnsiTheme="minorEastAsia" w:eastAsiaTheme="minorEastAsia"/>
        </w:rPr>
        <w:t>）</w:t>
      </w:r>
    </w:p>
    <w:p w14:paraId="08344FCB">
      <w:pPr>
        <w:spacing w:line="480" w:lineRule="auto"/>
        <w:rPr>
          <w:rFonts w:cs="新宋体" w:asciiTheme="minorEastAsia" w:hAnsiTheme="minorEastAsia" w:eastAsiaTheme="minorEastAsia"/>
          <w:spacing w:val="6"/>
          <w:szCs w:val="21"/>
          <w:u w:val="single"/>
        </w:rPr>
      </w:pPr>
      <w:r>
        <w:rPr>
          <w:rFonts w:hint="eastAsia" w:cs="新宋体" w:asciiTheme="minorEastAsia" w:hAnsiTheme="minorEastAsia" w:eastAsiaTheme="minorEastAsia"/>
          <w:spacing w:val="6"/>
          <w:szCs w:val="21"/>
        </w:rPr>
        <w:t xml:space="preserve">                          </w:t>
      </w:r>
      <w:r>
        <w:rPr>
          <w:rFonts w:cs="新宋体" w:asciiTheme="minorEastAsia" w:hAnsiTheme="minorEastAsia" w:eastAsiaTheme="minorEastAsia"/>
          <w:spacing w:val="6"/>
          <w:szCs w:val="21"/>
        </w:rPr>
        <w:t xml:space="preserve"> </w:t>
      </w:r>
      <w:r>
        <w:rPr>
          <w:rFonts w:hint="eastAsia" w:cs="新宋体" w:asciiTheme="minorEastAsia" w:hAnsiTheme="minorEastAsia" w:eastAsiaTheme="minorEastAsia"/>
          <w:spacing w:val="6"/>
          <w:szCs w:val="21"/>
        </w:rPr>
        <w:t xml:space="preserve">  </w:t>
      </w:r>
      <w:r>
        <w:rPr>
          <w:rFonts w:cs="新宋体" w:asciiTheme="minorEastAsia" w:hAnsiTheme="minorEastAsia" w:eastAsiaTheme="minorEastAsia"/>
          <w:spacing w:val="6"/>
          <w:szCs w:val="21"/>
        </w:rPr>
        <w:t xml:space="preserve"> </w:t>
      </w:r>
      <w:r>
        <w:rPr>
          <w:rFonts w:hint="eastAsia" w:cs="新宋体" w:asciiTheme="minorEastAsia" w:hAnsiTheme="minorEastAsia" w:eastAsiaTheme="minorEastAsia"/>
          <w:spacing w:val="6"/>
          <w:szCs w:val="21"/>
        </w:rPr>
        <w:t>日    期：</w:t>
      </w:r>
      <w:r>
        <w:rPr>
          <w:rFonts w:hint="eastAsia" w:cs="新宋体" w:asciiTheme="minorEastAsia" w:hAnsiTheme="minorEastAsia" w:eastAsiaTheme="minorEastAsia"/>
          <w:spacing w:val="6"/>
          <w:szCs w:val="21"/>
          <w:u w:val="single"/>
        </w:rPr>
        <w:t xml:space="preserve">              </w:t>
      </w:r>
    </w:p>
    <w:p w14:paraId="52F2EEF7">
      <w:pPr>
        <w:spacing w:line="360" w:lineRule="auto"/>
        <w:ind w:firstLine="3990" w:firstLineChars="1900"/>
        <w:rPr>
          <w:rFonts w:asciiTheme="minorEastAsia" w:hAnsiTheme="minorEastAsia" w:eastAsiaTheme="minorEastAsia"/>
        </w:rPr>
      </w:pPr>
    </w:p>
    <w:p w14:paraId="57304DC9">
      <w:pPr>
        <w:rPr>
          <w:rFonts w:asciiTheme="minorEastAsia" w:hAnsiTheme="minorEastAsia" w:eastAsiaTheme="minorEastAsia"/>
        </w:rPr>
      </w:pPr>
    </w:p>
    <w:p w14:paraId="78583F71">
      <w:pPr>
        <w:pStyle w:val="16"/>
        <w:rPr>
          <w:rFonts w:asciiTheme="minorEastAsia" w:hAnsiTheme="minorEastAsia" w:eastAsiaTheme="minorEastAsia"/>
        </w:rPr>
      </w:pPr>
    </w:p>
    <w:p w14:paraId="46260B94">
      <w:pPr>
        <w:jc w:val="center"/>
        <w:outlineLvl w:val="2"/>
        <w:rPr>
          <w:rFonts w:cs="仿宋_GB2312" w:asciiTheme="minorEastAsia" w:hAnsiTheme="minorEastAsia" w:eastAsiaTheme="minorEastAsia"/>
          <w:b/>
          <w:color w:val="FF0000"/>
          <w:szCs w:val="21"/>
        </w:rPr>
      </w:pPr>
    </w:p>
    <w:p w14:paraId="40FB0FE4">
      <w:pPr>
        <w:jc w:val="center"/>
        <w:outlineLvl w:val="2"/>
        <w:rPr>
          <w:rFonts w:cs="仿宋_GB2312" w:asciiTheme="minorEastAsia" w:hAnsiTheme="minorEastAsia" w:eastAsiaTheme="minorEastAsia"/>
          <w:b/>
          <w:color w:val="FF0000"/>
          <w:szCs w:val="21"/>
        </w:rPr>
      </w:pPr>
    </w:p>
    <w:p w14:paraId="74363305">
      <w:pPr>
        <w:jc w:val="center"/>
        <w:outlineLvl w:val="2"/>
        <w:rPr>
          <w:rFonts w:cs="仿宋_GB2312" w:asciiTheme="minorEastAsia" w:hAnsiTheme="minorEastAsia" w:eastAsiaTheme="minorEastAsia"/>
          <w:b/>
          <w:color w:val="FF0000"/>
          <w:szCs w:val="21"/>
        </w:rPr>
      </w:pPr>
    </w:p>
    <w:p w14:paraId="09D68A6F">
      <w:pPr>
        <w:jc w:val="center"/>
        <w:outlineLvl w:val="2"/>
        <w:rPr>
          <w:rFonts w:cs="仿宋_GB2312" w:asciiTheme="minorEastAsia" w:hAnsiTheme="minorEastAsia" w:eastAsiaTheme="minorEastAsia"/>
          <w:b/>
          <w:color w:val="FF0000"/>
          <w:szCs w:val="21"/>
        </w:rPr>
      </w:pPr>
    </w:p>
    <w:p w14:paraId="51C79714">
      <w:pPr>
        <w:jc w:val="center"/>
        <w:outlineLvl w:val="2"/>
        <w:rPr>
          <w:rFonts w:cs="仿宋_GB2312" w:asciiTheme="minorEastAsia" w:hAnsiTheme="minorEastAsia" w:eastAsiaTheme="minorEastAsia"/>
          <w:b/>
          <w:color w:val="FF0000"/>
          <w:szCs w:val="21"/>
        </w:rPr>
      </w:pPr>
    </w:p>
    <w:p w14:paraId="311B1F99">
      <w:pPr>
        <w:jc w:val="center"/>
        <w:outlineLvl w:val="2"/>
        <w:rPr>
          <w:rFonts w:cs="仿宋_GB2312" w:asciiTheme="minorEastAsia" w:hAnsiTheme="minorEastAsia" w:eastAsiaTheme="minorEastAsia"/>
          <w:b/>
          <w:color w:val="FF0000"/>
          <w:szCs w:val="21"/>
        </w:rPr>
      </w:pPr>
    </w:p>
    <w:p w14:paraId="07220E3B">
      <w:pPr>
        <w:jc w:val="center"/>
        <w:outlineLvl w:val="2"/>
        <w:rPr>
          <w:rFonts w:cs="仿宋_GB2312" w:asciiTheme="minorEastAsia" w:hAnsiTheme="minorEastAsia" w:eastAsiaTheme="minorEastAsia"/>
          <w:b/>
          <w:color w:val="FF0000"/>
          <w:szCs w:val="21"/>
        </w:rPr>
      </w:pPr>
    </w:p>
    <w:p w14:paraId="22F863BF">
      <w:pPr>
        <w:pStyle w:val="16"/>
        <w:rPr>
          <w:rFonts w:asciiTheme="minorEastAsia" w:hAnsiTheme="minorEastAsia" w:eastAsiaTheme="minorEastAsia"/>
        </w:rPr>
      </w:pPr>
    </w:p>
    <w:p w14:paraId="3021C0BE">
      <w:pPr>
        <w:rPr>
          <w:rFonts w:asciiTheme="minorEastAsia" w:hAnsiTheme="minorEastAsia" w:eastAsiaTheme="minorEastAsia"/>
        </w:rPr>
      </w:pPr>
    </w:p>
    <w:p w14:paraId="4D217185">
      <w:pPr>
        <w:pStyle w:val="16"/>
        <w:rPr>
          <w:rFonts w:asciiTheme="minorEastAsia" w:hAnsiTheme="minorEastAsia" w:eastAsiaTheme="minorEastAsia"/>
        </w:rPr>
      </w:pPr>
    </w:p>
    <w:p w14:paraId="45069BBA">
      <w:pPr>
        <w:rPr>
          <w:rFonts w:asciiTheme="minorEastAsia" w:hAnsiTheme="minorEastAsia" w:eastAsiaTheme="minorEastAsia"/>
        </w:rPr>
      </w:pPr>
    </w:p>
    <w:p w14:paraId="0D914FDB">
      <w:pPr>
        <w:pStyle w:val="16"/>
        <w:rPr>
          <w:rFonts w:asciiTheme="minorEastAsia" w:hAnsiTheme="minorEastAsia" w:eastAsiaTheme="minorEastAsia"/>
        </w:rPr>
      </w:pPr>
    </w:p>
    <w:p w14:paraId="7D3F53EC">
      <w:pPr>
        <w:rPr>
          <w:rFonts w:asciiTheme="minorEastAsia" w:hAnsiTheme="minorEastAsia" w:eastAsiaTheme="minorEastAsia"/>
        </w:rPr>
      </w:pPr>
    </w:p>
    <w:p w14:paraId="334F863B">
      <w:pPr>
        <w:pStyle w:val="16"/>
        <w:rPr>
          <w:rFonts w:asciiTheme="minorEastAsia" w:hAnsiTheme="minorEastAsia" w:eastAsiaTheme="minorEastAsia"/>
        </w:rPr>
      </w:pPr>
    </w:p>
    <w:p w14:paraId="656C338B">
      <w:pPr>
        <w:rPr>
          <w:rFonts w:asciiTheme="minorEastAsia" w:hAnsiTheme="minorEastAsia" w:eastAsiaTheme="minorEastAsia"/>
        </w:rPr>
      </w:pPr>
    </w:p>
    <w:p w14:paraId="19756ACD">
      <w:pPr>
        <w:pStyle w:val="16"/>
        <w:rPr>
          <w:rFonts w:asciiTheme="minorEastAsia" w:hAnsiTheme="minorEastAsia" w:eastAsiaTheme="minorEastAsia"/>
        </w:rPr>
      </w:pPr>
    </w:p>
    <w:p w14:paraId="41D99A42">
      <w:pPr>
        <w:rPr>
          <w:rFonts w:asciiTheme="minorEastAsia" w:hAnsiTheme="minorEastAsia" w:eastAsiaTheme="minorEastAsia"/>
        </w:rPr>
      </w:pPr>
    </w:p>
    <w:p w14:paraId="7629BFF5">
      <w:pPr>
        <w:pStyle w:val="16"/>
        <w:rPr>
          <w:rFonts w:asciiTheme="minorEastAsia" w:hAnsiTheme="minorEastAsia" w:eastAsiaTheme="minorEastAsia"/>
        </w:rPr>
      </w:pPr>
    </w:p>
    <w:p w14:paraId="15448759">
      <w:pPr>
        <w:jc w:val="both"/>
        <w:outlineLvl w:val="2"/>
        <w:rPr>
          <w:rFonts w:cs="仿宋_GB2312" w:asciiTheme="minorEastAsia" w:hAnsiTheme="minorEastAsia" w:eastAsiaTheme="minorEastAsia"/>
          <w:b/>
          <w:color w:val="FF0000"/>
          <w:szCs w:val="21"/>
        </w:rPr>
      </w:pPr>
    </w:p>
    <w:p w14:paraId="20676C12">
      <w:pPr>
        <w:rPr>
          <w:rFonts w:hint="eastAsia" w:ascii="宋体" w:hAnsi="宋体" w:eastAsia="宋体" w:cs="宋体"/>
          <w:b/>
          <w:color w:val="auto"/>
          <w:sz w:val="21"/>
          <w:szCs w:val="21"/>
          <w:highlight w:val="none"/>
          <w:lang w:eastAsia="zh-CN"/>
        </w:rPr>
      </w:pPr>
    </w:p>
    <w:p w14:paraId="2313B67B">
      <w:pPr>
        <w:rPr>
          <w:rFonts w:hint="eastAsia" w:ascii="宋体" w:hAnsi="宋体" w:eastAsia="宋体" w:cs="宋体"/>
          <w:b/>
          <w:color w:val="auto"/>
          <w:sz w:val="21"/>
          <w:szCs w:val="21"/>
          <w:highlight w:val="none"/>
          <w:lang w:eastAsia="zh-CN"/>
        </w:rPr>
      </w:pPr>
    </w:p>
    <w:p w14:paraId="76664A76">
      <w:pPr>
        <w:rPr>
          <w:rFonts w:hint="default"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eastAsia="zh-CN"/>
        </w:rPr>
        <w:t>附件</w:t>
      </w:r>
      <w:r>
        <w:rPr>
          <w:rFonts w:hint="eastAsia" w:ascii="宋体" w:hAnsi="宋体" w:cs="宋体"/>
          <w:b/>
          <w:color w:val="auto"/>
          <w:sz w:val="21"/>
          <w:szCs w:val="21"/>
          <w:highlight w:val="none"/>
          <w:lang w:eastAsia="zh-CN"/>
        </w:rPr>
        <w:t>：</w:t>
      </w:r>
      <w:r>
        <w:rPr>
          <w:rFonts w:hint="eastAsia" w:ascii="宋体" w:hAnsi="宋体" w:cs="宋体"/>
          <w:b/>
          <w:color w:val="auto"/>
          <w:sz w:val="21"/>
          <w:szCs w:val="21"/>
          <w:highlight w:val="none"/>
          <w:lang w:val="en-US" w:eastAsia="zh-CN"/>
        </w:rPr>
        <w:t>5</w:t>
      </w:r>
    </w:p>
    <w:p w14:paraId="576ADFD1">
      <w:pPr>
        <w:spacing w:line="360" w:lineRule="auto"/>
        <w:jc w:val="center"/>
        <w:outlineLvl w:val="2"/>
        <w:rPr>
          <w:rFonts w:cs="仿宋_GB2312" w:asciiTheme="minorEastAsia" w:hAnsiTheme="minorEastAsia" w:eastAsiaTheme="minorEastAsia"/>
          <w:b/>
          <w:sz w:val="24"/>
        </w:rPr>
      </w:pPr>
      <w:r>
        <w:rPr>
          <w:rFonts w:hint="eastAsia" w:cs="仿宋_GB2312" w:asciiTheme="minorEastAsia" w:hAnsiTheme="minorEastAsia" w:eastAsiaTheme="minorEastAsia"/>
          <w:b/>
          <w:sz w:val="24"/>
        </w:rPr>
        <w:t>监狱企业证明函</w:t>
      </w:r>
    </w:p>
    <w:p w14:paraId="005D4A73">
      <w:pPr>
        <w:snapToGrid w:val="0"/>
        <w:spacing w:beforeLines="50" w:line="360" w:lineRule="auto"/>
        <w:ind w:firstLine="420" w:firstLineChars="200"/>
        <w:rPr>
          <w:rFonts w:cs="仿宋_GB2312" w:asciiTheme="minorEastAsia" w:hAnsiTheme="minorEastAsia" w:eastAsiaTheme="minorEastAsia"/>
          <w:szCs w:val="21"/>
        </w:rPr>
      </w:pPr>
      <w:r>
        <w:rPr>
          <w:rFonts w:hint="eastAsia" w:cs="仿宋_GB2312" w:asciiTheme="minorEastAsia" w:hAnsiTheme="minorEastAsia" w:eastAsiaTheme="minorEastAsia"/>
          <w:szCs w:val="21"/>
        </w:rPr>
        <w:t>省级以上监狱管理局、戒毒管理局（含新疆生产建设兵团）出具的属于监狱企业的证明文件（格式不限）。</w:t>
      </w:r>
    </w:p>
    <w:p w14:paraId="1645D278">
      <w:pPr>
        <w:spacing w:line="360" w:lineRule="auto"/>
        <w:rPr>
          <w:rFonts w:cs="仿宋_GB2312" w:asciiTheme="minorEastAsia" w:hAnsiTheme="minorEastAsia" w:eastAsiaTheme="minorEastAsia"/>
          <w:color w:val="FF0000"/>
          <w:sz w:val="32"/>
          <w:szCs w:val="32"/>
        </w:rPr>
      </w:pPr>
    </w:p>
    <w:p w14:paraId="35971CB8">
      <w:pPr>
        <w:spacing w:line="360" w:lineRule="auto"/>
        <w:rPr>
          <w:rFonts w:cs="仿宋_GB2312" w:asciiTheme="minorEastAsia" w:hAnsiTheme="minorEastAsia" w:eastAsiaTheme="minorEastAsia"/>
          <w:color w:val="FF0000"/>
          <w:sz w:val="32"/>
          <w:szCs w:val="32"/>
        </w:rPr>
      </w:pPr>
    </w:p>
    <w:p w14:paraId="238BC764">
      <w:pPr>
        <w:spacing w:line="360" w:lineRule="auto"/>
        <w:rPr>
          <w:rFonts w:cs="仿宋_GB2312" w:asciiTheme="minorEastAsia" w:hAnsiTheme="minorEastAsia" w:eastAsiaTheme="minorEastAsia"/>
          <w:color w:val="FF0000"/>
          <w:sz w:val="32"/>
          <w:szCs w:val="32"/>
        </w:rPr>
      </w:pPr>
    </w:p>
    <w:p w14:paraId="31CFDB94">
      <w:pPr>
        <w:spacing w:line="360" w:lineRule="auto"/>
        <w:rPr>
          <w:rFonts w:cs="仿宋_GB2312" w:asciiTheme="minorEastAsia" w:hAnsiTheme="minorEastAsia" w:eastAsiaTheme="minorEastAsia"/>
          <w:color w:val="FF0000"/>
          <w:sz w:val="32"/>
          <w:szCs w:val="32"/>
        </w:rPr>
      </w:pPr>
    </w:p>
    <w:p w14:paraId="3B2CBDBA">
      <w:pPr>
        <w:spacing w:line="360" w:lineRule="auto"/>
        <w:rPr>
          <w:rFonts w:cs="仿宋_GB2312" w:asciiTheme="minorEastAsia" w:hAnsiTheme="minorEastAsia" w:eastAsiaTheme="minorEastAsia"/>
          <w:color w:val="FF0000"/>
          <w:sz w:val="32"/>
          <w:szCs w:val="32"/>
        </w:rPr>
      </w:pPr>
    </w:p>
    <w:p w14:paraId="4D88DE76">
      <w:pPr>
        <w:spacing w:beforeLines="100" w:afterLines="100" w:line="360" w:lineRule="auto"/>
        <w:jc w:val="center"/>
        <w:outlineLvl w:val="2"/>
        <w:rPr>
          <w:rFonts w:asciiTheme="minorEastAsia" w:hAnsiTheme="minorEastAsia" w:eastAsiaTheme="minorEastAsia"/>
          <w:b/>
          <w:sz w:val="24"/>
        </w:rPr>
      </w:pPr>
    </w:p>
    <w:p w14:paraId="4EC47239">
      <w:pPr>
        <w:spacing w:beforeLines="100" w:afterLines="100" w:line="360" w:lineRule="auto"/>
        <w:jc w:val="center"/>
        <w:outlineLvl w:val="2"/>
        <w:rPr>
          <w:rFonts w:asciiTheme="minorEastAsia" w:hAnsiTheme="minorEastAsia" w:eastAsiaTheme="minorEastAsia"/>
          <w:b/>
          <w:sz w:val="24"/>
        </w:rPr>
      </w:pPr>
    </w:p>
    <w:p w14:paraId="0F4CF252">
      <w:pPr>
        <w:spacing w:beforeLines="100" w:afterLines="100" w:line="360" w:lineRule="auto"/>
        <w:jc w:val="center"/>
        <w:outlineLvl w:val="2"/>
        <w:rPr>
          <w:rFonts w:asciiTheme="minorEastAsia" w:hAnsiTheme="minorEastAsia" w:eastAsiaTheme="minorEastAsia"/>
          <w:b/>
          <w:sz w:val="24"/>
        </w:rPr>
      </w:pPr>
    </w:p>
    <w:p w14:paraId="2A58FD78">
      <w:pPr>
        <w:pStyle w:val="16"/>
        <w:rPr>
          <w:rFonts w:asciiTheme="minorEastAsia" w:hAnsiTheme="minorEastAsia" w:eastAsiaTheme="minorEastAsia"/>
        </w:rPr>
      </w:pPr>
    </w:p>
    <w:p w14:paraId="1A68AE8C">
      <w:pPr>
        <w:rPr>
          <w:rFonts w:asciiTheme="minorEastAsia" w:hAnsiTheme="minorEastAsia" w:eastAsiaTheme="minorEastAsia"/>
        </w:rPr>
      </w:pPr>
    </w:p>
    <w:p w14:paraId="0656BD8B">
      <w:pPr>
        <w:pStyle w:val="16"/>
        <w:rPr>
          <w:rFonts w:asciiTheme="minorEastAsia" w:hAnsiTheme="minorEastAsia" w:eastAsiaTheme="minorEastAsia"/>
        </w:rPr>
      </w:pPr>
    </w:p>
    <w:p w14:paraId="22FE1100">
      <w:pPr>
        <w:rPr>
          <w:rFonts w:asciiTheme="minorEastAsia" w:hAnsiTheme="minorEastAsia" w:eastAsiaTheme="minorEastAsia"/>
        </w:rPr>
      </w:pPr>
    </w:p>
    <w:p w14:paraId="4418DE15">
      <w:pPr>
        <w:pStyle w:val="16"/>
        <w:rPr>
          <w:rFonts w:asciiTheme="minorEastAsia" w:hAnsiTheme="minorEastAsia" w:eastAsiaTheme="minorEastAsia"/>
        </w:rPr>
      </w:pPr>
    </w:p>
    <w:p w14:paraId="7D520874">
      <w:pPr>
        <w:rPr>
          <w:rFonts w:asciiTheme="minorEastAsia" w:hAnsiTheme="minorEastAsia" w:eastAsiaTheme="minorEastAsia"/>
        </w:rPr>
      </w:pPr>
    </w:p>
    <w:p w14:paraId="3C1BB2E1">
      <w:pPr>
        <w:pStyle w:val="16"/>
        <w:rPr>
          <w:rFonts w:asciiTheme="minorEastAsia" w:hAnsiTheme="minorEastAsia" w:eastAsiaTheme="minorEastAsia"/>
        </w:rPr>
      </w:pPr>
    </w:p>
    <w:p w14:paraId="621F6F34">
      <w:pPr>
        <w:rPr>
          <w:rFonts w:asciiTheme="minorEastAsia" w:hAnsiTheme="minorEastAsia" w:eastAsiaTheme="minorEastAsia"/>
        </w:rPr>
      </w:pPr>
    </w:p>
    <w:p w14:paraId="42BFACC0">
      <w:pPr>
        <w:pStyle w:val="16"/>
        <w:rPr>
          <w:rFonts w:asciiTheme="minorEastAsia" w:hAnsiTheme="minorEastAsia" w:eastAsiaTheme="minorEastAsia"/>
        </w:rPr>
      </w:pPr>
    </w:p>
    <w:p w14:paraId="544EC813">
      <w:pPr>
        <w:rPr>
          <w:rFonts w:asciiTheme="minorEastAsia" w:hAnsiTheme="minorEastAsia" w:eastAsiaTheme="minorEastAsia"/>
        </w:rPr>
      </w:pPr>
    </w:p>
    <w:p w14:paraId="61BDF9A4">
      <w:pPr>
        <w:pStyle w:val="16"/>
        <w:rPr>
          <w:rFonts w:asciiTheme="minorEastAsia" w:hAnsiTheme="minorEastAsia" w:eastAsiaTheme="minorEastAsia"/>
        </w:rPr>
      </w:pPr>
    </w:p>
    <w:p w14:paraId="15FF2C7D">
      <w:pPr>
        <w:rPr>
          <w:rFonts w:asciiTheme="minorEastAsia" w:hAnsiTheme="minorEastAsia" w:eastAsiaTheme="minorEastAsia"/>
        </w:rPr>
      </w:pPr>
    </w:p>
    <w:p w14:paraId="00E7F83C">
      <w:pPr>
        <w:pStyle w:val="16"/>
        <w:rPr>
          <w:rFonts w:asciiTheme="minorEastAsia" w:hAnsiTheme="minorEastAsia" w:eastAsiaTheme="minorEastAsia"/>
        </w:rPr>
      </w:pPr>
    </w:p>
    <w:p w14:paraId="3235E049">
      <w:pPr>
        <w:rPr>
          <w:rFonts w:asciiTheme="minorEastAsia" w:hAnsiTheme="minorEastAsia" w:eastAsiaTheme="minorEastAsia"/>
        </w:rPr>
      </w:pPr>
    </w:p>
    <w:p w14:paraId="26A8F2EC">
      <w:pPr>
        <w:pStyle w:val="16"/>
        <w:rPr>
          <w:rFonts w:asciiTheme="minorEastAsia" w:hAnsiTheme="minorEastAsia" w:eastAsiaTheme="minorEastAsia"/>
        </w:rPr>
      </w:pPr>
    </w:p>
    <w:p w14:paraId="56BEBABA">
      <w:pPr>
        <w:rPr>
          <w:rFonts w:asciiTheme="minorEastAsia" w:hAnsiTheme="minorEastAsia" w:eastAsiaTheme="minorEastAsia"/>
        </w:rPr>
      </w:pPr>
    </w:p>
    <w:p w14:paraId="4260676C">
      <w:pPr>
        <w:rPr>
          <w:rFonts w:asciiTheme="minorEastAsia" w:hAnsiTheme="minorEastAsia" w:eastAsiaTheme="minorEastAsia"/>
        </w:rPr>
      </w:pPr>
    </w:p>
    <w:p w14:paraId="5B85AE10">
      <w:pPr>
        <w:pStyle w:val="16"/>
        <w:rPr>
          <w:rFonts w:asciiTheme="minorEastAsia" w:hAnsiTheme="minorEastAsia" w:eastAsiaTheme="minorEastAsia"/>
        </w:rPr>
      </w:pPr>
    </w:p>
    <w:p w14:paraId="06A236A7"/>
    <w:p w14:paraId="13FC76BB">
      <w:pPr>
        <w:rPr>
          <w:rFonts w:hint="eastAsia" w:ascii="宋体" w:hAnsi="宋体" w:eastAsia="宋体" w:cs="宋体"/>
          <w:b/>
          <w:color w:val="auto"/>
          <w:sz w:val="21"/>
          <w:szCs w:val="21"/>
          <w:highlight w:val="none"/>
          <w:lang w:eastAsia="zh-CN"/>
        </w:rPr>
      </w:pPr>
    </w:p>
    <w:p w14:paraId="6682EE62">
      <w:pPr>
        <w:rPr>
          <w:rFonts w:hint="default"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eastAsia="zh-CN"/>
        </w:rPr>
        <w:t>附件</w:t>
      </w:r>
      <w:r>
        <w:rPr>
          <w:rFonts w:hint="eastAsia" w:ascii="宋体" w:hAnsi="宋体" w:cs="宋体"/>
          <w:b/>
          <w:color w:val="auto"/>
          <w:sz w:val="21"/>
          <w:szCs w:val="21"/>
          <w:highlight w:val="none"/>
          <w:lang w:eastAsia="zh-CN"/>
        </w:rPr>
        <w:t>：</w:t>
      </w:r>
      <w:r>
        <w:rPr>
          <w:rFonts w:hint="eastAsia" w:ascii="宋体" w:hAnsi="宋体" w:cs="宋体"/>
          <w:b/>
          <w:color w:val="auto"/>
          <w:sz w:val="21"/>
          <w:szCs w:val="21"/>
          <w:highlight w:val="none"/>
          <w:lang w:val="en-US" w:eastAsia="zh-CN"/>
        </w:rPr>
        <w:t>6</w:t>
      </w:r>
    </w:p>
    <w:p w14:paraId="5C486897">
      <w:pPr>
        <w:spacing w:line="360" w:lineRule="auto"/>
        <w:jc w:val="center"/>
        <w:rPr>
          <w:rFonts w:asciiTheme="minorEastAsia" w:hAnsiTheme="minorEastAsia" w:eastAsiaTheme="minorEastAsia"/>
          <w:b/>
          <w:sz w:val="24"/>
        </w:rPr>
      </w:pPr>
      <w:r>
        <w:rPr>
          <w:rFonts w:hint="eastAsia" w:asciiTheme="minorEastAsia" w:hAnsiTheme="minorEastAsia" w:eastAsiaTheme="minorEastAsia"/>
          <w:b/>
          <w:sz w:val="24"/>
        </w:rPr>
        <w:t>“节能产品”、“环境标志产品”证明材料</w:t>
      </w:r>
    </w:p>
    <w:p w14:paraId="03B0BA71">
      <w:pPr>
        <w:spacing w:line="360" w:lineRule="auto"/>
        <w:rPr>
          <w:rFonts w:asciiTheme="minorEastAsia" w:hAnsiTheme="minorEastAsia" w:eastAsiaTheme="minorEastAsia"/>
          <w:szCs w:val="21"/>
          <w:u w:val="single"/>
        </w:rPr>
      </w:pPr>
      <w:r>
        <w:rPr>
          <w:rFonts w:hint="eastAsia" w:asciiTheme="minorEastAsia" w:hAnsiTheme="minorEastAsia" w:eastAsiaTheme="minorEastAsia"/>
          <w:szCs w:val="21"/>
        </w:rPr>
        <w:t>项目名称：</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             </w:t>
      </w:r>
    </w:p>
    <w:p w14:paraId="584AEC8C">
      <w:pPr>
        <w:spacing w:line="360" w:lineRule="auto"/>
        <w:jc w:val="left"/>
        <w:rPr>
          <w:rFonts w:asciiTheme="minorEastAsia" w:hAnsiTheme="minorEastAsia" w:eastAsiaTheme="minorEastAsia"/>
          <w:szCs w:val="21"/>
        </w:rPr>
      </w:pPr>
      <w:r>
        <w:rPr>
          <w:rFonts w:hint="eastAsia" w:asciiTheme="minorEastAsia" w:hAnsiTheme="minorEastAsia" w:eastAsiaTheme="minorEastAsia"/>
          <w:szCs w:val="21"/>
        </w:rPr>
        <w:t>项目编号：</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     </w:t>
      </w:r>
    </w:p>
    <w:tbl>
      <w:tblPr>
        <w:tblStyle w:val="40"/>
        <w:tblW w:w="8928" w:type="dxa"/>
        <w:jc w:val="center"/>
        <w:tblLayout w:type="fixed"/>
        <w:tblCellMar>
          <w:top w:w="0" w:type="dxa"/>
          <w:left w:w="28" w:type="dxa"/>
          <w:bottom w:w="0" w:type="dxa"/>
          <w:right w:w="28" w:type="dxa"/>
        </w:tblCellMar>
      </w:tblPr>
      <w:tblGrid>
        <w:gridCol w:w="887"/>
        <w:gridCol w:w="1861"/>
        <w:gridCol w:w="2249"/>
        <w:gridCol w:w="1310"/>
        <w:gridCol w:w="1306"/>
        <w:gridCol w:w="1315"/>
      </w:tblGrid>
      <w:tr w14:paraId="6504C766">
        <w:tblPrEx>
          <w:tblCellMar>
            <w:top w:w="0" w:type="dxa"/>
            <w:left w:w="28" w:type="dxa"/>
            <w:bottom w:w="0" w:type="dxa"/>
            <w:right w:w="28" w:type="dxa"/>
          </w:tblCellMar>
        </w:tblPrEx>
        <w:trPr>
          <w:trHeight w:val="717" w:hRule="atLeast"/>
          <w:jc w:val="center"/>
        </w:trPr>
        <w:tc>
          <w:tcPr>
            <w:tcW w:w="886" w:type="dxa"/>
            <w:tcBorders>
              <w:top w:val="single" w:color="auto" w:sz="6" w:space="0"/>
              <w:left w:val="single" w:color="auto" w:sz="4" w:space="0"/>
              <w:bottom w:val="single" w:color="auto" w:sz="6" w:space="0"/>
            </w:tcBorders>
            <w:vAlign w:val="center"/>
          </w:tcPr>
          <w:p w14:paraId="0E038DB6">
            <w:pPr>
              <w:jc w:val="center"/>
              <w:rPr>
                <w:rFonts w:asciiTheme="minorEastAsia" w:hAnsiTheme="minorEastAsia" w:eastAsiaTheme="minorEastAsia"/>
              </w:rPr>
            </w:pPr>
            <w:r>
              <w:rPr>
                <w:rFonts w:hint="eastAsia" w:asciiTheme="minorEastAsia" w:hAnsiTheme="minorEastAsia" w:eastAsiaTheme="minorEastAsia"/>
              </w:rPr>
              <w:t>序号</w:t>
            </w:r>
          </w:p>
        </w:tc>
        <w:tc>
          <w:tcPr>
            <w:tcW w:w="1862" w:type="dxa"/>
            <w:tcBorders>
              <w:top w:val="single" w:color="auto" w:sz="6" w:space="0"/>
              <w:left w:val="single" w:color="auto" w:sz="6" w:space="0"/>
              <w:bottom w:val="single" w:color="auto" w:sz="6" w:space="0"/>
              <w:right w:val="single" w:color="auto" w:sz="6" w:space="0"/>
            </w:tcBorders>
            <w:vAlign w:val="center"/>
          </w:tcPr>
          <w:p w14:paraId="2A20EFA2">
            <w:pPr>
              <w:jc w:val="center"/>
              <w:rPr>
                <w:rFonts w:asciiTheme="minorEastAsia" w:hAnsiTheme="minorEastAsia" w:eastAsiaTheme="minorEastAsia"/>
              </w:rPr>
            </w:pPr>
            <w:r>
              <w:rPr>
                <w:rFonts w:hint="eastAsia" w:asciiTheme="minorEastAsia" w:hAnsiTheme="minorEastAsia" w:eastAsiaTheme="minorEastAsia"/>
              </w:rPr>
              <w:t>名称</w:t>
            </w:r>
          </w:p>
        </w:tc>
        <w:tc>
          <w:tcPr>
            <w:tcW w:w="2250" w:type="dxa"/>
            <w:tcBorders>
              <w:top w:val="single" w:color="auto" w:sz="6" w:space="0"/>
              <w:left w:val="single" w:color="auto" w:sz="6" w:space="0"/>
              <w:bottom w:val="single" w:color="auto" w:sz="6" w:space="0"/>
              <w:right w:val="single" w:color="auto" w:sz="6" w:space="0"/>
            </w:tcBorders>
            <w:vAlign w:val="center"/>
          </w:tcPr>
          <w:p w14:paraId="0718B157">
            <w:pPr>
              <w:jc w:val="center"/>
              <w:rPr>
                <w:rFonts w:asciiTheme="minorEastAsia" w:hAnsiTheme="minorEastAsia" w:eastAsiaTheme="minorEastAsia"/>
              </w:rPr>
            </w:pPr>
            <w:r>
              <w:rPr>
                <w:rFonts w:hint="eastAsia" w:asciiTheme="minorEastAsia" w:hAnsiTheme="minorEastAsia" w:eastAsiaTheme="minorEastAsia"/>
              </w:rPr>
              <w:t>型号和规格</w:t>
            </w:r>
          </w:p>
        </w:tc>
        <w:tc>
          <w:tcPr>
            <w:tcW w:w="1311" w:type="dxa"/>
            <w:tcBorders>
              <w:top w:val="single" w:color="auto" w:sz="6" w:space="0"/>
              <w:left w:val="single" w:color="auto" w:sz="6" w:space="0"/>
              <w:bottom w:val="single" w:color="auto" w:sz="6" w:space="0"/>
              <w:right w:val="single" w:color="auto" w:sz="6" w:space="0"/>
            </w:tcBorders>
            <w:vAlign w:val="center"/>
          </w:tcPr>
          <w:p w14:paraId="21EC25BC">
            <w:pPr>
              <w:jc w:val="center"/>
              <w:rPr>
                <w:rFonts w:asciiTheme="minorEastAsia" w:hAnsiTheme="minorEastAsia" w:eastAsiaTheme="minorEastAsia"/>
              </w:rPr>
            </w:pPr>
            <w:r>
              <w:rPr>
                <w:rFonts w:hint="eastAsia" w:asciiTheme="minorEastAsia" w:hAnsiTheme="minorEastAsia" w:eastAsiaTheme="minorEastAsia"/>
              </w:rPr>
              <w:t>数量</w:t>
            </w:r>
          </w:p>
        </w:tc>
        <w:tc>
          <w:tcPr>
            <w:tcW w:w="1307" w:type="dxa"/>
            <w:tcBorders>
              <w:top w:val="single" w:color="auto" w:sz="6" w:space="0"/>
              <w:left w:val="single" w:color="auto" w:sz="6" w:space="0"/>
              <w:bottom w:val="single" w:color="auto" w:sz="6" w:space="0"/>
              <w:right w:val="single" w:color="auto" w:sz="6" w:space="0"/>
            </w:tcBorders>
            <w:vAlign w:val="center"/>
          </w:tcPr>
          <w:p w14:paraId="589DC077">
            <w:pPr>
              <w:jc w:val="center"/>
              <w:rPr>
                <w:rFonts w:asciiTheme="minorEastAsia" w:hAnsiTheme="minorEastAsia" w:eastAsiaTheme="minorEastAsia"/>
              </w:rPr>
            </w:pPr>
            <w:r>
              <w:rPr>
                <w:rFonts w:hint="eastAsia" w:asciiTheme="minorEastAsia" w:hAnsiTheme="minorEastAsia" w:eastAsiaTheme="minorEastAsia"/>
              </w:rPr>
              <w:t>单价</w:t>
            </w:r>
          </w:p>
          <w:p w14:paraId="573E2F5C">
            <w:pPr>
              <w:jc w:val="center"/>
              <w:rPr>
                <w:rFonts w:asciiTheme="minorEastAsia" w:hAnsiTheme="minorEastAsia" w:eastAsiaTheme="minorEastAsia"/>
              </w:rPr>
            </w:pPr>
            <w:r>
              <w:rPr>
                <w:rFonts w:hint="eastAsia" w:asciiTheme="minorEastAsia" w:hAnsiTheme="minorEastAsia" w:eastAsiaTheme="minorEastAsia"/>
              </w:rPr>
              <w:t>（元）</w:t>
            </w:r>
          </w:p>
        </w:tc>
        <w:tc>
          <w:tcPr>
            <w:tcW w:w="1312" w:type="dxa"/>
            <w:tcBorders>
              <w:top w:val="single" w:color="auto" w:sz="6" w:space="0"/>
              <w:left w:val="single" w:color="auto" w:sz="6" w:space="0"/>
              <w:bottom w:val="single" w:color="auto" w:sz="6" w:space="0"/>
              <w:right w:val="single" w:color="auto" w:sz="6" w:space="0"/>
            </w:tcBorders>
            <w:vAlign w:val="center"/>
          </w:tcPr>
          <w:p w14:paraId="4C722AF4">
            <w:pPr>
              <w:jc w:val="center"/>
              <w:rPr>
                <w:rFonts w:asciiTheme="minorEastAsia" w:hAnsiTheme="minorEastAsia" w:eastAsiaTheme="minorEastAsia"/>
              </w:rPr>
            </w:pPr>
            <w:r>
              <w:rPr>
                <w:rFonts w:hint="eastAsia" w:asciiTheme="minorEastAsia" w:hAnsiTheme="minorEastAsia" w:eastAsiaTheme="minorEastAsia"/>
              </w:rPr>
              <w:t>总价</w:t>
            </w:r>
          </w:p>
          <w:p w14:paraId="20C5ABD8">
            <w:pPr>
              <w:jc w:val="center"/>
              <w:rPr>
                <w:rFonts w:asciiTheme="minorEastAsia" w:hAnsiTheme="minorEastAsia" w:eastAsiaTheme="minorEastAsia"/>
              </w:rPr>
            </w:pPr>
            <w:r>
              <w:rPr>
                <w:rFonts w:hint="eastAsia" w:asciiTheme="minorEastAsia" w:hAnsiTheme="minorEastAsia" w:eastAsiaTheme="minorEastAsia"/>
              </w:rPr>
              <w:t>（元）</w:t>
            </w:r>
          </w:p>
        </w:tc>
      </w:tr>
      <w:tr w14:paraId="5D2B18E2">
        <w:tblPrEx>
          <w:tblCellMar>
            <w:top w:w="0" w:type="dxa"/>
            <w:left w:w="28" w:type="dxa"/>
            <w:bottom w:w="0" w:type="dxa"/>
            <w:right w:w="28" w:type="dxa"/>
          </w:tblCellMar>
        </w:tblPrEx>
        <w:trPr>
          <w:trHeight w:val="500" w:hRule="atLeast"/>
          <w:jc w:val="center"/>
        </w:trPr>
        <w:tc>
          <w:tcPr>
            <w:tcW w:w="886" w:type="dxa"/>
            <w:tcBorders>
              <w:top w:val="single" w:color="auto" w:sz="6" w:space="0"/>
              <w:left w:val="single" w:color="auto" w:sz="4" w:space="0"/>
              <w:bottom w:val="single" w:color="auto" w:sz="4" w:space="0"/>
            </w:tcBorders>
            <w:vAlign w:val="center"/>
          </w:tcPr>
          <w:p w14:paraId="4E4ACED8">
            <w:pPr>
              <w:jc w:val="center"/>
              <w:rPr>
                <w:rFonts w:asciiTheme="minorEastAsia" w:hAnsiTheme="minorEastAsia" w:eastAsiaTheme="minorEastAsia"/>
              </w:rPr>
            </w:pPr>
            <w:r>
              <w:rPr>
                <w:rFonts w:hint="eastAsia" w:asciiTheme="minorEastAsia" w:hAnsiTheme="minorEastAsia" w:eastAsiaTheme="minorEastAsia"/>
              </w:rPr>
              <w:t>1</w:t>
            </w:r>
          </w:p>
        </w:tc>
        <w:tc>
          <w:tcPr>
            <w:tcW w:w="1862" w:type="dxa"/>
            <w:tcBorders>
              <w:top w:val="single" w:color="auto" w:sz="6" w:space="0"/>
              <w:left w:val="single" w:color="auto" w:sz="6" w:space="0"/>
              <w:bottom w:val="single" w:color="auto" w:sz="4" w:space="0"/>
              <w:right w:val="single" w:color="auto" w:sz="6" w:space="0"/>
            </w:tcBorders>
            <w:vAlign w:val="center"/>
          </w:tcPr>
          <w:p w14:paraId="489A521B">
            <w:pPr>
              <w:jc w:val="center"/>
              <w:rPr>
                <w:rFonts w:asciiTheme="minorEastAsia" w:hAnsiTheme="minorEastAsia" w:eastAsiaTheme="minorEastAsia"/>
              </w:rPr>
            </w:pPr>
          </w:p>
        </w:tc>
        <w:tc>
          <w:tcPr>
            <w:tcW w:w="2250" w:type="dxa"/>
            <w:tcBorders>
              <w:top w:val="single" w:color="auto" w:sz="6" w:space="0"/>
              <w:left w:val="single" w:color="auto" w:sz="6" w:space="0"/>
              <w:bottom w:val="single" w:color="auto" w:sz="4" w:space="0"/>
              <w:right w:val="single" w:color="auto" w:sz="6" w:space="0"/>
            </w:tcBorders>
            <w:vAlign w:val="center"/>
          </w:tcPr>
          <w:p w14:paraId="10663A31">
            <w:pPr>
              <w:jc w:val="center"/>
              <w:rPr>
                <w:rFonts w:asciiTheme="minorEastAsia" w:hAnsiTheme="minorEastAsia" w:eastAsiaTheme="minorEastAsia"/>
              </w:rPr>
            </w:pPr>
          </w:p>
        </w:tc>
        <w:tc>
          <w:tcPr>
            <w:tcW w:w="1311" w:type="dxa"/>
            <w:tcBorders>
              <w:top w:val="single" w:color="auto" w:sz="6" w:space="0"/>
              <w:left w:val="single" w:color="auto" w:sz="6" w:space="0"/>
              <w:bottom w:val="single" w:color="auto" w:sz="4" w:space="0"/>
              <w:right w:val="single" w:color="auto" w:sz="6" w:space="0"/>
            </w:tcBorders>
            <w:vAlign w:val="center"/>
          </w:tcPr>
          <w:p w14:paraId="41131AC0">
            <w:pPr>
              <w:jc w:val="center"/>
              <w:rPr>
                <w:rFonts w:asciiTheme="minorEastAsia" w:hAnsiTheme="minorEastAsia" w:eastAsiaTheme="minorEastAsia"/>
              </w:rPr>
            </w:pPr>
          </w:p>
        </w:tc>
        <w:tc>
          <w:tcPr>
            <w:tcW w:w="1307" w:type="dxa"/>
            <w:tcBorders>
              <w:top w:val="single" w:color="auto" w:sz="6" w:space="0"/>
              <w:left w:val="single" w:color="auto" w:sz="6" w:space="0"/>
              <w:bottom w:val="single" w:color="auto" w:sz="4" w:space="0"/>
              <w:right w:val="single" w:color="auto" w:sz="6" w:space="0"/>
            </w:tcBorders>
            <w:vAlign w:val="center"/>
          </w:tcPr>
          <w:p w14:paraId="33B078BA">
            <w:pPr>
              <w:jc w:val="center"/>
              <w:rPr>
                <w:rFonts w:asciiTheme="minorEastAsia" w:hAnsiTheme="minorEastAsia" w:eastAsiaTheme="minorEastAsia"/>
              </w:rPr>
            </w:pPr>
          </w:p>
        </w:tc>
        <w:tc>
          <w:tcPr>
            <w:tcW w:w="1312" w:type="dxa"/>
            <w:tcBorders>
              <w:top w:val="single" w:color="auto" w:sz="6" w:space="0"/>
              <w:left w:val="single" w:color="auto" w:sz="6" w:space="0"/>
              <w:bottom w:val="single" w:color="auto" w:sz="4" w:space="0"/>
              <w:right w:val="single" w:color="auto" w:sz="6" w:space="0"/>
            </w:tcBorders>
            <w:vAlign w:val="center"/>
          </w:tcPr>
          <w:p w14:paraId="4C2B7A12">
            <w:pPr>
              <w:jc w:val="center"/>
              <w:rPr>
                <w:rFonts w:asciiTheme="minorEastAsia" w:hAnsiTheme="minorEastAsia" w:eastAsiaTheme="minorEastAsia"/>
              </w:rPr>
            </w:pPr>
          </w:p>
        </w:tc>
      </w:tr>
      <w:tr w14:paraId="32BAAAFD">
        <w:tblPrEx>
          <w:tblCellMar>
            <w:top w:w="0" w:type="dxa"/>
            <w:left w:w="28" w:type="dxa"/>
            <w:bottom w:w="0" w:type="dxa"/>
            <w:right w:w="28" w:type="dxa"/>
          </w:tblCellMar>
        </w:tblPrEx>
        <w:trPr>
          <w:trHeight w:val="555" w:hRule="atLeast"/>
          <w:jc w:val="center"/>
        </w:trPr>
        <w:tc>
          <w:tcPr>
            <w:tcW w:w="886" w:type="dxa"/>
            <w:tcBorders>
              <w:top w:val="single" w:color="auto" w:sz="4" w:space="0"/>
              <w:left w:val="single" w:color="auto" w:sz="4" w:space="0"/>
              <w:bottom w:val="single" w:color="auto" w:sz="6" w:space="0"/>
            </w:tcBorders>
            <w:vAlign w:val="center"/>
          </w:tcPr>
          <w:p w14:paraId="18B2BD35">
            <w:pPr>
              <w:jc w:val="center"/>
              <w:rPr>
                <w:rFonts w:asciiTheme="minorEastAsia" w:hAnsiTheme="minorEastAsia" w:eastAsiaTheme="minorEastAsia"/>
              </w:rPr>
            </w:pPr>
            <w:r>
              <w:rPr>
                <w:rFonts w:hint="eastAsia" w:asciiTheme="minorEastAsia" w:hAnsiTheme="minorEastAsia" w:eastAsiaTheme="minorEastAsia"/>
              </w:rPr>
              <w:t>2</w:t>
            </w:r>
          </w:p>
        </w:tc>
        <w:tc>
          <w:tcPr>
            <w:tcW w:w="1862" w:type="dxa"/>
            <w:tcBorders>
              <w:top w:val="single" w:color="auto" w:sz="4" w:space="0"/>
              <w:left w:val="single" w:color="auto" w:sz="6" w:space="0"/>
              <w:bottom w:val="single" w:color="auto" w:sz="6" w:space="0"/>
              <w:right w:val="single" w:color="auto" w:sz="6" w:space="0"/>
            </w:tcBorders>
            <w:vAlign w:val="center"/>
          </w:tcPr>
          <w:p w14:paraId="76E09885">
            <w:pPr>
              <w:jc w:val="center"/>
              <w:rPr>
                <w:rFonts w:asciiTheme="minorEastAsia" w:hAnsiTheme="minorEastAsia" w:eastAsiaTheme="minorEastAsia"/>
              </w:rPr>
            </w:pPr>
          </w:p>
        </w:tc>
        <w:tc>
          <w:tcPr>
            <w:tcW w:w="2250" w:type="dxa"/>
            <w:tcBorders>
              <w:top w:val="single" w:color="auto" w:sz="4" w:space="0"/>
              <w:left w:val="single" w:color="auto" w:sz="6" w:space="0"/>
              <w:bottom w:val="single" w:color="auto" w:sz="6" w:space="0"/>
              <w:right w:val="single" w:color="auto" w:sz="6" w:space="0"/>
            </w:tcBorders>
            <w:vAlign w:val="center"/>
          </w:tcPr>
          <w:p w14:paraId="62FCFF2A">
            <w:pPr>
              <w:jc w:val="center"/>
              <w:rPr>
                <w:rFonts w:asciiTheme="minorEastAsia" w:hAnsiTheme="minorEastAsia" w:eastAsiaTheme="minorEastAsia"/>
              </w:rPr>
            </w:pPr>
          </w:p>
        </w:tc>
        <w:tc>
          <w:tcPr>
            <w:tcW w:w="1311" w:type="dxa"/>
            <w:tcBorders>
              <w:top w:val="single" w:color="auto" w:sz="4" w:space="0"/>
              <w:left w:val="single" w:color="auto" w:sz="6" w:space="0"/>
              <w:bottom w:val="single" w:color="auto" w:sz="6" w:space="0"/>
              <w:right w:val="single" w:color="auto" w:sz="6" w:space="0"/>
            </w:tcBorders>
            <w:vAlign w:val="center"/>
          </w:tcPr>
          <w:p w14:paraId="26EE7899">
            <w:pPr>
              <w:jc w:val="center"/>
              <w:rPr>
                <w:rFonts w:asciiTheme="minorEastAsia" w:hAnsiTheme="minorEastAsia" w:eastAsiaTheme="minorEastAsia"/>
              </w:rPr>
            </w:pPr>
          </w:p>
        </w:tc>
        <w:tc>
          <w:tcPr>
            <w:tcW w:w="1307" w:type="dxa"/>
            <w:tcBorders>
              <w:top w:val="single" w:color="auto" w:sz="4" w:space="0"/>
              <w:left w:val="single" w:color="auto" w:sz="6" w:space="0"/>
              <w:bottom w:val="single" w:color="auto" w:sz="6" w:space="0"/>
              <w:right w:val="single" w:color="auto" w:sz="6" w:space="0"/>
            </w:tcBorders>
            <w:vAlign w:val="center"/>
          </w:tcPr>
          <w:p w14:paraId="7B62C3B2">
            <w:pPr>
              <w:jc w:val="center"/>
              <w:rPr>
                <w:rFonts w:asciiTheme="minorEastAsia" w:hAnsiTheme="minorEastAsia" w:eastAsiaTheme="minorEastAsia"/>
              </w:rPr>
            </w:pPr>
          </w:p>
        </w:tc>
        <w:tc>
          <w:tcPr>
            <w:tcW w:w="1312" w:type="dxa"/>
            <w:tcBorders>
              <w:top w:val="single" w:color="auto" w:sz="4" w:space="0"/>
              <w:left w:val="single" w:color="auto" w:sz="6" w:space="0"/>
              <w:bottom w:val="single" w:color="auto" w:sz="6" w:space="0"/>
              <w:right w:val="single" w:color="auto" w:sz="6" w:space="0"/>
            </w:tcBorders>
            <w:vAlign w:val="center"/>
          </w:tcPr>
          <w:p w14:paraId="2E57D4B4">
            <w:pPr>
              <w:jc w:val="center"/>
              <w:rPr>
                <w:rFonts w:asciiTheme="minorEastAsia" w:hAnsiTheme="minorEastAsia" w:eastAsiaTheme="minorEastAsia"/>
              </w:rPr>
            </w:pPr>
          </w:p>
        </w:tc>
      </w:tr>
      <w:tr w14:paraId="2E402333">
        <w:tblPrEx>
          <w:tblCellMar>
            <w:top w:w="0" w:type="dxa"/>
            <w:left w:w="28" w:type="dxa"/>
            <w:bottom w:w="0" w:type="dxa"/>
            <w:right w:w="28" w:type="dxa"/>
          </w:tblCellMar>
        </w:tblPrEx>
        <w:trPr>
          <w:trHeight w:val="558" w:hRule="atLeast"/>
          <w:jc w:val="center"/>
        </w:trPr>
        <w:tc>
          <w:tcPr>
            <w:tcW w:w="886" w:type="dxa"/>
            <w:tcBorders>
              <w:top w:val="single" w:color="auto" w:sz="4" w:space="0"/>
              <w:left w:val="single" w:color="auto" w:sz="4" w:space="0"/>
              <w:bottom w:val="single" w:color="auto" w:sz="6" w:space="0"/>
            </w:tcBorders>
            <w:vAlign w:val="center"/>
          </w:tcPr>
          <w:p w14:paraId="19906F77">
            <w:pPr>
              <w:jc w:val="center"/>
              <w:rPr>
                <w:rFonts w:asciiTheme="minorEastAsia" w:hAnsiTheme="minorEastAsia" w:eastAsiaTheme="minorEastAsia"/>
              </w:rPr>
            </w:pPr>
            <w:r>
              <w:rPr>
                <w:rFonts w:hint="eastAsia" w:asciiTheme="minorEastAsia" w:hAnsiTheme="minorEastAsia" w:eastAsiaTheme="minorEastAsia"/>
              </w:rPr>
              <w:t>3</w:t>
            </w:r>
          </w:p>
        </w:tc>
        <w:tc>
          <w:tcPr>
            <w:tcW w:w="1862" w:type="dxa"/>
            <w:tcBorders>
              <w:top w:val="single" w:color="auto" w:sz="4" w:space="0"/>
              <w:left w:val="single" w:color="auto" w:sz="6" w:space="0"/>
              <w:bottom w:val="single" w:color="auto" w:sz="6" w:space="0"/>
              <w:right w:val="single" w:color="auto" w:sz="6" w:space="0"/>
            </w:tcBorders>
            <w:vAlign w:val="center"/>
          </w:tcPr>
          <w:p w14:paraId="02EA0DDD">
            <w:pPr>
              <w:jc w:val="center"/>
              <w:rPr>
                <w:rFonts w:asciiTheme="minorEastAsia" w:hAnsiTheme="minorEastAsia" w:eastAsiaTheme="minorEastAsia"/>
              </w:rPr>
            </w:pPr>
          </w:p>
        </w:tc>
        <w:tc>
          <w:tcPr>
            <w:tcW w:w="2250" w:type="dxa"/>
            <w:tcBorders>
              <w:top w:val="single" w:color="auto" w:sz="4" w:space="0"/>
              <w:left w:val="single" w:color="auto" w:sz="6" w:space="0"/>
              <w:bottom w:val="single" w:color="auto" w:sz="6" w:space="0"/>
              <w:right w:val="single" w:color="auto" w:sz="6" w:space="0"/>
            </w:tcBorders>
            <w:vAlign w:val="center"/>
          </w:tcPr>
          <w:p w14:paraId="02B86DC5">
            <w:pPr>
              <w:jc w:val="center"/>
              <w:rPr>
                <w:rFonts w:asciiTheme="minorEastAsia" w:hAnsiTheme="minorEastAsia" w:eastAsiaTheme="minorEastAsia"/>
              </w:rPr>
            </w:pPr>
          </w:p>
        </w:tc>
        <w:tc>
          <w:tcPr>
            <w:tcW w:w="1311" w:type="dxa"/>
            <w:tcBorders>
              <w:top w:val="single" w:color="auto" w:sz="4" w:space="0"/>
              <w:left w:val="single" w:color="auto" w:sz="6" w:space="0"/>
              <w:bottom w:val="single" w:color="auto" w:sz="6" w:space="0"/>
              <w:right w:val="single" w:color="auto" w:sz="6" w:space="0"/>
            </w:tcBorders>
            <w:vAlign w:val="center"/>
          </w:tcPr>
          <w:p w14:paraId="38948232">
            <w:pPr>
              <w:jc w:val="center"/>
              <w:rPr>
                <w:rFonts w:asciiTheme="minorEastAsia" w:hAnsiTheme="minorEastAsia" w:eastAsiaTheme="minorEastAsia"/>
              </w:rPr>
            </w:pPr>
          </w:p>
        </w:tc>
        <w:tc>
          <w:tcPr>
            <w:tcW w:w="1307" w:type="dxa"/>
            <w:tcBorders>
              <w:top w:val="single" w:color="auto" w:sz="4" w:space="0"/>
              <w:left w:val="single" w:color="auto" w:sz="6" w:space="0"/>
              <w:bottom w:val="single" w:color="auto" w:sz="6" w:space="0"/>
              <w:right w:val="single" w:color="auto" w:sz="6" w:space="0"/>
            </w:tcBorders>
            <w:vAlign w:val="center"/>
          </w:tcPr>
          <w:p w14:paraId="65BF7A38">
            <w:pPr>
              <w:jc w:val="center"/>
              <w:rPr>
                <w:rFonts w:asciiTheme="minorEastAsia" w:hAnsiTheme="minorEastAsia" w:eastAsiaTheme="minorEastAsia"/>
              </w:rPr>
            </w:pPr>
          </w:p>
        </w:tc>
        <w:tc>
          <w:tcPr>
            <w:tcW w:w="1312" w:type="dxa"/>
            <w:tcBorders>
              <w:top w:val="single" w:color="auto" w:sz="4" w:space="0"/>
              <w:left w:val="single" w:color="auto" w:sz="6" w:space="0"/>
              <w:bottom w:val="single" w:color="auto" w:sz="6" w:space="0"/>
              <w:right w:val="single" w:color="auto" w:sz="6" w:space="0"/>
            </w:tcBorders>
            <w:vAlign w:val="center"/>
          </w:tcPr>
          <w:p w14:paraId="4EE651B9">
            <w:pPr>
              <w:jc w:val="center"/>
              <w:rPr>
                <w:rFonts w:asciiTheme="minorEastAsia" w:hAnsiTheme="minorEastAsia" w:eastAsiaTheme="minorEastAsia"/>
              </w:rPr>
            </w:pPr>
          </w:p>
        </w:tc>
      </w:tr>
      <w:tr w14:paraId="54E6E3B9">
        <w:tblPrEx>
          <w:tblCellMar>
            <w:top w:w="0" w:type="dxa"/>
            <w:left w:w="28" w:type="dxa"/>
            <w:bottom w:w="0" w:type="dxa"/>
            <w:right w:w="28" w:type="dxa"/>
          </w:tblCellMar>
        </w:tblPrEx>
        <w:trPr>
          <w:trHeight w:val="552" w:hRule="atLeast"/>
          <w:jc w:val="center"/>
        </w:trPr>
        <w:tc>
          <w:tcPr>
            <w:tcW w:w="886" w:type="dxa"/>
            <w:tcBorders>
              <w:top w:val="single" w:color="auto" w:sz="4" w:space="0"/>
              <w:left w:val="single" w:color="auto" w:sz="4" w:space="0"/>
              <w:bottom w:val="single" w:color="auto" w:sz="6" w:space="0"/>
            </w:tcBorders>
            <w:vAlign w:val="center"/>
          </w:tcPr>
          <w:p w14:paraId="3DE4FC21">
            <w:pPr>
              <w:jc w:val="center"/>
              <w:rPr>
                <w:rFonts w:asciiTheme="minorEastAsia" w:hAnsiTheme="minorEastAsia" w:eastAsiaTheme="minorEastAsia"/>
              </w:rPr>
            </w:pPr>
            <w:r>
              <w:rPr>
                <w:rFonts w:hint="eastAsia" w:asciiTheme="minorEastAsia" w:hAnsiTheme="minorEastAsia" w:eastAsiaTheme="minorEastAsia"/>
              </w:rPr>
              <w:t>……</w:t>
            </w:r>
          </w:p>
        </w:tc>
        <w:tc>
          <w:tcPr>
            <w:tcW w:w="1862" w:type="dxa"/>
            <w:tcBorders>
              <w:top w:val="single" w:color="auto" w:sz="4" w:space="0"/>
              <w:left w:val="single" w:color="auto" w:sz="6" w:space="0"/>
              <w:bottom w:val="single" w:color="auto" w:sz="6" w:space="0"/>
              <w:right w:val="single" w:color="auto" w:sz="6" w:space="0"/>
            </w:tcBorders>
            <w:vAlign w:val="center"/>
          </w:tcPr>
          <w:p w14:paraId="3D599873">
            <w:pPr>
              <w:jc w:val="center"/>
              <w:rPr>
                <w:rFonts w:asciiTheme="minorEastAsia" w:hAnsiTheme="minorEastAsia" w:eastAsiaTheme="minorEastAsia"/>
              </w:rPr>
            </w:pPr>
          </w:p>
        </w:tc>
        <w:tc>
          <w:tcPr>
            <w:tcW w:w="2250" w:type="dxa"/>
            <w:tcBorders>
              <w:top w:val="single" w:color="auto" w:sz="4" w:space="0"/>
              <w:left w:val="single" w:color="auto" w:sz="6" w:space="0"/>
              <w:bottom w:val="single" w:color="auto" w:sz="6" w:space="0"/>
              <w:right w:val="single" w:color="auto" w:sz="6" w:space="0"/>
            </w:tcBorders>
            <w:vAlign w:val="center"/>
          </w:tcPr>
          <w:p w14:paraId="497387E5">
            <w:pPr>
              <w:jc w:val="center"/>
              <w:rPr>
                <w:rFonts w:asciiTheme="minorEastAsia" w:hAnsiTheme="minorEastAsia" w:eastAsiaTheme="minorEastAsia"/>
              </w:rPr>
            </w:pPr>
          </w:p>
        </w:tc>
        <w:tc>
          <w:tcPr>
            <w:tcW w:w="1311" w:type="dxa"/>
            <w:tcBorders>
              <w:top w:val="single" w:color="auto" w:sz="4" w:space="0"/>
              <w:left w:val="single" w:color="auto" w:sz="6" w:space="0"/>
              <w:bottom w:val="single" w:color="auto" w:sz="6" w:space="0"/>
              <w:right w:val="single" w:color="auto" w:sz="6" w:space="0"/>
            </w:tcBorders>
            <w:vAlign w:val="center"/>
          </w:tcPr>
          <w:p w14:paraId="0E8D2F23">
            <w:pPr>
              <w:jc w:val="center"/>
              <w:rPr>
                <w:rFonts w:asciiTheme="minorEastAsia" w:hAnsiTheme="minorEastAsia" w:eastAsiaTheme="minorEastAsia"/>
              </w:rPr>
            </w:pPr>
          </w:p>
        </w:tc>
        <w:tc>
          <w:tcPr>
            <w:tcW w:w="1307" w:type="dxa"/>
            <w:tcBorders>
              <w:top w:val="single" w:color="auto" w:sz="4" w:space="0"/>
              <w:left w:val="single" w:color="auto" w:sz="6" w:space="0"/>
              <w:bottom w:val="single" w:color="auto" w:sz="6" w:space="0"/>
              <w:right w:val="single" w:color="auto" w:sz="6" w:space="0"/>
            </w:tcBorders>
            <w:vAlign w:val="center"/>
          </w:tcPr>
          <w:p w14:paraId="2574409F">
            <w:pPr>
              <w:jc w:val="center"/>
              <w:rPr>
                <w:rFonts w:asciiTheme="minorEastAsia" w:hAnsiTheme="minorEastAsia" w:eastAsiaTheme="minorEastAsia"/>
              </w:rPr>
            </w:pPr>
          </w:p>
        </w:tc>
        <w:tc>
          <w:tcPr>
            <w:tcW w:w="1312" w:type="dxa"/>
            <w:tcBorders>
              <w:top w:val="single" w:color="auto" w:sz="4" w:space="0"/>
              <w:left w:val="single" w:color="auto" w:sz="6" w:space="0"/>
              <w:bottom w:val="single" w:color="auto" w:sz="6" w:space="0"/>
              <w:right w:val="single" w:color="auto" w:sz="6" w:space="0"/>
            </w:tcBorders>
            <w:vAlign w:val="center"/>
          </w:tcPr>
          <w:p w14:paraId="6EFBE10E">
            <w:pPr>
              <w:jc w:val="center"/>
              <w:rPr>
                <w:rFonts w:asciiTheme="minorEastAsia" w:hAnsiTheme="minorEastAsia" w:eastAsiaTheme="minorEastAsia"/>
              </w:rPr>
            </w:pPr>
          </w:p>
        </w:tc>
      </w:tr>
      <w:tr w14:paraId="2D6DE6B0">
        <w:tblPrEx>
          <w:tblCellMar>
            <w:top w:w="0" w:type="dxa"/>
            <w:left w:w="28" w:type="dxa"/>
            <w:bottom w:w="0" w:type="dxa"/>
            <w:right w:w="28" w:type="dxa"/>
          </w:tblCellMar>
        </w:tblPrEx>
        <w:trPr>
          <w:trHeight w:val="560" w:hRule="atLeast"/>
          <w:jc w:val="center"/>
        </w:trPr>
        <w:tc>
          <w:tcPr>
            <w:tcW w:w="886" w:type="dxa"/>
            <w:tcBorders>
              <w:top w:val="single" w:color="auto" w:sz="4" w:space="0"/>
              <w:left w:val="single" w:color="auto" w:sz="4" w:space="0"/>
              <w:bottom w:val="single" w:color="auto" w:sz="6" w:space="0"/>
            </w:tcBorders>
            <w:vAlign w:val="center"/>
          </w:tcPr>
          <w:p w14:paraId="09CA0CC6">
            <w:pPr>
              <w:jc w:val="center"/>
              <w:rPr>
                <w:rFonts w:asciiTheme="minorEastAsia" w:hAnsiTheme="minorEastAsia" w:eastAsiaTheme="minorEastAsia"/>
              </w:rPr>
            </w:pPr>
            <w:r>
              <w:rPr>
                <w:rFonts w:hint="eastAsia" w:asciiTheme="minorEastAsia" w:hAnsiTheme="minorEastAsia" w:eastAsiaTheme="minorEastAsia"/>
              </w:rPr>
              <w:t>……</w:t>
            </w:r>
          </w:p>
        </w:tc>
        <w:tc>
          <w:tcPr>
            <w:tcW w:w="1862" w:type="dxa"/>
            <w:tcBorders>
              <w:top w:val="single" w:color="auto" w:sz="4" w:space="0"/>
              <w:left w:val="single" w:color="auto" w:sz="6" w:space="0"/>
              <w:bottom w:val="single" w:color="auto" w:sz="6" w:space="0"/>
              <w:right w:val="single" w:color="auto" w:sz="6" w:space="0"/>
            </w:tcBorders>
            <w:vAlign w:val="center"/>
          </w:tcPr>
          <w:p w14:paraId="2EBEA32D">
            <w:pPr>
              <w:jc w:val="center"/>
              <w:rPr>
                <w:rFonts w:asciiTheme="minorEastAsia" w:hAnsiTheme="minorEastAsia" w:eastAsiaTheme="minorEastAsia"/>
              </w:rPr>
            </w:pPr>
          </w:p>
        </w:tc>
        <w:tc>
          <w:tcPr>
            <w:tcW w:w="2250" w:type="dxa"/>
            <w:tcBorders>
              <w:top w:val="single" w:color="auto" w:sz="4" w:space="0"/>
              <w:left w:val="single" w:color="auto" w:sz="6" w:space="0"/>
              <w:bottom w:val="single" w:color="auto" w:sz="6" w:space="0"/>
              <w:right w:val="single" w:color="auto" w:sz="6" w:space="0"/>
            </w:tcBorders>
            <w:vAlign w:val="center"/>
          </w:tcPr>
          <w:p w14:paraId="372A2056">
            <w:pPr>
              <w:jc w:val="center"/>
              <w:rPr>
                <w:rFonts w:asciiTheme="minorEastAsia" w:hAnsiTheme="minorEastAsia" w:eastAsiaTheme="minorEastAsia"/>
              </w:rPr>
            </w:pPr>
          </w:p>
        </w:tc>
        <w:tc>
          <w:tcPr>
            <w:tcW w:w="1311" w:type="dxa"/>
            <w:tcBorders>
              <w:top w:val="single" w:color="auto" w:sz="4" w:space="0"/>
              <w:left w:val="single" w:color="auto" w:sz="6" w:space="0"/>
              <w:bottom w:val="single" w:color="auto" w:sz="6" w:space="0"/>
              <w:right w:val="single" w:color="auto" w:sz="6" w:space="0"/>
            </w:tcBorders>
            <w:vAlign w:val="center"/>
          </w:tcPr>
          <w:p w14:paraId="07EA6B07">
            <w:pPr>
              <w:jc w:val="center"/>
              <w:rPr>
                <w:rFonts w:asciiTheme="minorEastAsia" w:hAnsiTheme="minorEastAsia" w:eastAsiaTheme="minorEastAsia"/>
              </w:rPr>
            </w:pPr>
          </w:p>
        </w:tc>
        <w:tc>
          <w:tcPr>
            <w:tcW w:w="1307" w:type="dxa"/>
            <w:tcBorders>
              <w:top w:val="single" w:color="auto" w:sz="4" w:space="0"/>
              <w:left w:val="single" w:color="auto" w:sz="6" w:space="0"/>
              <w:bottom w:val="single" w:color="auto" w:sz="6" w:space="0"/>
              <w:right w:val="single" w:color="auto" w:sz="6" w:space="0"/>
            </w:tcBorders>
            <w:vAlign w:val="center"/>
          </w:tcPr>
          <w:p w14:paraId="4FE68BDC">
            <w:pPr>
              <w:jc w:val="center"/>
              <w:rPr>
                <w:rFonts w:asciiTheme="minorEastAsia" w:hAnsiTheme="minorEastAsia" w:eastAsiaTheme="minorEastAsia"/>
              </w:rPr>
            </w:pPr>
          </w:p>
        </w:tc>
        <w:tc>
          <w:tcPr>
            <w:tcW w:w="1312" w:type="dxa"/>
            <w:tcBorders>
              <w:top w:val="single" w:color="auto" w:sz="4" w:space="0"/>
              <w:left w:val="single" w:color="auto" w:sz="6" w:space="0"/>
              <w:bottom w:val="single" w:color="auto" w:sz="6" w:space="0"/>
              <w:right w:val="single" w:color="auto" w:sz="6" w:space="0"/>
            </w:tcBorders>
            <w:vAlign w:val="center"/>
          </w:tcPr>
          <w:p w14:paraId="6EB6E5E4">
            <w:pPr>
              <w:jc w:val="center"/>
              <w:rPr>
                <w:rFonts w:asciiTheme="minorEastAsia" w:hAnsiTheme="minorEastAsia" w:eastAsiaTheme="minorEastAsia"/>
              </w:rPr>
            </w:pPr>
          </w:p>
        </w:tc>
      </w:tr>
      <w:tr w14:paraId="54615B84">
        <w:tblPrEx>
          <w:tblCellMar>
            <w:top w:w="0" w:type="dxa"/>
            <w:left w:w="28" w:type="dxa"/>
            <w:bottom w:w="0" w:type="dxa"/>
            <w:right w:w="28" w:type="dxa"/>
          </w:tblCellMar>
        </w:tblPrEx>
        <w:trPr>
          <w:trHeight w:val="540" w:hRule="atLeast"/>
          <w:jc w:val="center"/>
        </w:trPr>
        <w:tc>
          <w:tcPr>
            <w:tcW w:w="886" w:type="dxa"/>
            <w:tcBorders>
              <w:top w:val="single" w:color="auto" w:sz="4" w:space="0"/>
              <w:left w:val="single" w:color="auto" w:sz="6" w:space="0"/>
              <w:bottom w:val="single" w:color="auto" w:sz="6" w:space="0"/>
            </w:tcBorders>
            <w:vAlign w:val="center"/>
          </w:tcPr>
          <w:p w14:paraId="3C614B3E">
            <w:pPr>
              <w:jc w:val="center"/>
              <w:rPr>
                <w:rFonts w:asciiTheme="minorEastAsia" w:hAnsiTheme="minorEastAsia" w:eastAsiaTheme="minorEastAsia"/>
              </w:rPr>
            </w:pPr>
            <w:r>
              <w:rPr>
                <w:rFonts w:hint="eastAsia" w:asciiTheme="minorEastAsia" w:hAnsiTheme="minorEastAsia" w:eastAsiaTheme="minorEastAsia"/>
              </w:rPr>
              <w:t>合计</w:t>
            </w:r>
          </w:p>
        </w:tc>
        <w:tc>
          <w:tcPr>
            <w:tcW w:w="4108" w:type="dxa"/>
            <w:gridSpan w:val="2"/>
            <w:tcBorders>
              <w:top w:val="single" w:color="auto" w:sz="4" w:space="0"/>
              <w:left w:val="single" w:color="auto" w:sz="6" w:space="0"/>
              <w:bottom w:val="single" w:color="auto" w:sz="6" w:space="0"/>
              <w:right w:val="single" w:color="auto" w:sz="4" w:space="0"/>
            </w:tcBorders>
            <w:vAlign w:val="center"/>
          </w:tcPr>
          <w:p w14:paraId="7DC36A82">
            <w:pPr>
              <w:jc w:val="left"/>
              <w:rPr>
                <w:rFonts w:asciiTheme="minorEastAsia" w:hAnsiTheme="minorEastAsia" w:eastAsiaTheme="minorEastAsia"/>
              </w:rPr>
            </w:pPr>
            <w:r>
              <w:rPr>
                <w:rFonts w:hint="eastAsia" w:asciiTheme="minorEastAsia" w:hAnsiTheme="minorEastAsia" w:eastAsiaTheme="minorEastAsia"/>
              </w:rPr>
              <w:t>大写：</w:t>
            </w:r>
          </w:p>
        </w:tc>
        <w:tc>
          <w:tcPr>
            <w:tcW w:w="3934" w:type="dxa"/>
            <w:gridSpan w:val="3"/>
            <w:tcBorders>
              <w:top w:val="single" w:color="auto" w:sz="4" w:space="0"/>
              <w:left w:val="single" w:color="auto" w:sz="4" w:space="0"/>
              <w:bottom w:val="single" w:color="auto" w:sz="6" w:space="0"/>
              <w:right w:val="single" w:color="auto" w:sz="6" w:space="0"/>
            </w:tcBorders>
            <w:vAlign w:val="center"/>
          </w:tcPr>
          <w:p w14:paraId="02D9A65E">
            <w:pPr>
              <w:jc w:val="left"/>
              <w:rPr>
                <w:rFonts w:asciiTheme="minorEastAsia" w:hAnsiTheme="minorEastAsia" w:eastAsiaTheme="minorEastAsia"/>
              </w:rPr>
            </w:pPr>
            <w:r>
              <w:rPr>
                <w:rFonts w:hint="eastAsia" w:asciiTheme="minorEastAsia" w:hAnsiTheme="minorEastAsia" w:eastAsiaTheme="minorEastAsia"/>
              </w:rPr>
              <w:t>小写：</w:t>
            </w:r>
          </w:p>
        </w:tc>
      </w:tr>
      <w:tr w14:paraId="16D26908">
        <w:tblPrEx>
          <w:tblCellMar>
            <w:top w:w="0" w:type="dxa"/>
            <w:left w:w="28" w:type="dxa"/>
            <w:bottom w:w="0" w:type="dxa"/>
            <w:right w:w="28" w:type="dxa"/>
          </w:tblCellMar>
        </w:tblPrEx>
        <w:trPr>
          <w:trHeight w:val="548" w:hRule="atLeast"/>
          <w:jc w:val="center"/>
        </w:trPr>
        <w:tc>
          <w:tcPr>
            <w:tcW w:w="886" w:type="dxa"/>
            <w:tcBorders>
              <w:top w:val="single" w:color="auto" w:sz="4" w:space="0"/>
              <w:left w:val="single" w:color="auto" w:sz="6" w:space="0"/>
              <w:bottom w:val="single" w:color="auto" w:sz="6" w:space="0"/>
            </w:tcBorders>
            <w:vAlign w:val="center"/>
          </w:tcPr>
          <w:p w14:paraId="006519B3">
            <w:pPr>
              <w:jc w:val="center"/>
              <w:rPr>
                <w:rFonts w:asciiTheme="minorEastAsia" w:hAnsiTheme="minorEastAsia" w:eastAsiaTheme="minorEastAsia"/>
              </w:rPr>
            </w:pPr>
            <w:r>
              <w:rPr>
                <w:rFonts w:hint="eastAsia" w:asciiTheme="minorEastAsia" w:hAnsiTheme="minorEastAsia" w:eastAsiaTheme="minorEastAsia"/>
              </w:rPr>
              <w:t>备注</w:t>
            </w:r>
          </w:p>
        </w:tc>
        <w:tc>
          <w:tcPr>
            <w:tcW w:w="8042" w:type="dxa"/>
            <w:gridSpan w:val="5"/>
            <w:tcBorders>
              <w:top w:val="single" w:color="auto" w:sz="4" w:space="0"/>
              <w:left w:val="single" w:color="auto" w:sz="6" w:space="0"/>
              <w:bottom w:val="single" w:color="auto" w:sz="6" w:space="0"/>
              <w:right w:val="single" w:color="auto" w:sz="6" w:space="0"/>
            </w:tcBorders>
            <w:vAlign w:val="center"/>
          </w:tcPr>
          <w:p w14:paraId="52E8FC5D">
            <w:pPr>
              <w:jc w:val="center"/>
              <w:rPr>
                <w:rFonts w:asciiTheme="minorEastAsia" w:hAnsiTheme="minorEastAsia" w:eastAsiaTheme="minorEastAsia"/>
              </w:rPr>
            </w:pPr>
            <w:r>
              <w:rPr>
                <w:rFonts w:hint="eastAsia" w:asciiTheme="minorEastAsia" w:hAnsiTheme="minorEastAsia" w:eastAsiaTheme="minorEastAsia"/>
              </w:rPr>
              <w:t>保留小数点后两位。</w:t>
            </w:r>
          </w:p>
        </w:tc>
      </w:tr>
    </w:tbl>
    <w:p w14:paraId="2DF3BEBF">
      <w:pPr>
        <w:spacing w:line="360" w:lineRule="auto"/>
        <w:rPr>
          <w:rFonts w:asciiTheme="minorEastAsia" w:hAnsiTheme="minorEastAsia" w:eastAsiaTheme="minorEastAsia"/>
        </w:rPr>
      </w:pPr>
      <w:r>
        <w:rPr>
          <w:rFonts w:hint="eastAsia" w:asciiTheme="minorEastAsia" w:hAnsiTheme="minorEastAsia" w:eastAsiaTheme="minorEastAsia"/>
        </w:rPr>
        <w:t>说明：1、投标人提供的产品属于《节能产品政府采购清单》中节能产品，《环境标志产品政府采购清单》中环境标志产品，应按招标文件要求提供相关证明材料。</w:t>
      </w:r>
    </w:p>
    <w:p w14:paraId="6C16F0D9">
      <w:pPr>
        <w:spacing w:line="360" w:lineRule="auto"/>
        <w:ind w:firstLine="630" w:firstLineChars="300"/>
        <w:rPr>
          <w:rFonts w:asciiTheme="minorEastAsia" w:hAnsiTheme="minorEastAsia" w:eastAsiaTheme="minorEastAsia"/>
        </w:rPr>
      </w:pPr>
      <w:r>
        <w:rPr>
          <w:rFonts w:hint="eastAsia" w:asciiTheme="minorEastAsia" w:hAnsiTheme="minorEastAsia" w:eastAsiaTheme="minorEastAsia"/>
        </w:rPr>
        <w:t>2、未按上述要求提供、填写的，评标时不予以考虑。</w:t>
      </w:r>
    </w:p>
    <w:p w14:paraId="1C2AE64D">
      <w:pPr>
        <w:spacing w:line="276" w:lineRule="auto"/>
        <w:rPr>
          <w:rFonts w:asciiTheme="minorEastAsia" w:hAnsiTheme="minorEastAsia" w:eastAsiaTheme="minorEastAsia"/>
          <w:b/>
          <w:sz w:val="18"/>
          <w:szCs w:val="18"/>
        </w:rPr>
      </w:pPr>
    </w:p>
    <w:p w14:paraId="0E6DD0E1">
      <w:pPr>
        <w:rPr>
          <w:rFonts w:asciiTheme="minorEastAsia" w:hAnsiTheme="minorEastAsia" w:eastAsiaTheme="minorEastAsia"/>
          <w:b/>
          <w:sz w:val="18"/>
          <w:szCs w:val="18"/>
        </w:rPr>
      </w:pPr>
    </w:p>
    <w:p w14:paraId="34591C7A">
      <w:pPr>
        <w:spacing w:line="460" w:lineRule="exact"/>
        <w:ind w:firstLine="3150" w:firstLineChars="1500"/>
        <w:rPr>
          <w:rFonts w:asciiTheme="minorEastAsia" w:hAnsiTheme="minorEastAsia" w:eastAsiaTheme="minorEastAsia"/>
        </w:rPr>
      </w:pPr>
      <w:r>
        <w:rPr>
          <w:rFonts w:hint="eastAsia" w:asciiTheme="minorEastAsia" w:hAnsiTheme="minorEastAsia" w:eastAsiaTheme="minorEastAsia"/>
        </w:rPr>
        <w:t>投标人：</w:t>
      </w:r>
      <w:r>
        <w:rPr>
          <w:rFonts w:asciiTheme="minorEastAsia" w:hAnsiTheme="minorEastAsia" w:eastAsiaTheme="minorEastAsia"/>
          <w:u w:val="single"/>
        </w:rPr>
        <w:t xml:space="preserve">             </w:t>
      </w:r>
      <w:r>
        <w:rPr>
          <w:rFonts w:hint="eastAsia" w:asciiTheme="minorEastAsia" w:hAnsiTheme="minorEastAsia" w:eastAsiaTheme="minorEastAsia"/>
          <w:u w:val="single"/>
        </w:rPr>
        <w:t xml:space="preserve">  </w:t>
      </w:r>
      <w:r>
        <w:rPr>
          <w:rFonts w:asciiTheme="minorEastAsia" w:hAnsiTheme="minorEastAsia" w:eastAsiaTheme="minorEastAsia"/>
          <w:u w:val="single"/>
        </w:rPr>
        <w:t xml:space="preserve">      </w:t>
      </w:r>
      <w:r>
        <w:rPr>
          <w:rFonts w:hint="eastAsia" w:asciiTheme="minorEastAsia" w:hAnsiTheme="minorEastAsia" w:eastAsiaTheme="minorEastAsia"/>
        </w:rPr>
        <w:t>（</w:t>
      </w:r>
      <w:r>
        <w:rPr>
          <w:rFonts w:asciiTheme="minorEastAsia" w:hAnsiTheme="minorEastAsia" w:eastAsiaTheme="minorEastAsia"/>
          <w:szCs w:val="21"/>
        </w:rPr>
        <w:t>全称并加盖公章</w:t>
      </w:r>
      <w:r>
        <w:rPr>
          <w:rFonts w:hint="eastAsia" w:asciiTheme="minorEastAsia" w:hAnsiTheme="minorEastAsia" w:eastAsiaTheme="minorEastAsia"/>
        </w:rPr>
        <w:t>）</w:t>
      </w:r>
    </w:p>
    <w:p w14:paraId="3EE79444">
      <w:pPr>
        <w:spacing w:line="460" w:lineRule="exact"/>
        <w:ind w:firstLine="3150" w:firstLineChars="1500"/>
        <w:rPr>
          <w:rFonts w:asciiTheme="minorEastAsia" w:hAnsiTheme="minorEastAsia" w:eastAsiaTheme="minorEastAsia"/>
        </w:rPr>
      </w:pPr>
      <w:r>
        <w:rPr>
          <w:rFonts w:hint="eastAsia" w:asciiTheme="minorEastAsia" w:hAnsiTheme="minorEastAsia" w:eastAsiaTheme="minorEastAsia"/>
        </w:rPr>
        <w:t>日  期：</w:t>
      </w:r>
      <w:r>
        <w:rPr>
          <w:rFonts w:hint="eastAsia" w:asciiTheme="minorEastAsia" w:hAnsiTheme="minorEastAsia" w:eastAsiaTheme="minorEastAsia"/>
          <w:u w:val="single"/>
        </w:rPr>
        <w:t xml:space="preserve">       </w:t>
      </w:r>
      <w:r>
        <w:rPr>
          <w:rFonts w:hint="eastAsia" w:asciiTheme="minorEastAsia" w:hAnsiTheme="minorEastAsia" w:eastAsiaTheme="minorEastAsia"/>
        </w:rPr>
        <w:t>年</w:t>
      </w:r>
      <w:r>
        <w:rPr>
          <w:rFonts w:hint="eastAsia" w:asciiTheme="minorEastAsia" w:hAnsiTheme="minorEastAsia" w:eastAsiaTheme="minorEastAsia"/>
          <w:u w:val="single"/>
        </w:rPr>
        <w:t xml:space="preserve">  </w:t>
      </w:r>
      <w:r>
        <w:rPr>
          <w:rFonts w:asciiTheme="minorEastAsia" w:hAnsiTheme="minorEastAsia" w:eastAsiaTheme="minorEastAsia"/>
          <w:u w:val="single"/>
        </w:rPr>
        <w:t xml:space="preserve">   </w:t>
      </w:r>
      <w:r>
        <w:rPr>
          <w:rFonts w:hint="eastAsia" w:asciiTheme="minorEastAsia" w:hAnsiTheme="minorEastAsia" w:eastAsiaTheme="minorEastAsia"/>
        </w:rPr>
        <w:t xml:space="preserve"> 月</w:t>
      </w:r>
      <w:r>
        <w:rPr>
          <w:rFonts w:hint="eastAsia" w:asciiTheme="minorEastAsia" w:hAnsiTheme="minorEastAsia" w:eastAsiaTheme="minorEastAsia"/>
          <w:u w:val="single"/>
        </w:rPr>
        <w:t xml:space="preserve">   </w:t>
      </w:r>
      <w:r>
        <w:rPr>
          <w:rFonts w:asciiTheme="minorEastAsia" w:hAnsiTheme="minorEastAsia" w:eastAsiaTheme="minorEastAsia"/>
          <w:u w:val="single"/>
        </w:rPr>
        <w:t xml:space="preserve"> </w:t>
      </w:r>
      <w:r>
        <w:rPr>
          <w:rFonts w:hint="eastAsia" w:asciiTheme="minorEastAsia" w:hAnsiTheme="minorEastAsia" w:eastAsiaTheme="minorEastAsia"/>
          <w:u w:val="single"/>
        </w:rPr>
        <w:t xml:space="preserve"> </w:t>
      </w:r>
      <w:r>
        <w:rPr>
          <w:rFonts w:hint="eastAsia" w:asciiTheme="minorEastAsia" w:hAnsiTheme="minorEastAsia" w:eastAsiaTheme="minorEastAsia"/>
        </w:rPr>
        <w:t>日</w:t>
      </w:r>
    </w:p>
    <w:p w14:paraId="0F005B75">
      <w:pPr>
        <w:spacing w:line="440" w:lineRule="exact"/>
        <w:rPr>
          <w:rFonts w:hint="eastAsia"/>
          <w:szCs w:val="21"/>
          <w:highlight w:val="none"/>
        </w:rPr>
      </w:pPr>
    </w:p>
    <w:p w14:paraId="790E7938">
      <w:pPr>
        <w:spacing w:line="440" w:lineRule="exact"/>
        <w:rPr>
          <w:rFonts w:hint="eastAsia"/>
          <w:szCs w:val="21"/>
          <w:highlight w:val="none"/>
        </w:rPr>
      </w:pPr>
    </w:p>
    <w:p w14:paraId="7A4B343F">
      <w:pPr>
        <w:spacing w:line="440" w:lineRule="exact"/>
        <w:rPr>
          <w:rFonts w:hint="eastAsia"/>
          <w:szCs w:val="21"/>
          <w:highlight w:val="none"/>
        </w:rPr>
      </w:pPr>
    </w:p>
    <w:p w14:paraId="1B336B15">
      <w:pPr>
        <w:spacing w:line="440" w:lineRule="exact"/>
        <w:rPr>
          <w:rFonts w:hint="eastAsia"/>
          <w:szCs w:val="21"/>
          <w:highlight w:val="none"/>
        </w:rPr>
      </w:pPr>
    </w:p>
    <w:p w14:paraId="1CDC6A04">
      <w:pPr>
        <w:spacing w:line="440" w:lineRule="exact"/>
        <w:rPr>
          <w:rFonts w:hint="eastAsia"/>
          <w:szCs w:val="21"/>
          <w:highlight w:val="none"/>
        </w:rPr>
      </w:pPr>
    </w:p>
    <w:p w14:paraId="732291B8">
      <w:pPr>
        <w:spacing w:line="440" w:lineRule="exact"/>
        <w:rPr>
          <w:rFonts w:hint="eastAsia"/>
          <w:szCs w:val="21"/>
          <w:highlight w:val="none"/>
        </w:rPr>
      </w:pPr>
    </w:p>
    <w:p w14:paraId="53CC858B">
      <w:pPr>
        <w:spacing w:line="440" w:lineRule="exact"/>
        <w:rPr>
          <w:rFonts w:hint="eastAsia"/>
          <w:szCs w:val="21"/>
          <w:highlight w:val="none"/>
        </w:rPr>
      </w:pPr>
    </w:p>
    <w:p w14:paraId="53D35040">
      <w:pPr>
        <w:spacing w:line="440" w:lineRule="exact"/>
        <w:rPr>
          <w:rFonts w:hint="eastAsia"/>
          <w:szCs w:val="21"/>
          <w:highlight w:val="none"/>
        </w:rPr>
      </w:pPr>
    </w:p>
    <w:p w14:paraId="53D6EAB1">
      <w:pPr>
        <w:spacing w:line="440" w:lineRule="exact"/>
        <w:rPr>
          <w:rFonts w:hint="eastAsia"/>
          <w:szCs w:val="21"/>
          <w:highlight w:val="none"/>
        </w:rPr>
      </w:pPr>
    </w:p>
    <w:p w14:paraId="6CB7EDFE">
      <w:pPr>
        <w:spacing w:line="440" w:lineRule="exact"/>
        <w:rPr>
          <w:rFonts w:hint="eastAsia"/>
          <w:szCs w:val="21"/>
          <w:highlight w:val="none"/>
        </w:rPr>
      </w:pPr>
    </w:p>
    <w:p w14:paraId="7E12FFBB">
      <w:pPr>
        <w:spacing w:line="440" w:lineRule="exact"/>
        <w:rPr>
          <w:rFonts w:hint="eastAsia"/>
          <w:szCs w:val="21"/>
          <w:highlight w:val="none"/>
        </w:rPr>
      </w:pPr>
    </w:p>
    <w:p w14:paraId="70E0739A">
      <w:pPr>
        <w:spacing w:line="440" w:lineRule="exact"/>
        <w:rPr>
          <w:rFonts w:hint="eastAsia"/>
          <w:szCs w:val="21"/>
          <w:highlight w:val="none"/>
        </w:rPr>
      </w:pPr>
    </w:p>
    <w:p w14:paraId="52036ED7">
      <w:pPr>
        <w:spacing w:line="440" w:lineRule="exact"/>
        <w:jc w:val="center"/>
        <w:rPr>
          <w:rFonts w:hint="eastAsia" w:ascii="宋体" w:hAnsi="宋体" w:eastAsia="宋体" w:cs="宋体"/>
          <w:b/>
          <w:bCs/>
          <w:sz w:val="36"/>
          <w:szCs w:val="36"/>
          <w:highlight w:val="none"/>
          <w:lang w:eastAsia="zh-CN"/>
        </w:rPr>
      </w:pPr>
    </w:p>
    <w:p w14:paraId="455070AE">
      <w:pPr>
        <w:spacing w:line="440" w:lineRule="exact"/>
        <w:jc w:val="center"/>
        <w:rPr>
          <w:rFonts w:hint="eastAsia" w:ascii="宋体" w:hAnsi="宋体" w:eastAsia="宋体" w:cs="宋体"/>
          <w:b/>
          <w:bCs/>
          <w:sz w:val="36"/>
          <w:szCs w:val="36"/>
          <w:highlight w:val="none"/>
          <w:lang w:eastAsia="zh-CN"/>
        </w:rPr>
      </w:pPr>
    </w:p>
    <w:p w14:paraId="626B0ECF">
      <w:pPr>
        <w:spacing w:line="440" w:lineRule="exact"/>
        <w:jc w:val="center"/>
        <w:rPr>
          <w:rFonts w:hint="eastAsia" w:ascii="宋体" w:hAnsi="宋体" w:eastAsia="宋体" w:cs="宋体"/>
          <w:b/>
          <w:bCs/>
          <w:sz w:val="36"/>
          <w:szCs w:val="36"/>
          <w:highlight w:val="none"/>
          <w:lang w:eastAsia="zh-CN"/>
        </w:rPr>
      </w:pPr>
    </w:p>
    <w:p w14:paraId="63964C03">
      <w:pPr>
        <w:spacing w:line="440" w:lineRule="exact"/>
        <w:jc w:val="center"/>
        <w:rPr>
          <w:rFonts w:hint="eastAsia" w:ascii="宋体" w:hAnsi="宋体" w:eastAsia="宋体" w:cs="宋体"/>
          <w:b/>
          <w:bCs/>
          <w:sz w:val="36"/>
          <w:szCs w:val="36"/>
          <w:highlight w:val="none"/>
          <w:lang w:eastAsia="zh-CN"/>
        </w:rPr>
      </w:pPr>
    </w:p>
    <w:p w14:paraId="09A586BF">
      <w:pPr>
        <w:spacing w:line="440" w:lineRule="exact"/>
        <w:jc w:val="center"/>
        <w:rPr>
          <w:rFonts w:hint="eastAsia" w:ascii="宋体" w:hAnsi="宋体" w:eastAsia="宋体" w:cs="宋体"/>
          <w:b/>
          <w:bCs/>
          <w:sz w:val="36"/>
          <w:szCs w:val="36"/>
          <w:highlight w:val="none"/>
          <w:lang w:eastAsia="zh-CN"/>
        </w:rPr>
      </w:pPr>
    </w:p>
    <w:p w14:paraId="43EF15CB">
      <w:pPr>
        <w:spacing w:line="440" w:lineRule="exact"/>
        <w:jc w:val="center"/>
        <w:rPr>
          <w:rFonts w:hint="eastAsia" w:ascii="宋体" w:hAnsi="宋体" w:eastAsia="宋体" w:cs="宋体"/>
          <w:b/>
          <w:bCs/>
          <w:sz w:val="36"/>
          <w:szCs w:val="36"/>
          <w:highlight w:val="none"/>
          <w:lang w:eastAsia="zh-CN"/>
        </w:rPr>
      </w:pPr>
    </w:p>
    <w:p w14:paraId="6E38B7A0">
      <w:pPr>
        <w:spacing w:line="440" w:lineRule="exact"/>
        <w:jc w:val="center"/>
        <w:rPr>
          <w:rFonts w:hint="eastAsia" w:ascii="宋体" w:hAnsi="宋体" w:eastAsia="宋体" w:cs="宋体"/>
          <w:b/>
          <w:bCs/>
          <w:sz w:val="36"/>
          <w:szCs w:val="36"/>
          <w:highlight w:val="none"/>
          <w:lang w:eastAsia="zh-CN"/>
        </w:rPr>
      </w:pPr>
    </w:p>
    <w:p w14:paraId="0A554683">
      <w:pPr>
        <w:spacing w:line="440" w:lineRule="exact"/>
        <w:jc w:val="center"/>
        <w:rPr>
          <w:rFonts w:hint="eastAsia" w:ascii="宋体" w:hAnsi="宋体" w:eastAsia="宋体" w:cs="宋体"/>
          <w:b/>
          <w:bCs/>
          <w:sz w:val="36"/>
          <w:szCs w:val="36"/>
          <w:highlight w:val="none"/>
          <w:lang w:eastAsia="zh-CN"/>
        </w:rPr>
      </w:pPr>
    </w:p>
    <w:p w14:paraId="23DDFA96">
      <w:pPr>
        <w:spacing w:line="440" w:lineRule="exact"/>
        <w:jc w:val="center"/>
        <w:rPr>
          <w:rFonts w:hint="eastAsia" w:ascii="宋体" w:hAnsi="宋体" w:eastAsia="宋体" w:cs="宋体"/>
          <w:b/>
          <w:bCs/>
          <w:sz w:val="36"/>
          <w:szCs w:val="36"/>
          <w:highlight w:val="none"/>
          <w:lang w:eastAsia="zh-CN"/>
        </w:rPr>
      </w:pPr>
    </w:p>
    <w:p w14:paraId="26B69EAC">
      <w:pPr>
        <w:spacing w:line="440" w:lineRule="exact"/>
        <w:jc w:val="center"/>
        <w:rPr>
          <w:rFonts w:hint="eastAsia" w:ascii="宋体" w:hAnsi="宋体" w:eastAsia="宋体" w:cs="宋体"/>
          <w:b/>
          <w:bCs/>
          <w:sz w:val="36"/>
          <w:szCs w:val="36"/>
          <w:highlight w:val="none"/>
          <w:lang w:eastAsia="zh-CN"/>
        </w:rPr>
      </w:pPr>
    </w:p>
    <w:p w14:paraId="4D758ABD">
      <w:pPr>
        <w:spacing w:line="440" w:lineRule="exact"/>
        <w:jc w:val="center"/>
        <w:rPr>
          <w:rFonts w:hint="eastAsia" w:ascii="宋体" w:hAnsi="宋体" w:eastAsia="宋体" w:cs="宋体"/>
          <w:b/>
          <w:bCs/>
          <w:sz w:val="36"/>
          <w:szCs w:val="36"/>
          <w:highlight w:val="none"/>
          <w:lang w:val="en-US" w:eastAsia="zh-CN"/>
        </w:rPr>
      </w:pPr>
      <w:r>
        <w:rPr>
          <w:rFonts w:hint="eastAsia" w:ascii="宋体" w:hAnsi="宋体" w:eastAsia="宋体" w:cs="宋体"/>
          <w:b/>
          <w:bCs/>
          <w:sz w:val="36"/>
          <w:szCs w:val="36"/>
          <w:highlight w:val="none"/>
          <w:lang w:eastAsia="zh-CN"/>
        </w:rPr>
        <w:t>本页以下无内容</w:t>
      </w:r>
    </w:p>
    <w:p w14:paraId="0494880C">
      <w:pPr>
        <w:pStyle w:val="16"/>
        <w:rPr>
          <w:rFonts w:hint="eastAsia"/>
          <w:lang w:val="en-US" w:eastAsia="zh-CN"/>
        </w:rPr>
      </w:pPr>
    </w:p>
    <w:p w14:paraId="53A63B36">
      <w:pPr>
        <w:rPr>
          <w:rFonts w:hint="eastAsia"/>
          <w:lang w:val="en-US" w:eastAsia="zh-CN"/>
        </w:rPr>
      </w:pPr>
    </w:p>
    <w:p w14:paraId="3C305148">
      <w:pPr>
        <w:bidi w:val="0"/>
        <w:rPr>
          <w:rFonts w:hint="eastAsia" w:ascii="Times New Roman" w:hAnsi="Times New Roman" w:eastAsia="宋体" w:cs="Times New Roman"/>
          <w:kern w:val="2"/>
          <w:sz w:val="21"/>
          <w:szCs w:val="24"/>
          <w:lang w:val="en-US" w:eastAsia="zh-CN" w:bidi="ar-SA"/>
        </w:rPr>
      </w:pPr>
    </w:p>
    <w:p w14:paraId="1A1316AB">
      <w:pPr>
        <w:bidi w:val="0"/>
        <w:rPr>
          <w:rFonts w:hint="eastAsia"/>
          <w:lang w:val="en-US" w:eastAsia="zh-CN"/>
        </w:rPr>
      </w:pPr>
    </w:p>
    <w:p w14:paraId="29D96175">
      <w:pPr>
        <w:bidi w:val="0"/>
        <w:rPr>
          <w:rFonts w:hint="eastAsia"/>
          <w:lang w:val="en-US" w:eastAsia="zh-CN"/>
        </w:rPr>
      </w:pPr>
    </w:p>
    <w:p w14:paraId="573C36AE">
      <w:pPr>
        <w:bidi w:val="0"/>
        <w:rPr>
          <w:rFonts w:hint="eastAsia"/>
          <w:lang w:val="en-US" w:eastAsia="zh-CN"/>
        </w:rPr>
      </w:pPr>
    </w:p>
    <w:p w14:paraId="4D533227">
      <w:pPr>
        <w:bidi w:val="0"/>
        <w:rPr>
          <w:rFonts w:hint="eastAsia"/>
          <w:lang w:val="en-US" w:eastAsia="zh-CN"/>
        </w:rPr>
      </w:pPr>
    </w:p>
    <w:p w14:paraId="111EF881">
      <w:pPr>
        <w:bidi w:val="0"/>
        <w:rPr>
          <w:rFonts w:hint="eastAsia"/>
          <w:lang w:val="en-US" w:eastAsia="zh-CN"/>
        </w:rPr>
      </w:pPr>
    </w:p>
    <w:p w14:paraId="6D5B28FA">
      <w:pPr>
        <w:bidi w:val="0"/>
        <w:rPr>
          <w:rFonts w:hint="eastAsia"/>
          <w:lang w:val="en-US" w:eastAsia="zh-CN"/>
        </w:rPr>
      </w:pPr>
    </w:p>
    <w:p w14:paraId="192AC03C">
      <w:pPr>
        <w:bidi w:val="0"/>
        <w:rPr>
          <w:rFonts w:hint="eastAsia"/>
          <w:lang w:val="en-US" w:eastAsia="zh-CN"/>
        </w:rPr>
      </w:pPr>
    </w:p>
    <w:p w14:paraId="3482F5B9">
      <w:pPr>
        <w:bidi w:val="0"/>
        <w:rPr>
          <w:rFonts w:hint="eastAsia"/>
          <w:lang w:val="en-US" w:eastAsia="zh-CN"/>
        </w:rPr>
      </w:pPr>
    </w:p>
    <w:p w14:paraId="48E7E2CC">
      <w:pPr>
        <w:bidi w:val="0"/>
        <w:rPr>
          <w:rFonts w:hint="eastAsia"/>
          <w:lang w:val="en-US" w:eastAsia="zh-CN"/>
        </w:rPr>
      </w:pPr>
    </w:p>
    <w:bookmarkEnd w:id="15"/>
    <w:p w14:paraId="7050FF67">
      <w:pPr>
        <w:tabs>
          <w:tab w:val="left" w:pos="2570"/>
        </w:tabs>
        <w:bidi w:val="0"/>
        <w:jc w:val="left"/>
        <w:rPr>
          <w:rFonts w:hint="eastAsia"/>
          <w:lang w:val="en-US" w:eastAsia="zh-CN"/>
        </w:rPr>
      </w:pPr>
    </w:p>
    <w:sectPr>
      <w:headerReference r:id="rId9" w:type="default"/>
      <w:footerReference r:id="rId10" w:type="default"/>
      <w:footnotePr>
        <w:numFmt w:val="decimalEnclosedCircleChinese"/>
        <w:numRestart w:val="eachPage"/>
      </w:footnotePr>
      <w:pgSz w:w="11905" w:h="16838"/>
      <w:pgMar w:top="1304" w:right="1236" w:bottom="1304" w:left="1236" w:header="1020" w:footer="680" w:gutter="0"/>
      <w:pgBorders w:zOrder="back">
        <w:top w:val="none" w:sz="0" w:space="0"/>
        <w:left w:val="none" w:sz="0" w:space="0"/>
        <w:bottom w:val="none" w:sz="0" w:space="0"/>
        <w:right w:val="none" w:sz="0" w:space="0"/>
      </w:pgBorders>
      <w:pgNumType w:fmt="decimal"/>
      <w:cols w:space="0" w:num="1"/>
      <w:rtlGutter w:val="0"/>
      <w:docGrid w:type="line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姚体">
    <w:altName w:val="宋体"/>
    <w:panose1 w:val="02010601030101010101"/>
    <w:charset w:val="86"/>
    <w:family w:val="auto"/>
    <w:pitch w:val="default"/>
    <w:sig w:usb0="00000000" w:usb1="00000000" w:usb2="0000000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ActionIcon ! important">
    <w:altName w:val="Segoe Print"/>
    <w:panose1 w:val="00000000000000000000"/>
    <w:charset w:val="00"/>
    <w:family w:val="auto"/>
    <w:pitch w:val="default"/>
    <w:sig w:usb0="00000000" w:usb1="00000000" w:usb2="00000000" w:usb3="00000000" w:csb0="00000000" w:csb1="00000000"/>
  </w:font>
  <w:font w:name="等线">
    <w:panose1 w:val="02010600030101010101"/>
    <w:charset w:val="86"/>
    <w:family w:val="auto"/>
    <w:pitch w:val="default"/>
    <w:sig w:usb0="A00002BF" w:usb1="38CF7CFA" w:usb2="00000016" w:usb3="00000000" w:csb0="0004000F" w:csb1="00000000"/>
  </w:font>
  <w:font w:name="Arial Unicode MS">
    <w:altName w:val="宋体"/>
    <w:panose1 w:val="020B0604020202020204"/>
    <w:charset w:val="86"/>
    <w:family w:val="swiss"/>
    <w:pitch w:val="default"/>
    <w:sig w:usb0="00000000" w:usb1="00000000" w:usb2="0000003F" w:usb3="00000000" w:csb0="603F01FF" w:csb1="FFFF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 w:name="华文中宋">
    <w:altName w:val="宋体"/>
    <w:panose1 w:val="02010600040101010101"/>
    <w:charset w:val="86"/>
    <w:family w:val="auto"/>
    <w:pitch w:val="default"/>
    <w:sig w:usb0="00000000" w:usb1="00000000" w:usb2="00000000" w:usb3="00000000" w:csb0="0004009F" w:csb1="DFD70000"/>
  </w:font>
  <w:font w:name="新宋体">
    <w:panose1 w:val="02010609030101010101"/>
    <w:charset w:val="86"/>
    <w:family w:val="modern"/>
    <w:pitch w:val="default"/>
    <w:sig w:usb0="00000283" w:usb1="288F0000" w:usb2="0000000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BDC813">
    <w:pPr>
      <w:pStyle w:val="27"/>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b/>
        <w:bCs/>
        <w:sz w:val="21"/>
        <w:szCs w:val="21"/>
        <w:lang w:eastAsia="zh-CN"/>
      </w:rPr>
    </w:pPr>
    <w:r>
      <w:rPr>
        <w:rFonts w:hint="eastAsia"/>
        <w:b/>
        <w:bCs/>
        <w:sz w:val="21"/>
        <w:szCs w:val="21"/>
        <w:lang w:eastAsia="zh-CN"/>
      </w:rPr>
      <w:t>采购代理机构：瑞恒项目管理有限公司</w:t>
    </w:r>
  </w:p>
  <w:p w14:paraId="1B3E1218">
    <w:pPr>
      <w:pStyle w:val="27"/>
      <w:ind w:right="720"/>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BC60A4">
    <w:pPr>
      <w:pStyle w:val="27"/>
      <w:ind w:right="720"/>
      <w:rPr>
        <w:rFonts w:hint="eastAsia"/>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95C3C52">
                          <w:pPr>
                            <w:pStyle w:val="27"/>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82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14:paraId="695C3C52">
                    <w:pPr>
                      <w:pStyle w:val="27"/>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82</w:t>
                    </w:r>
                    <w:r>
                      <w:fldChar w:fldCharType="end"/>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AABD8C">
    <w:pPr>
      <w:pStyle w:val="27"/>
      <w:ind w:right="720"/>
      <w:rPr>
        <w:rFonts w:hint="eastAsia" w:ascii="宋体" w:hAnsi="宋体" w:eastAsia="宋体"/>
        <w:b/>
        <w:kern w:val="2"/>
        <w:sz w:val="21"/>
        <w:szCs w:val="21"/>
        <w:lang w:val="en-US" w:eastAsia="zh-CN" w:bidi="ar-SA"/>
      </w:rPr>
    </w:pPr>
    <w:r>
      <w:rPr>
        <w:sz w:val="21"/>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0511015">
                          <w:pPr>
                            <w:pStyle w:val="27"/>
                          </w:pPr>
                          <w:r>
                            <w:t xml:space="preserve">第 </w:t>
                          </w:r>
                          <w:r>
                            <w:fldChar w:fldCharType="begin"/>
                          </w:r>
                          <w:r>
                            <w:instrText xml:space="preserve"> PAGE  \* MERGEFORMAT </w:instrText>
                          </w:r>
                          <w:r>
                            <w:fldChar w:fldCharType="separate"/>
                          </w:r>
                          <w:r>
                            <w:t>57</w:t>
                          </w:r>
                          <w:r>
                            <w:fldChar w:fldCharType="end"/>
                          </w:r>
                          <w:r>
                            <w:t xml:space="preserve"> 页 共 </w:t>
                          </w:r>
                          <w:r>
                            <w:fldChar w:fldCharType="begin"/>
                          </w:r>
                          <w:r>
                            <w:instrText xml:space="preserve"> NUMPAGES  \* MERGEFORMAT </w:instrText>
                          </w:r>
                          <w:r>
                            <w:fldChar w:fldCharType="separate"/>
                          </w:r>
                          <w:r>
                            <w:t>82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14:paraId="70511015">
                    <w:pPr>
                      <w:pStyle w:val="27"/>
                    </w:pPr>
                    <w:r>
                      <w:t xml:space="preserve">第 </w:t>
                    </w:r>
                    <w:r>
                      <w:fldChar w:fldCharType="begin"/>
                    </w:r>
                    <w:r>
                      <w:instrText xml:space="preserve"> PAGE  \* MERGEFORMAT </w:instrText>
                    </w:r>
                    <w:r>
                      <w:fldChar w:fldCharType="separate"/>
                    </w:r>
                    <w:r>
                      <w:t>57</w:t>
                    </w:r>
                    <w:r>
                      <w:fldChar w:fldCharType="end"/>
                    </w:r>
                    <w:r>
                      <w:t xml:space="preserve"> 页 共 </w:t>
                    </w:r>
                    <w:r>
                      <w:fldChar w:fldCharType="begin"/>
                    </w:r>
                    <w:r>
                      <w:instrText xml:space="preserve"> NUMPAGES  \* MERGEFORMAT </w:instrText>
                    </w:r>
                    <w:r>
                      <w:fldChar w:fldCharType="separate"/>
                    </w:r>
                    <w:r>
                      <w:t>82</w:t>
                    </w:r>
                    <w:r>
                      <w:fldChar w:fldCharType="end"/>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F08184">
    <w:pPr>
      <w:pStyle w:val="16"/>
      <w:spacing w:line="14" w:lineRule="auto"/>
      <w:rPr>
        <w:sz w:val="20"/>
      </w:rPr>
    </w:pPr>
    <w:r>
      <w:rPr>
        <w:sz w:val="20"/>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08C3747">
                          <w:pPr>
                            <w:pStyle w:val="27"/>
                          </w:pPr>
                          <w:r>
                            <w:t xml:space="preserve">第 </w:t>
                          </w:r>
                          <w:r>
                            <w:fldChar w:fldCharType="begin"/>
                          </w:r>
                          <w:r>
                            <w:instrText xml:space="preserve"> PAGE  \* MERGEFORMAT </w:instrText>
                          </w:r>
                          <w:r>
                            <w:fldChar w:fldCharType="separate"/>
                          </w:r>
                          <w:r>
                            <w:t>59</w:t>
                          </w:r>
                          <w:r>
                            <w:fldChar w:fldCharType="end"/>
                          </w:r>
                          <w:r>
                            <w:t xml:space="preserve"> 页 共 </w:t>
                          </w:r>
                          <w:r>
                            <w:fldChar w:fldCharType="begin"/>
                          </w:r>
                          <w:r>
                            <w:instrText xml:space="preserve"> NUMPAGES  \* MERGEFORMAT </w:instrText>
                          </w:r>
                          <w:r>
                            <w:fldChar w:fldCharType="separate"/>
                          </w:r>
                          <w:r>
                            <w:t>82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14:paraId="308C3747">
                    <w:pPr>
                      <w:pStyle w:val="27"/>
                    </w:pPr>
                    <w:r>
                      <w:t xml:space="preserve">第 </w:t>
                    </w:r>
                    <w:r>
                      <w:fldChar w:fldCharType="begin"/>
                    </w:r>
                    <w:r>
                      <w:instrText xml:space="preserve"> PAGE  \* MERGEFORMAT </w:instrText>
                    </w:r>
                    <w:r>
                      <w:fldChar w:fldCharType="separate"/>
                    </w:r>
                    <w:r>
                      <w:t>59</w:t>
                    </w:r>
                    <w:r>
                      <w:fldChar w:fldCharType="end"/>
                    </w:r>
                    <w:r>
                      <w:t xml:space="preserve"> 页 共 </w:t>
                    </w:r>
                    <w:r>
                      <w:fldChar w:fldCharType="begin"/>
                    </w:r>
                    <w:r>
                      <w:instrText xml:space="preserve"> NUMPAGES  \* MERGEFORMAT </w:instrText>
                    </w:r>
                    <w:r>
                      <w:fldChar w:fldCharType="separate"/>
                    </w:r>
                    <w:r>
                      <w:t>82</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B63786">
    <w:pPr>
      <w:keepNext w:val="0"/>
      <w:keepLines w:val="0"/>
      <w:pageBreakBefore w:val="0"/>
      <w:widowControl w:val="0"/>
      <w:pBdr>
        <w:bottom w:val="none" w:color="auto" w:sz="0" w:space="1"/>
      </w:pBdr>
      <w:tabs>
        <w:tab w:val="left" w:pos="416"/>
        <w:tab w:val="right" w:pos="9206"/>
      </w:tabs>
      <w:kinsoku/>
      <w:wordWrap/>
      <w:overflowPunct/>
      <w:topLinePunct w:val="0"/>
      <w:autoSpaceDE/>
      <w:autoSpaceDN/>
      <w:bidi w:val="0"/>
      <w:adjustRightInd/>
      <w:snapToGrid w:val="0"/>
      <w:spacing w:line="312" w:lineRule="auto"/>
      <w:ind w:right="-21" w:rightChars="-10"/>
      <w:textAlignment w:val="aut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1992D3">
    <w:pPr>
      <w:keepNext w:val="0"/>
      <w:keepLines w:val="0"/>
      <w:pageBreakBefore w:val="0"/>
      <w:widowControl w:val="0"/>
      <w:pBdr>
        <w:bottom w:val="none" w:color="auto" w:sz="0" w:space="1"/>
      </w:pBdr>
      <w:tabs>
        <w:tab w:val="left" w:pos="416"/>
        <w:tab w:val="right" w:pos="9206"/>
      </w:tabs>
      <w:kinsoku/>
      <w:wordWrap/>
      <w:overflowPunct/>
      <w:topLinePunct w:val="0"/>
      <w:autoSpaceDE/>
      <w:autoSpaceDN/>
      <w:bidi w:val="0"/>
      <w:adjustRightInd/>
      <w:snapToGrid w:val="0"/>
      <w:spacing w:line="312" w:lineRule="auto"/>
      <w:ind w:right="-21" w:rightChars="-10"/>
      <w:textAlignment w:val="aut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99AEF8">
    <w:pPr>
      <w:pBdr>
        <w:bottom w:val="none" w:color="auto" w:sz="0" w:space="1"/>
      </w:pBdr>
      <w:tabs>
        <w:tab w:val="left" w:pos="416"/>
        <w:tab w:val="right" w:pos="9206"/>
      </w:tabs>
      <w:spacing w:line="240" w:lineRule="exact"/>
      <w:ind w:right="-21" w:rightChars="-10"/>
      <w:rPr>
        <w:rFonts w:hint="eastAsia" w:ascii="宋体" w:hAnsi="宋体"/>
        <w:b/>
        <w:color w:val="auto"/>
        <w:sz w:val="21"/>
        <w:szCs w:val="21"/>
        <w:lang w:eastAsia="zh-CN"/>
      </w:rPr>
    </w:pPr>
  </w:p>
  <w:p w14:paraId="77F3E190">
    <w:pPr>
      <w:keepNext w:val="0"/>
      <w:keepLines w:val="0"/>
      <w:pageBreakBefore w:val="0"/>
      <w:widowControl w:val="0"/>
      <w:pBdr>
        <w:bottom w:val="none" w:color="auto" w:sz="0" w:space="1"/>
      </w:pBdr>
      <w:tabs>
        <w:tab w:val="left" w:pos="416"/>
        <w:tab w:val="right" w:pos="9206"/>
      </w:tabs>
      <w:kinsoku/>
      <w:wordWrap/>
      <w:overflowPunct/>
      <w:topLinePunct w:val="0"/>
      <w:autoSpaceDE/>
      <w:autoSpaceDN/>
      <w:bidi w:val="0"/>
      <w:adjustRightInd/>
      <w:snapToGrid/>
      <w:spacing w:line="360" w:lineRule="auto"/>
      <w:ind w:right="-21" w:rightChars="-10"/>
      <w:textAlignment w:val="auto"/>
      <w:rPr>
        <w:rFonts w:ascii="宋体" w:hAnsi="宋体"/>
        <w:b/>
        <w:szCs w:val="21"/>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A857B9">
    <w:pPr>
      <w:pStyle w:val="16"/>
      <w:spacing w:line="14" w:lineRule="auto"/>
      <w:rPr>
        <w:sz w:val="20"/>
      </w:rPr>
    </w:pPr>
    <w:r>
      <w:rPr>
        <w:lang w:val="en-US" w:bidi="ar-SA"/>
      </w:rPr>
      <mc:AlternateContent>
        <mc:Choice Requires="wps">
          <w:drawing>
            <wp:anchor distT="0" distB="0" distL="114300" distR="114300" simplePos="0" relativeHeight="251660288" behindDoc="1" locked="0" layoutInCell="1" allowOverlap="1">
              <wp:simplePos x="0" y="0"/>
              <wp:positionH relativeFrom="page">
                <wp:posOffset>1130300</wp:posOffset>
              </wp:positionH>
              <wp:positionV relativeFrom="page">
                <wp:posOffset>483235</wp:posOffset>
              </wp:positionV>
              <wp:extent cx="2977515" cy="76200"/>
              <wp:effectExtent l="0" t="0" r="0" b="0"/>
              <wp:wrapNone/>
              <wp:docPr id="45" name="文本框 38"/>
              <wp:cNvGraphicFramePr/>
              <a:graphic xmlns:a="http://schemas.openxmlformats.org/drawingml/2006/main">
                <a:graphicData uri="http://schemas.microsoft.com/office/word/2010/wordprocessingShape">
                  <wps:wsp>
                    <wps:cNvSpPr txBox="1"/>
                    <wps:spPr>
                      <a:xfrm flipV="1">
                        <a:off x="0" y="0"/>
                        <a:ext cx="2977515" cy="76200"/>
                      </a:xfrm>
                      <a:prstGeom prst="rect">
                        <a:avLst/>
                      </a:prstGeom>
                      <a:noFill/>
                      <a:ln>
                        <a:noFill/>
                      </a:ln>
                    </wps:spPr>
                    <wps:txbx>
                      <w:txbxContent>
                        <w:p w14:paraId="6F60AD8E">
                          <w:pPr>
                            <w:rPr>
                              <w:sz w:val="18"/>
                            </w:rPr>
                          </w:pPr>
                        </w:p>
                      </w:txbxContent>
                    </wps:txbx>
                    <wps:bodyPr lIns="0" tIns="0" rIns="0" bIns="0" upright="1"/>
                  </wps:wsp>
                </a:graphicData>
              </a:graphic>
            </wp:anchor>
          </w:drawing>
        </mc:Choice>
        <mc:Fallback>
          <w:pict>
            <v:shape id="文本框 38" o:spid="_x0000_s1026" o:spt="202" type="#_x0000_t202" style="position:absolute;left:0pt;flip:y;margin-left:89pt;margin-top:38.05pt;height:6pt;width:234.45pt;mso-position-horizontal-relative:page;mso-position-vertical-relative:page;z-index:-251656192;mso-width-relative:page;mso-height-relative:page;" filled="f" stroked="f" coordsize="21600,21600" o:gfxdata="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0r1uwdgAAAAJAQAADwAAAAAAAAABACAAAAAiAAAAZHJzL2Rvd25yZXYu&#10;eG1sUEsBAhQAFAAAAAgAh07iQGMfVADCAQAAfQMAAA4AAAAAAAAAAQAgAAAAJwEAAGRycy9lMm9E&#10;b2MueG1sUEsFBgAAAAAGAAYAWQEAAFsFAAAAAA==&#10;">
              <v:fill on="f" focussize="0,0"/>
              <v:stroke on="f"/>
              <v:imagedata o:title=""/>
              <o:lock v:ext="edit" aspectratio="f"/>
              <v:textbox inset="0mm,0mm,0mm,0mm">
                <w:txbxContent>
                  <w:p w14:paraId="6F60AD8E">
                    <w:pPr>
                      <w:rPr>
                        <w:sz w:val="18"/>
                      </w:rPr>
                    </w:pPr>
                  </w:p>
                </w:txbxContent>
              </v:textbox>
            </v:shape>
          </w:pict>
        </mc:Fallback>
      </mc:AlternateContent>
    </w:r>
    <w:r>
      <w:rPr>
        <w:lang w:val="en-US" w:bidi="ar-SA"/>
      </w:rPr>
      <mc:AlternateContent>
        <mc:Choice Requires="wps">
          <w:drawing>
            <wp:anchor distT="0" distB="0" distL="114300" distR="114300" simplePos="0" relativeHeight="251661312" behindDoc="1" locked="0" layoutInCell="1" allowOverlap="1">
              <wp:simplePos x="0" y="0"/>
              <wp:positionH relativeFrom="page">
                <wp:posOffset>5910580</wp:posOffset>
              </wp:positionH>
              <wp:positionV relativeFrom="page">
                <wp:posOffset>544830</wp:posOffset>
              </wp:positionV>
              <wp:extent cx="482600" cy="139700"/>
              <wp:effectExtent l="0" t="0" r="0" b="0"/>
              <wp:wrapNone/>
              <wp:docPr id="46" name="文本框 39"/>
              <wp:cNvGraphicFramePr/>
              <a:graphic xmlns:a="http://schemas.openxmlformats.org/drawingml/2006/main">
                <a:graphicData uri="http://schemas.microsoft.com/office/word/2010/wordprocessingShape">
                  <wps:wsp>
                    <wps:cNvSpPr txBox="1"/>
                    <wps:spPr>
                      <a:xfrm>
                        <a:off x="0" y="0"/>
                        <a:ext cx="482600" cy="139700"/>
                      </a:xfrm>
                      <a:prstGeom prst="rect">
                        <a:avLst/>
                      </a:prstGeom>
                      <a:noFill/>
                      <a:ln>
                        <a:noFill/>
                      </a:ln>
                    </wps:spPr>
                    <wps:txbx>
                      <w:txbxContent>
                        <w:p w14:paraId="04E6B827">
                          <w:pPr>
                            <w:spacing w:line="220" w:lineRule="exact"/>
                            <w:rPr>
                              <w:sz w:val="18"/>
                            </w:rPr>
                          </w:pPr>
                        </w:p>
                      </w:txbxContent>
                    </wps:txbx>
                    <wps:bodyPr lIns="0" tIns="0" rIns="0" bIns="0" upright="1"/>
                  </wps:wsp>
                </a:graphicData>
              </a:graphic>
            </wp:anchor>
          </w:drawing>
        </mc:Choice>
        <mc:Fallback>
          <w:pict>
            <v:shape id="文本框 39" o:spid="_x0000_s1026" o:spt="202" type="#_x0000_t202" style="position:absolute;left:0pt;margin-left:465.4pt;margin-top:42.9pt;height:11pt;width:38pt;mso-position-horizontal-relative:page;mso-position-vertical-relative:page;z-index:-251655168;mso-width-relative:page;mso-height-relative:page;" filled="f" stroked="f" coordsize="21600,21600" o:gfxdata="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">
              <v:fill on="f" focussize="0,0"/>
              <v:stroke on="f"/>
              <v:imagedata o:title=""/>
              <o:lock v:ext="edit" aspectratio="f"/>
              <v:textbox inset="0mm,0mm,0mm,0mm">
                <w:txbxContent>
                  <w:p w14:paraId="04E6B827">
                    <w:pPr>
                      <w:spacing w:line="220" w:lineRule="exact"/>
                      <w:rPr>
                        <w:sz w:val="18"/>
                      </w:rPr>
                    </w:pPr>
                  </w:p>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9A359A6"/>
    <w:multiLevelType w:val="singleLevel"/>
    <w:tmpl w:val="99A359A6"/>
    <w:lvl w:ilvl="0" w:tentative="0">
      <w:start w:val="1"/>
      <w:numFmt w:val="decimal"/>
      <w:suff w:val="nothing"/>
      <w:lvlText w:val="%1、"/>
      <w:lvlJc w:val="left"/>
    </w:lvl>
  </w:abstractNum>
  <w:abstractNum w:abstractNumId="1">
    <w:nsid w:val="A09A843F"/>
    <w:multiLevelType w:val="singleLevel"/>
    <w:tmpl w:val="A09A843F"/>
    <w:lvl w:ilvl="0" w:tentative="0">
      <w:start w:val="1"/>
      <w:numFmt w:val="decimal"/>
      <w:lvlText w:val="%1."/>
      <w:lvlJc w:val="left"/>
      <w:pPr>
        <w:tabs>
          <w:tab w:val="left" w:pos="312"/>
        </w:tabs>
      </w:pPr>
    </w:lvl>
  </w:abstractNum>
  <w:abstractNum w:abstractNumId="2">
    <w:nsid w:val="DFB69060"/>
    <w:multiLevelType w:val="singleLevel"/>
    <w:tmpl w:val="DFB69060"/>
    <w:lvl w:ilvl="0" w:tentative="0">
      <w:start w:val="1"/>
      <w:numFmt w:val="decimal"/>
      <w:lvlText w:val="%1."/>
      <w:lvlJc w:val="left"/>
      <w:pPr>
        <w:tabs>
          <w:tab w:val="left" w:pos="312"/>
        </w:tabs>
      </w:pPr>
    </w:lvl>
  </w:abstractNum>
  <w:abstractNum w:abstractNumId="3">
    <w:nsid w:val="EAAA76EB"/>
    <w:multiLevelType w:val="singleLevel"/>
    <w:tmpl w:val="EAAA76EB"/>
    <w:lvl w:ilvl="0" w:tentative="0">
      <w:start w:val="2"/>
      <w:numFmt w:val="decimal"/>
      <w:suff w:val="nothing"/>
      <w:lvlText w:val="%1、"/>
      <w:lvlJc w:val="left"/>
      <w:pPr>
        <w:ind w:left="420" w:leftChars="0" w:firstLine="0" w:firstLineChars="0"/>
      </w:pPr>
    </w:lvl>
  </w:abstractNum>
  <w:abstractNum w:abstractNumId="4">
    <w:nsid w:val="EF0890F6"/>
    <w:multiLevelType w:val="singleLevel"/>
    <w:tmpl w:val="EF0890F6"/>
    <w:lvl w:ilvl="0" w:tentative="0">
      <w:start w:val="1"/>
      <w:numFmt w:val="decimal"/>
      <w:lvlText w:val="%1."/>
      <w:lvlJc w:val="left"/>
      <w:pPr>
        <w:tabs>
          <w:tab w:val="left" w:pos="312"/>
        </w:tabs>
      </w:pPr>
    </w:lvl>
  </w:abstractNum>
  <w:abstractNum w:abstractNumId="5">
    <w:nsid w:val="FC023B9A"/>
    <w:multiLevelType w:val="singleLevel"/>
    <w:tmpl w:val="FC023B9A"/>
    <w:lvl w:ilvl="0" w:tentative="0">
      <w:start w:val="1"/>
      <w:numFmt w:val="decimal"/>
      <w:lvlText w:val="%1."/>
      <w:lvlJc w:val="left"/>
      <w:pPr>
        <w:tabs>
          <w:tab w:val="left" w:pos="312"/>
        </w:tabs>
      </w:pPr>
    </w:lvl>
  </w:abstractNum>
  <w:abstractNum w:abstractNumId="6">
    <w:nsid w:val="00000000"/>
    <w:multiLevelType w:val="singleLevel"/>
    <w:tmpl w:val="00000000"/>
    <w:lvl w:ilvl="0" w:tentative="0">
      <w:start w:val="501"/>
      <w:numFmt w:val="decimal"/>
      <w:pStyle w:val="26"/>
      <w:lvlText w:val="%1节"/>
      <w:lvlJc w:val="left"/>
      <w:pPr>
        <w:tabs>
          <w:tab w:val="left" w:pos="1005"/>
        </w:tabs>
        <w:ind w:left="1005" w:hanging="1005"/>
      </w:pPr>
      <w:rPr>
        <w:rFonts w:hint="eastAsia"/>
      </w:rPr>
    </w:lvl>
  </w:abstractNum>
  <w:abstractNum w:abstractNumId="7">
    <w:nsid w:val="00000001"/>
    <w:multiLevelType w:val="multilevel"/>
    <w:tmpl w:val="00000001"/>
    <w:lvl w:ilvl="0" w:tentative="0">
      <w:start w:val="1"/>
      <w:numFmt w:val="decimal"/>
      <w:pStyle w:val="86"/>
      <w:lvlText w:val="（%1）"/>
      <w:lvlJc w:val="left"/>
      <w:pPr>
        <w:tabs>
          <w:tab w:val="left" w:pos="1560"/>
        </w:tabs>
        <w:ind w:left="1560" w:hanging="720"/>
      </w:pPr>
      <w:rPr>
        <w:rFonts w:hint="default"/>
      </w:rPr>
    </w:lvl>
    <w:lvl w:ilvl="1" w:tentative="0">
      <w:start w:val="1"/>
      <w:numFmt w:val="lowerLetter"/>
      <w:lvlText w:val="%2)"/>
      <w:lvlJc w:val="left"/>
      <w:pPr>
        <w:tabs>
          <w:tab w:val="left" w:pos="1680"/>
        </w:tabs>
        <w:ind w:left="1680" w:hanging="420"/>
      </w:pPr>
    </w:lvl>
    <w:lvl w:ilvl="2" w:tentative="0">
      <w:start w:val="1"/>
      <w:numFmt w:val="lowerRoman"/>
      <w:lvlText w:val="%3."/>
      <w:lvlJc w:val="right"/>
      <w:pPr>
        <w:tabs>
          <w:tab w:val="left" w:pos="2100"/>
        </w:tabs>
        <w:ind w:left="2100" w:hanging="420"/>
      </w:pPr>
    </w:lvl>
    <w:lvl w:ilvl="3" w:tentative="0">
      <w:start w:val="1"/>
      <w:numFmt w:val="decimal"/>
      <w:lvlText w:val="%4."/>
      <w:lvlJc w:val="left"/>
      <w:pPr>
        <w:tabs>
          <w:tab w:val="left" w:pos="2520"/>
        </w:tabs>
        <w:ind w:left="2520" w:hanging="420"/>
      </w:pPr>
    </w:lvl>
    <w:lvl w:ilvl="4" w:tentative="0">
      <w:start w:val="1"/>
      <w:numFmt w:val="lowerLetter"/>
      <w:lvlText w:val="%5)"/>
      <w:lvlJc w:val="left"/>
      <w:pPr>
        <w:tabs>
          <w:tab w:val="left" w:pos="2940"/>
        </w:tabs>
        <w:ind w:left="2940" w:hanging="420"/>
      </w:pPr>
    </w:lvl>
    <w:lvl w:ilvl="5" w:tentative="0">
      <w:start w:val="1"/>
      <w:numFmt w:val="lowerRoman"/>
      <w:lvlText w:val="%6."/>
      <w:lvlJc w:val="right"/>
      <w:pPr>
        <w:tabs>
          <w:tab w:val="left" w:pos="3360"/>
        </w:tabs>
        <w:ind w:left="3360" w:hanging="420"/>
      </w:pPr>
    </w:lvl>
    <w:lvl w:ilvl="6" w:tentative="0">
      <w:start w:val="1"/>
      <w:numFmt w:val="decimal"/>
      <w:lvlText w:val="%7."/>
      <w:lvlJc w:val="left"/>
      <w:pPr>
        <w:tabs>
          <w:tab w:val="left" w:pos="3780"/>
        </w:tabs>
        <w:ind w:left="3780" w:hanging="420"/>
      </w:pPr>
    </w:lvl>
    <w:lvl w:ilvl="7" w:tentative="0">
      <w:start w:val="1"/>
      <w:numFmt w:val="lowerLetter"/>
      <w:lvlText w:val="%8)"/>
      <w:lvlJc w:val="left"/>
      <w:pPr>
        <w:tabs>
          <w:tab w:val="left" w:pos="4200"/>
        </w:tabs>
        <w:ind w:left="4200" w:hanging="420"/>
      </w:pPr>
    </w:lvl>
    <w:lvl w:ilvl="8" w:tentative="0">
      <w:start w:val="1"/>
      <w:numFmt w:val="lowerRoman"/>
      <w:lvlText w:val="%9."/>
      <w:lvlJc w:val="right"/>
      <w:pPr>
        <w:tabs>
          <w:tab w:val="left" w:pos="4620"/>
        </w:tabs>
        <w:ind w:left="4620" w:hanging="420"/>
      </w:pPr>
    </w:lvl>
  </w:abstractNum>
  <w:abstractNum w:abstractNumId="8">
    <w:nsid w:val="00000002"/>
    <w:multiLevelType w:val="singleLevel"/>
    <w:tmpl w:val="00000002"/>
    <w:lvl w:ilvl="0" w:tentative="0">
      <w:start w:val="1"/>
      <w:numFmt w:val="upperLetter"/>
      <w:pStyle w:val="3"/>
      <w:lvlText w:val="%1、"/>
      <w:lvlJc w:val="left"/>
      <w:pPr>
        <w:tabs>
          <w:tab w:val="left" w:pos="960"/>
        </w:tabs>
        <w:ind w:left="960" w:hanging="324"/>
      </w:pPr>
      <w:rPr>
        <w:rFonts w:hint="eastAsia"/>
      </w:rPr>
    </w:lvl>
  </w:abstractNum>
  <w:abstractNum w:abstractNumId="9">
    <w:nsid w:val="00000003"/>
    <w:multiLevelType w:val="singleLevel"/>
    <w:tmpl w:val="00000003"/>
    <w:lvl w:ilvl="0" w:tentative="0">
      <w:start w:val="1"/>
      <w:numFmt w:val="upperLetter"/>
      <w:pStyle w:val="2"/>
      <w:lvlText w:val="%1．"/>
      <w:lvlJc w:val="left"/>
      <w:pPr>
        <w:tabs>
          <w:tab w:val="left" w:pos="324"/>
        </w:tabs>
        <w:ind w:left="4524" w:hanging="324"/>
      </w:pPr>
      <w:rPr>
        <w:rFonts w:hint="eastAsia"/>
      </w:rPr>
    </w:lvl>
  </w:abstractNum>
  <w:abstractNum w:abstractNumId="10">
    <w:nsid w:val="00000004"/>
    <w:multiLevelType w:val="singleLevel"/>
    <w:tmpl w:val="00000004"/>
    <w:lvl w:ilvl="0" w:tentative="0">
      <w:start w:val="1"/>
      <w:numFmt w:val="upperLetter"/>
      <w:pStyle w:val="4"/>
      <w:lvlText w:val="%1、"/>
      <w:lvlJc w:val="left"/>
      <w:pPr>
        <w:tabs>
          <w:tab w:val="left" w:pos="960"/>
        </w:tabs>
        <w:ind w:left="960" w:hanging="324"/>
      </w:pPr>
      <w:rPr>
        <w:rFonts w:hint="eastAsia"/>
      </w:rPr>
    </w:lvl>
  </w:abstractNum>
  <w:abstractNum w:abstractNumId="11">
    <w:nsid w:val="00000005"/>
    <w:multiLevelType w:val="multilevel"/>
    <w:tmpl w:val="00000005"/>
    <w:lvl w:ilvl="0" w:tentative="0">
      <w:start w:val="2"/>
      <w:numFmt w:val="upperLetter"/>
      <w:pStyle w:val="5"/>
      <w:lvlText w:val="%1、"/>
      <w:lvlJc w:val="left"/>
      <w:pPr>
        <w:tabs>
          <w:tab w:val="left" w:pos="720"/>
        </w:tabs>
        <w:ind w:left="720" w:hanging="7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2">
    <w:nsid w:val="00000008"/>
    <w:multiLevelType w:val="singleLevel"/>
    <w:tmpl w:val="00000008"/>
    <w:lvl w:ilvl="0" w:tentative="0">
      <w:start w:val="2"/>
      <w:numFmt w:val="decimal"/>
      <w:suff w:val="nothing"/>
      <w:lvlText w:val="%1、"/>
      <w:lvlJc w:val="left"/>
    </w:lvl>
  </w:abstractNum>
  <w:abstractNum w:abstractNumId="13">
    <w:nsid w:val="0090D096"/>
    <w:multiLevelType w:val="singleLevel"/>
    <w:tmpl w:val="0090D096"/>
    <w:lvl w:ilvl="0" w:tentative="0">
      <w:start w:val="5"/>
      <w:numFmt w:val="chineseCounting"/>
      <w:suff w:val="nothing"/>
      <w:lvlText w:val="%1、"/>
      <w:lvlJc w:val="left"/>
      <w:rPr>
        <w:rFonts w:hint="eastAsia"/>
      </w:rPr>
    </w:lvl>
  </w:abstractNum>
  <w:abstractNum w:abstractNumId="14">
    <w:nsid w:val="2370C671"/>
    <w:multiLevelType w:val="singleLevel"/>
    <w:tmpl w:val="2370C671"/>
    <w:lvl w:ilvl="0" w:tentative="0">
      <w:start w:val="4"/>
      <w:numFmt w:val="chineseCounting"/>
      <w:suff w:val="space"/>
      <w:lvlText w:val="第%1章"/>
      <w:lvlJc w:val="left"/>
      <w:rPr>
        <w:rFonts w:hint="eastAsia"/>
      </w:rPr>
    </w:lvl>
  </w:abstractNum>
  <w:abstractNum w:abstractNumId="15">
    <w:nsid w:val="32C658B2"/>
    <w:multiLevelType w:val="singleLevel"/>
    <w:tmpl w:val="32C658B2"/>
    <w:lvl w:ilvl="0" w:tentative="0">
      <w:start w:val="1"/>
      <w:numFmt w:val="decimal"/>
      <w:lvlText w:val="%1."/>
      <w:lvlJc w:val="left"/>
      <w:pPr>
        <w:tabs>
          <w:tab w:val="left" w:pos="312"/>
        </w:tabs>
      </w:pPr>
    </w:lvl>
  </w:abstractNum>
  <w:abstractNum w:abstractNumId="16">
    <w:nsid w:val="55D1CF5C"/>
    <w:multiLevelType w:val="singleLevel"/>
    <w:tmpl w:val="55D1CF5C"/>
    <w:lvl w:ilvl="0" w:tentative="0">
      <w:start w:val="1"/>
      <w:numFmt w:val="decimal"/>
      <w:lvlText w:val="%1."/>
      <w:lvlJc w:val="left"/>
      <w:pPr>
        <w:tabs>
          <w:tab w:val="left" w:pos="312"/>
        </w:tabs>
      </w:pPr>
    </w:lvl>
  </w:abstractNum>
  <w:abstractNum w:abstractNumId="17">
    <w:nsid w:val="757D4358"/>
    <w:multiLevelType w:val="singleLevel"/>
    <w:tmpl w:val="757D4358"/>
    <w:lvl w:ilvl="0" w:tentative="0">
      <w:start w:val="1"/>
      <w:numFmt w:val="decimal"/>
      <w:lvlText w:val="%1."/>
      <w:lvlJc w:val="left"/>
      <w:pPr>
        <w:tabs>
          <w:tab w:val="left" w:pos="312"/>
        </w:tabs>
      </w:pPr>
    </w:lvl>
  </w:abstractNum>
  <w:num w:numId="1">
    <w:abstractNumId w:val="9"/>
  </w:num>
  <w:num w:numId="2">
    <w:abstractNumId w:val="8"/>
  </w:num>
  <w:num w:numId="3">
    <w:abstractNumId w:val="10"/>
  </w:num>
  <w:num w:numId="4">
    <w:abstractNumId w:val="11"/>
  </w:num>
  <w:num w:numId="5">
    <w:abstractNumId w:val="6"/>
  </w:num>
  <w:num w:numId="6">
    <w:abstractNumId w:val="7"/>
  </w:num>
  <w:num w:numId="7">
    <w:abstractNumId w:val="0"/>
  </w:num>
  <w:num w:numId="8">
    <w:abstractNumId w:val="14"/>
  </w:num>
  <w:num w:numId="9">
    <w:abstractNumId w:val="5"/>
  </w:num>
  <w:num w:numId="10">
    <w:abstractNumId w:val="15"/>
  </w:num>
  <w:num w:numId="11">
    <w:abstractNumId w:val="16"/>
  </w:num>
  <w:num w:numId="12">
    <w:abstractNumId w:val="17"/>
  </w:num>
  <w:num w:numId="13">
    <w:abstractNumId w:val="4"/>
  </w:num>
  <w:num w:numId="14">
    <w:abstractNumId w:val="2"/>
  </w:num>
  <w:num w:numId="15">
    <w:abstractNumId w:val="1"/>
  </w:num>
  <w:num w:numId="16">
    <w:abstractNumId w:val="13"/>
  </w:num>
  <w:num w:numId="17">
    <w:abstractNumId w:val="3"/>
  </w:num>
  <w:num w:numId="1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3"/>
  <w:bordersDoNotSurroundHeader w:val="0"/>
  <w:bordersDoNotSurroundFooter w:val="0"/>
  <w:documentProtection w:enforcement="0"/>
  <w:defaultTabStop w:val="420"/>
  <w:drawingGridHorizontalSpacing w:val="210"/>
  <w:drawingGridVerticalSpacing w:val="159"/>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UxNGFmYWU2ZDcxYmRjNzZmOTYxZWY3MzJiN2M4MWUifQ=="/>
  </w:docVars>
  <w:rsids>
    <w:rsidRoot w:val="00172A27"/>
    <w:rsid w:val="00017F87"/>
    <w:rsid w:val="003550AC"/>
    <w:rsid w:val="003828F7"/>
    <w:rsid w:val="008F05D9"/>
    <w:rsid w:val="00B73A45"/>
    <w:rsid w:val="00B76D79"/>
    <w:rsid w:val="00E951FB"/>
    <w:rsid w:val="01086C64"/>
    <w:rsid w:val="010A478A"/>
    <w:rsid w:val="01253372"/>
    <w:rsid w:val="013D4B60"/>
    <w:rsid w:val="013F4B28"/>
    <w:rsid w:val="014D4677"/>
    <w:rsid w:val="015772A4"/>
    <w:rsid w:val="018B2BFB"/>
    <w:rsid w:val="01993D60"/>
    <w:rsid w:val="01AB0F5B"/>
    <w:rsid w:val="01CB720C"/>
    <w:rsid w:val="01D37272"/>
    <w:rsid w:val="01F64D0F"/>
    <w:rsid w:val="02111B48"/>
    <w:rsid w:val="02240417"/>
    <w:rsid w:val="02696AD2"/>
    <w:rsid w:val="028E32E6"/>
    <w:rsid w:val="03236A0A"/>
    <w:rsid w:val="0339728B"/>
    <w:rsid w:val="038C592B"/>
    <w:rsid w:val="03B60BF9"/>
    <w:rsid w:val="03E76528"/>
    <w:rsid w:val="03FA1665"/>
    <w:rsid w:val="04137DFA"/>
    <w:rsid w:val="04400B08"/>
    <w:rsid w:val="046057CC"/>
    <w:rsid w:val="04D7151E"/>
    <w:rsid w:val="05077B7F"/>
    <w:rsid w:val="0530224E"/>
    <w:rsid w:val="055B3806"/>
    <w:rsid w:val="05976809"/>
    <w:rsid w:val="05CF7D50"/>
    <w:rsid w:val="05DD2267"/>
    <w:rsid w:val="05FE717A"/>
    <w:rsid w:val="06066E48"/>
    <w:rsid w:val="062762E3"/>
    <w:rsid w:val="06514C09"/>
    <w:rsid w:val="06536E19"/>
    <w:rsid w:val="066E7569"/>
    <w:rsid w:val="06791BE5"/>
    <w:rsid w:val="068612A4"/>
    <w:rsid w:val="06A77B06"/>
    <w:rsid w:val="06C451CB"/>
    <w:rsid w:val="06C640F1"/>
    <w:rsid w:val="06F64AEE"/>
    <w:rsid w:val="06F87E64"/>
    <w:rsid w:val="070C732D"/>
    <w:rsid w:val="071719AF"/>
    <w:rsid w:val="07407660"/>
    <w:rsid w:val="07416A2C"/>
    <w:rsid w:val="074472B2"/>
    <w:rsid w:val="078D7EC3"/>
    <w:rsid w:val="07D57174"/>
    <w:rsid w:val="087B5F6E"/>
    <w:rsid w:val="087C03D9"/>
    <w:rsid w:val="08B130B1"/>
    <w:rsid w:val="08E7715F"/>
    <w:rsid w:val="09102B5A"/>
    <w:rsid w:val="094C15FE"/>
    <w:rsid w:val="09746495"/>
    <w:rsid w:val="09AC5484"/>
    <w:rsid w:val="0A1B5312"/>
    <w:rsid w:val="0A2978EC"/>
    <w:rsid w:val="0A747570"/>
    <w:rsid w:val="0A9867C9"/>
    <w:rsid w:val="0B1F7084"/>
    <w:rsid w:val="0B2B5191"/>
    <w:rsid w:val="0B422D73"/>
    <w:rsid w:val="0B554854"/>
    <w:rsid w:val="0B6220B0"/>
    <w:rsid w:val="0B756CA4"/>
    <w:rsid w:val="0B7A347B"/>
    <w:rsid w:val="0BC824E0"/>
    <w:rsid w:val="0C452B1A"/>
    <w:rsid w:val="0C4F1BEB"/>
    <w:rsid w:val="0C6C036D"/>
    <w:rsid w:val="0C965422"/>
    <w:rsid w:val="0CBD4F84"/>
    <w:rsid w:val="0CFF50CF"/>
    <w:rsid w:val="0D674D12"/>
    <w:rsid w:val="0D8B0A01"/>
    <w:rsid w:val="0D904269"/>
    <w:rsid w:val="0DBA7538"/>
    <w:rsid w:val="0DC67D96"/>
    <w:rsid w:val="0DCB5E6B"/>
    <w:rsid w:val="0DCE4AEA"/>
    <w:rsid w:val="0E057AA3"/>
    <w:rsid w:val="0E176739"/>
    <w:rsid w:val="0E342E47"/>
    <w:rsid w:val="0E3746E5"/>
    <w:rsid w:val="0E523904"/>
    <w:rsid w:val="0E912047"/>
    <w:rsid w:val="0EEC3721"/>
    <w:rsid w:val="0EF3685E"/>
    <w:rsid w:val="0F0F5662"/>
    <w:rsid w:val="0F424977"/>
    <w:rsid w:val="0F681681"/>
    <w:rsid w:val="0F7200CA"/>
    <w:rsid w:val="0F9C11AC"/>
    <w:rsid w:val="0F9D2C6D"/>
    <w:rsid w:val="0FE4264A"/>
    <w:rsid w:val="0FF40EE1"/>
    <w:rsid w:val="0FFA6FF1"/>
    <w:rsid w:val="0FFF1232"/>
    <w:rsid w:val="104D6442"/>
    <w:rsid w:val="105B24BD"/>
    <w:rsid w:val="10871A1E"/>
    <w:rsid w:val="10AF4A06"/>
    <w:rsid w:val="10D73F5D"/>
    <w:rsid w:val="110C00AB"/>
    <w:rsid w:val="11765524"/>
    <w:rsid w:val="11C91AF8"/>
    <w:rsid w:val="11D861DF"/>
    <w:rsid w:val="121E232E"/>
    <w:rsid w:val="122136E2"/>
    <w:rsid w:val="12311F7A"/>
    <w:rsid w:val="12521AED"/>
    <w:rsid w:val="1261355C"/>
    <w:rsid w:val="128C29CB"/>
    <w:rsid w:val="12966798"/>
    <w:rsid w:val="12AB242A"/>
    <w:rsid w:val="12DA506C"/>
    <w:rsid w:val="12E56E05"/>
    <w:rsid w:val="12F523FC"/>
    <w:rsid w:val="132A4818"/>
    <w:rsid w:val="1331204B"/>
    <w:rsid w:val="13422116"/>
    <w:rsid w:val="13620456"/>
    <w:rsid w:val="13623FB2"/>
    <w:rsid w:val="136A10B9"/>
    <w:rsid w:val="1376180B"/>
    <w:rsid w:val="14180B15"/>
    <w:rsid w:val="143040B0"/>
    <w:rsid w:val="146401FE"/>
    <w:rsid w:val="14706713"/>
    <w:rsid w:val="14726397"/>
    <w:rsid w:val="14885C9A"/>
    <w:rsid w:val="14A8633C"/>
    <w:rsid w:val="14FD48D3"/>
    <w:rsid w:val="14FF614A"/>
    <w:rsid w:val="150B421B"/>
    <w:rsid w:val="155E3DAC"/>
    <w:rsid w:val="155E69FB"/>
    <w:rsid w:val="159B2CC1"/>
    <w:rsid w:val="15CA5B4B"/>
    <w:rsid w:val="15D4110D"/>
    <w:rsid w:val="16114E4F"/>
    <w:rsid w:val="161D1B33"/>
    <w:rsid w:val="165F6ECF"/>
    <w:rsid w:val="16AC7F60"/>
    <w:rsid w:val="16B7206D"/>
    <w:rsid w:val="16BF171B"/>
    <w:rsid w:val="16D03928"/>
    <w:rsid w:val="16D45DE4"/>
    <w:rsid w:val="16FA2753"/>
    <w:rsid w:val="171C4DC0"/>
    <w:rsid w:val="17224BAF"/>
    <w:rsid w:val="17776329"/>
    <w:rsid w:val="17910D8D"/>
    <w:rsid w:val="179D1A5D"/>
    <w:rsid w:val="18292D6F"/>
    <w:rsid w:val="18D05E62"/>
    <w:rsid w:val="18FA4C8D"/>
    <w:rsid w:val="18FE2DF5"/>
    <w:rsid w:val="19291BDD"/>
    <w:rsid w:val="192D0BBE"/>
    <w:rsid w:val="1A2B1C64"/>
    <w:rsid w:val="1A541902"/>
    <w:rsid w:val="1A5E7D9C"/>
    <w:rsid w:val="1A7B2A49"/>
    <w:rsid w:val="1A941AD7"/>
    <w:rsid w:val="1AB0689F"/>
    <w:rsid w:val="1ABF1CEA"/>
    <w:rsid w:val="1AD01845"/>
    <w:rsid w:val="1AE654C9"/>
    <w:rsid w:val="1B9C0A52"/>
    <w:rsid w:val="1C365BA0"/>
    <w:rsid w:val="1C454471"/>
    <w:rsid w:val="1C733ECC"/>
    <w:rsid w:val="1CB174D9"/>
    <w:rsid w:val="1D187DD7"/>
    <w:rsid w:val="1D1A5208"/>
    <w:rsid w:val="1D7E5E8C"/>
    <w:rsid w:val="1D864D41"/>
    <w:rsid w:val="1DB4365C"/>
    <w:rsid w:val="1E0F4D36"/>
    <w:rsid w:val="1E193E07"/>
    <w:rsid w:val="1E923FCD"/>
    <w:rsid w:val="1ED609F7"/>
    <w:rsid w:val="1EF108E0"/>
    <w:rsid w:val="1F136AA8"/>
    <w:rsid w:val="1F262338"/>
    <w:rsid w:val="1F6D61B8"/>
    <w:rsid w:val="1F7532BF"/>
    <w:rsid w:val="1F7D3F22"/>
    <w:rsid w:val="1F8A2775"/>
    <w:rsid w:val="20014799"/>
    <w:rsid w:val="20427645"/>
    <w:rsid w:val="204D5FEA"/>
    <w:rsid w:val="20517888"/>
    <w:rsid w:val="207D242B"/>
    <w:rsid w:val="20981796"/>
    <w:rsid w:val="20A72714"/>
    <w:rsid w:val="20B47E17"/>
    <w:rsid w:val="20C75D9C"/>
    <w:rsid w:val="2116462E"/>
    <w:rsid w:val="212E1977"/>
    <w:rsid w:val="213D7E0C"/>
    <w:rsid w:val="21494A03"/>
    <w:rsid w:val="218B501C"/>
    <w:rsid w:val="22353CA2"/>
    <w:rsid w:val="22447AB7"/>
    <w:rsid w:val="2273247E"/>
    <w:rsid w:val="228D0920"/>
    <w:rsid w:val="22C5630B"/>
    <w:rsid w:val="23037246"/>
    <w:rsid w:val="23040BE2"/>
    <w:rsid w:val="237057C5"/>
    <w:rsid w:val="23A233FC"/>
    <w:rsid w:val="23C12F77"/>
    <w:rsid w:val="23C44BAF"/>
    <w:rsid w:val="23F24DBD"/>
    <w:rsid w:val="246B5982"/>
    <w:rsid w:val="24C0322E"/>
    <w:rsid w:val="24CF57D5"/>
    <w:rsid w:val="24D46CDA"/>
    <w:rsid w:val="24FA7797"/>
    <w:rsid w:val="24FB6014"/>
    <w:rsid w:val="255F2A47"/>
    <w:rsid w:val="25B82157"/>
    <w:rsid w:val="25C96113"/>
    <w:rsid w:val="25E167D1"/>
    <w:rsid w:val="260D24A3"/>
    <w:rsid w:val="261F3F85"/>
    <w:rsid w:val="267A5E88"/>
    <w:rsid w:val="26804A23"/>
    <w:rsid w:val="26B7655A"/>
    <w:rsid w:val="26B96F72"/>
    <w:rsid w:val="26E921AF"/>
    <w:rsid w:val="26EC030B"/>
    <w:rsid w:val="26F85A85"/>
    <w:rsid w:val="27147861"/>
    <w:rsid w:val="273829FE"/>
    <w:rsid w:val="274E2D73"/>
    <w:rsid w:val="275D221F"/>
    <w:rsid w:val="27A535C8"/>
    <w:rsid w:val="27B50439"/>
    <w:rsid w:val="27C44DE4"/>
    <w:rsid w:val="27DC212D"/>
    <w:rsid w:val="28090A48"/>
    <w:rsid w:val="281C4C20"/>
    <w:rsid w:val="28635BF1"/>
    <w:rsid w:val="287F0D0A"/>
    <w:rsid w:val="28935663"/>
    <w:rsid w:val="28EF67CA"/>
    <w:rsid w:val="29365F81"/>
    <w:rsid w:val="2952510D"/>
    <w:rsid w:val="2953641F"/>
    <w:rsid w:val="29891E41"/>
    <w:rsid w:val="29936842"/>
    <w:rsid w:val="29C43714"/>
    <w:rsid w:val="29D13B2A"/>
    <w:rsid w:val="29D37560"/>
    <w:rsid w:val="29F714A0"/>
    <w:rsid w:val="2A063491"/>
    <w:rsid w:val="2A155EC2"/>
    <w:rsid w:val="2A406161"/>
    <w:rsid w:val="2A790107"/>
    <w:rsid w:val="2A801885"/>
    <w:rsid w:val="2A9A62D0"/>
    <w:rsid w:val="2AFC6BF4"/>
    <w:rsid w:val="2B3B58CE"/>
    <w:rsid w:val="2B610D51"/>
    <w:rsid w:val="2B7D59D5"/>
    <w:rsid w:val="2B8A5870"/>
    <w:rsid w:val="2B8C59AD"/>
    <w:rsid w:val="2BAA0794"/>
    <w:rsid w:val="2BFF58A1"/>
    <w:rsid w:val="2C3A67D4"/>
    <w:rsid w:val="2C5D5807"/>
    <w:rsid w:val="2C936DDA"/>
    <w:rsid w:val="2CA432DE"/>
    <w:rsid w:val="2CBA6005"/>
    <w:rsid w:val="2CBB76A2"/>
    <w:rsid w:val="2CEE645F"/>
    <w:rsid w:val="2D1063D5"/>
    <w:rsid w:val="2D9E4BCE"/>
    <w:rsid w:val="2DB651CE"/>
    <w:rsid w:val="2DDD09AD"/>
    <w:rsid w:val="2E4D70A5"/>
    <w:rsid w:val="2E555DDB"/>
    <w:rsid w:val="2E5E283C"/>
    <w:rsid w:val="2ED40002"/>
    <w:rsid w:val="2EE00126"/>
    <w:rsid w:val="2F106B60"/>
    <w:rsid w:val="2FAC4236"/>
    <w:rsid w:val="300F0BC6"/>
    <w:rsid w:val="300F6E18"/>
    <w:rsid w:val="304F2CF1"/>
    <w:rsid w:val="30AF5AC3"/>
    <w:rsid w:val="30C1096A"/>
    <w:rsid w:val="30DD6F16"/>
    <w:rsid w:val="30E262DA"/>
    <w:rsid w:val="30F06C49"/>
    <w:rsid w:val="313E0AA9"/>
    <w:rsid w:val="31592805"/>
    <w:rsid w:val="316B2774"/>
    <w:rsid w:val="31AF2660"/>
    <w:rsid w:val="31CF5FF3"/>
    <w:rsid w:val="31D64091"/>
    <w:rsid w:val="328B4E7C"/>
    <w:rsid w:val="3293788C"/>
    <w:rsid w:val="32A221C5"/>
    <w:rsid w:val="32C959A4"/>
    <w:rsid w:val="32DF3241"/>
    <w:rsid w:val="32FE490C"/>
    <w:rsid w:val="332C674F"/>
    <w:rsid w:val="334465AA"/>
    <w:rsid w:val="334D3EDF"/>
    <w:rsid w:val="336F654B"/>
    <w:rsid w:val="3375670F"/>
    <w:rsid w:val="338027AA"/>
    <w:rsid w:val="341113B0"/>
    <w:rsid w:val="34442671"/>
    <w:rsid w:val="3496530B"/>
    <w:rsid w:val="34FC07C4"/>
    <w:rsid w:val="35D53E0E"/>
    <w:rsid w:val="35D817F8"/>
    <w:rsid w:val="35FE3BB6"/>
    <w:rsid w:val="361A6F25"/>
    <w:rsid w:val="36633A19"/>
    <w:rsid w:val="366928B3"/>
    <w:rsid w:val="368E4CCF"/>
    <w:rsid w:val="369D794B"/>
    <w:rsid w:val="36AE4022"/>
    <w:rsid w:val="36BB1AA7"/>
    <w:rsid w:val="36E87048"/>
    <w:rsid w:val="37691503"/>
    <w:rsid w:val="376C68FE"/>
    <w:rsid w:val="379F12FD"/>
    <w:rsid w:val="37C16C4A"/>
    <w:rsid w:val="37EB1F18"/>
    <w:rsid w:val="381B1119"/>
    <w:rsid w:val="38390ED6"/>
    <w:rsid w:val="38401466"/>
    <w:rsid w:val="38683569"/>
    <w:rsid w:val="392C27E9"/>
    <w:rsid w:val="39333B77"/>
    <w:rsid w:val="3965005A"/>
    <w:rsid w:val="39737BE3"/>
    <w:rsid w:val="39810D86"/>
    <w:rsid w:val="39A9208B"/>
    <w:rsid w:val="39C40CDA"/>
    <w:rsid w:val="39DD3AE3"/>
    <w:rsid w:val="39F5734E"/>
    <w:rsid w:val="3A055959"/>
    <w:rsid w:val="3A2A31CC"/>
    <w:rsid w:val="3A856A0F"/>
    <w:rsid w:val="3AA16523"/>
    <w:rsid w:val="3B196D9D"/>
    <w:rsid w:val="3B620744"/>
    <w:rsid w:val="3B81506E"/>
    <w:rsid w:val="3BDA652C"/>
    <w:rsid w:val="3BE623BC"/>
    <w:rsid w:val="3BFD046C"/>
    <w:rsid w:val="3C154BC4"/>
    <w:rsid w:val="3C597D99"/>
    <w:rsid w:val="3C8257B3"/>
    <w:rsid w:val="3C853846"/>
    <w:rsid w:val="3C857FF1"/>
    <w:rsid w:val="3C860462"/>
    <w:rsid w:val="3CAB4D29"/>
    <w:rsid w:val="3CAF79B9"/>
    <w:rsid w:val="3CC13B0E"/>
    <w:rsid w:val="3D17424B"/>
    <w:rsid w:val="3D864BBD"/>
    <w:rsid w:val="3D9A37AD"/>
    <w:rsid w:val="3D9B1CEB"/>
    <w:rsid w:val="3DBE6FB6"/>
    <w:rsid w:val="3DCE20C0"/>
    <w:rsid w:val="3DE73A23"/>
    <w:rsid w:val="3E375EB7"/>
    <w:rsid w:val="3E647F8A"/>
    <w:rsid w:val="3EE01F2E"/>
    <w:rsid w:val="3EE15E23"/>
    <w:rsid w:val="3EE85404"/>
    <w:rsid w:val="3F5E6ADF"/>
    <w:rsid w:val="3F7B6955"/>
    <w:rsid w:val="3FAE056F"/>
    <w:rsid w:val="3FD213B8"/>
    <w:rsid w:val="3FEA6D3A"/>
    <w:rsid w:val="3FEB5E51"/>
    <w:rsid w:val="3FED5056"/>
    <w:rsid w:val="40883117"/>
    <w:rsid w:val="40ED01DD"/>
    <w:rsid w:val="40FD4609"/>
    <w:rsid w:val="41076015"/>
    <w:rsid w:val="41390199"/>
    <w:rsid w:val="415B010F"/>
    <w:rsid w:val="41913B31"/>
    <w:rsid w:val="41C01307"/>
    <w:rsid w:val="420200E2"/>
    <w:rsid w:val="420F7875"/>
    <w:rsid w:val="42275059"/>
    <w:rsid w:val="426052B1"/>
    <w:rsid w:val="42813BA5"/>
    <w:rsid w:val="42B31885"/>
    <w:rsid w:val="42B70C60"/>
    <w:rsid w:val="42C10446"/>
    <w:rsid w:val="43100A85"/>
    <w:rsid w:val="43124F59"/>
    <w:rsid w:val="432804C5"/>
    <w:rsid w:val="4337679B"/>
    <w:rsid w:val="433F136A"/>
    <w:rsid w:val="43943B23"/>
    <w:rsid w:val="43D84B60"/>
    <w:rsid w:val="446E021C"/>
    <w:rsid w:val="44F02BE4"/>
    <w:rsid w:val="452C2CDF"/>
    <w:rsid w:val="452D1DC2"/>
    <w:rsid w:val="455A520F"/>
    <w:rsid w:val="45637C6F"/>
    <w:rsid w:val="45FA59BE"/>
    <w:rsid w:val="460F5CE8"/>
    <w:rsid w:val="46162603"/>
    <w:rsid w:val="4646138E"/>
    <w:rsid w:val="46737CA9"/>
    <w:rsid w:val="46A502C0"/>
    <w:rsid w:val="46B53E1D"/>
    <w:rsid w:val="46B81B60"/>
    <w:rsid w:val="47446077"/>
    <w:rsid w:val="47694CAD"/>
    <w:rsid w:val="477A0BC3"/>
    <w:rsid w:val="4793717B"/>
    <w:rsid w:val="47A345BE"/>
    <w:rsid w:val="47BC2D36"/>
    <w:rsid w:val="47D74267"/>
    <w:rsid w:val="483E6094"/>
    <w:rsid w:val="484111F0"/>
    <w:rsid w:val="48422CAA"/>
    <w:rsid w:val="484D7D57"/>
    <w:rsid w:val="48A57EC2"/>
    <w:rsid w:val="48E34A8F"/>
    <w:rsid w:val="48FD385A"/>
    <w:rsid w:val="48FF4863"/>
    <w:rsid w:val="49470F79"/>
    <w:rsid w:val="49496A9F"/>
    <w:rsid w:val="49620A21"/>
    <w:rsid w:val="49B807D2"/>
    <w:rsid w:val="49CB179D"/>
    <w:rsid w:val="4A282B58"/>
    <w:rsid w:val="4A325785"/>
    <w:rsid w:val="4AA35E39"/>
    <w:rsid w:val="4ACF1226"/>
    <w:rsid w:val="4AD666AF"/>
    <w:rsid w:val="4AEC627C"/>
    <w:rsid w:val="4B4A723A"/>
    <w:rsid w:val="4B906C07"/>
    <w:rsid w:val="4BF82656"/>
    <w:rsid w:val="4C260CF9"/>
    <w:rsid w:val="4C2D4456"/>
    <w:rsid w:val="4C2F01CE"/>
    <w:rsid w:val="4C6216EC"/>
    <w:rsid w:val="4C7715DB"/>
    <w:rsid w:val="4CB61F07"/>
    <w:rsid w:val="4CEF6F2C"/>
    <w:rsid w:val="4CFB0DE2"/>
    <w:rsid w:val="4D0F51E4"/>
    <w:rsid w:val="4D2B4E39"/>
    <w:rsid w:val="4D512143"/>
    <w:rsid w:val="4D537CDA"/>
    <w:rsid w:val="4D64331B"/>
    <w:rsid w:val="4D8207D1"/>
    <w:rsid w:val="4DFC139A"/>
    <w:rsid w:val="4E4B5067"/>
    <w:rsid w:val="4ED91F7B"/>
    <w:rsid w:val="4F055672"/>
    <w:rsid w:val="4F161B19"/>
    <w:rsid w:val="4F1E452A"/>
    <w:rsid w:val="4F2C4E99"/>
    <w:rsid w:val="4F302BDB"/>
    <w:rsid w:val="4F38383D"/>
    <w:rsid w:val="4F416B96"/>
    <w:rsid w:val="4F501116"/>
    <w:rsid w:val="4F564B0B"/>
    <w:rsid w:val="4F7069C0"/>
    <w:rsid w:val="50100316"/>
    <w:rsid w:val="50153B7F"/>
    <w:rsid w:val="50427ED2"/>
    <w:rsid w:val="509E1DC6"/>
    <w:rsid w:val="50B93349"/>
    <w:rsid w:val="51143E36"/>
    <w:rsid w:val="512D5C55"/>
    <w:rsid w:val="5136545E"/>
    <w:rsid w:val="513D15DF"/>
    <w:rsid w:val="515B2312"/>
    <w:rsid w:val="51E35FFB"/>
    <w:rsid w:val="51F964E8"/>
    <w:rsid w:val="52192B63"/>
    <w:rsid w:val="521C7B55"/>
    <w:rsid w:val="52232583"/>
    <w:rsid w:val="52554706"/>
    <w:rsid w:val="52BF286B"/>
    <w:rsid w:val="52D90E94"/>
    <w:rsid w:val="53163654"/>
    <w:rsid w:val="5334607A"/>
    <w:rsid w:val="53A569AB"/>
    <w:rsid w:val="53FF0F4C"/>
    <w:rsid w:val="540B7773"/>
    <w:rsid w:val="54640C31"/>
    <w:rsid w:val="547846DC"/>
    <w:rsid w:val="54DC2EBD"/>
    <w:rsid w:val="54F90042"/>
    <w:rsid w:val="54FC70BB"/>
    <w:rsid w:val="54FD737A"/>
    <w:rsid w:val="55171D5C"/>
    <w:rsid w:val="55284354"/>
    <w:rsid w:val="55286A3E"/>
    <w:rsid w:val="554B73AC"/>
    <w:rsid w:val="556709D9"/>
    <w:rsid w:val="5579200B"/>
    <w:rsid w:val="55C87399"/>
    <w:rsid w:val="55F36710"/>
    <w:rsid w:val="5604091D"/>
    <w:rsid w:val="564E3947"/>
    <w:rsid w:val="56550F9C"/>
    <w:rsid w:val="56582A17"/>
    <w:rsid w:val="56A143BE"/>
    <w:rsid w:val="56B37C4E"/>
    <w:rsid w:val="56BE0ACC"/>
    <w:rsid w:val="56DD6A32"/>
    <w:rsid w:val="56E04EE6"/>
    <w:rsid w:val="56FC36A7"/>
    <w:rsid w:val="572E6CA7"/>
    <w:rsid w:val="5737087F"/>
    <w:rsid w:val="57555489"/>
    <w:rsid w:val="57580F21"/>
    <w:rsid w:val="5794182D"/>
    <w:rsid w:val="57995095"/>
    <w:rsid w:val="57B80B20"/>
    <w:rsid w:val="581F1A3E"/>
    <w:rsid w:val="58550FBC"/>
    <w:rsid w:val="58981BA8"/>
    <w:rsid w:val="58E2319F"/>
    <w:rsid w:val="59B952BF"/>
    <w:rsid w:val="59C77BB1"/>
    <w:rsid w:val="59E25D8A"/>
    <w:rsid w:val="59FD1E9B"/>
    <w:rsid w:val="5A0045B8"/>
    <w:rsid w:val="5A1D5B0A"/>
    <w:rsid w:val="5A1F5D26"/>
    <w:rsid w:val="5A4C0124"/>
    <w:rsid w:val="5A5A4FB0"/>
    <w:rsid w:val="5A847BB1"/>
    <w:rsid w:val="5A9C5F9E"/>
    <w:rsid w:val="5ABC3575"/>
    <w:rsid w:val="5AD7215D"/>
    <w:rsid w:val="5AD740A4"/>
    <w:rsid w:val="5B411CCC"/>
    <w:rsid w:val="5B423BDA"/>
    <w:rsid w:val="5B490B80"/>
    <w:rsid w:val="5B637E94"/>
    <w:rsid w:val="5BAE7FE7"/>
    <w:rsid w:val="5BC112B9"/>
    <w:rsid w:val="5C007491"/>
    <w:rsid w:val="5C3971AB"/>
    <w:rsid w:val="5C82434A"/>
    <w:rsid w:val="5CA70254"/>
    <w:rsid w:val="5CD61853"/>
    <w:rsid w:val="5D047455"/>
    <w:rsid w:val="5D2D075A"/>
    <w:rsid w:val="5DAA7EBA"/>
    <w:rsid w:val="5DE132F2"/>
    <w:rsid w:val="5E257683"/>
    <w:rsid w:val="5E495936"/>
    <w:rsid w:val="5E4B5DB4"/>
    <w:rsid w:val="5E8425FB"/>
    <w:rsid w:val="5E856136"/>
    <w:rsid w:val="5EFE30E2"/>
    <w:rsid w:val="5F053159"/>
    <w:rsid w:val="5F3E2C00"/>
    <w:rsid w:val="5F4E2DAD"/>
    <w:rsid w:val="5FB07420"/>
    <w:rsid w:val="5FDB4125"/>
    <w:rsid w:val="5FFE018B"/>
    <w:rsid w:val="60263D84"/>
    <w:rsid w:val="602C4CF9"/>
    <w:rsid w:val="604A5AD5"/>
    <w:rsid w:val="605207DE"/>
    <w:rsid w:val="60612708"/>
    <w:rsid w:val="60930B64"/>
    <w:rsid w:val="60B53A52"/>
    <w:rsid w:val="60C66201"/>
    <w:rsid w:val="60EA0710"/>
    <w:rsid w:val="612E734B"/>
    <w:rsid w:val="61493688"/>
    <w:rsid w:val="6168173E"/>
    <w:rsid w:val="61AB60F1"/>
    <w:rsid w:val="61D52281"/>
    <w:rsid w:val="61DC274E"/>
    <w:rsid w:val="62246DE6"/>
    <w:rsid w:val="6247406C"/>
    <w:rsid w:val="62546789"/>
    <w:rsid w:val="625E3163"/>
    <w:rsid w:val="6288488F"/>
    <w:rsid w:val="62946B85"/>
    <w:rsid w:val="62AF234F"/>
    <w:rsid w:val="62E73159"/>
    <w:rsid w:val="633D7B3E"/>
    <w:rsid w:val="639641A2"/>
    <w:rsid w:val="63BF5E84"/>
    <w:rsid w:val="63E1404C"/>
    <w:rsid w:val="63F11BF1"/>
    <w:rsid w:val="63F20007"/>
    <w:rsid w:val="63FF2724"/>
    <w:rsid w:val="64300B2F"/>
    <w:rsid w:val="64425CB7"/>
    <w:rsid w:val="6493693E"/>
    <w:rsid w:val="64AD475C"/>
    <w:rsid w:val="64D70FAB"/>
    <w:rsid w:val="64EF7D31"/>
    <w:rsid w:val="650D71B9"/>
    <w:rsid w:val="65365DC2"/>
    <w:rsid w:val="655C6080"/>
    <w:rsid w:val="65801B6E"/>
    <w:rsid w:val="659375C8"/>
    <w:rsid w:val="65B95885"/>
    <w:rsid w:val="65C1269E"/>
    <w:rsid w:val="65E322FD"/>
    <w:rsid w:val="65F43EE8"/>
    <w:rsid w:val="65F566AF"/>
    <w:rsid w:val="6632293D"/>
    <w:rsid w:val="66336FB7"/>
    <w:rsid w:val="66410DD2"/>
    <w:rsid w:val="66C45CD1"/>
    <w:rsid w:val="673D3C8F"/>
    <w:rsid w:val="67713939"/>
    <w:rsid w:val="67746F85"/>
    <w:rsid w:val="677B0CF0"/>
    <w:rsid w:val="677D408C"/>
    <w:rsid w:val="678C4BFA"/>
    <w:rsid w:val="678F7585"/>
    <w:rsid w:val="67A02450"/>
    <w:rsid w:val="67B501E7"/>
    <w:rsid w:val="67C1666E"/>
    <w:rsid w:val="67FB635B"/>
    <w:rsid w:val="682C160E"/>
    <w:rsid w:val="68496A8F"/>
    <w:rsid w:val="686F7E78"/>
    <w:rsid w:val="68E96DCA"/>
    <w:rsid w:val="68F44821"/>
    <w:rsid w:val="691B590A"/>
    <w:rsid w:val="695C2BDF"/>
    <w:rsid w:val="69603451"/>
    <w:rsid w:val="69967687"/>
    <w:rsid w:val="69972FAF"/>
    <w:rsid w:val="69D816E2"/>
    <w:rsid w:val="6A18009C"/>
    <w:rsid w:val="6A5E7759"/>
    <w:rsid w:val="6A745C1A"/>
    <w:rsid w:val="6A86594D"/>
    <w:rsid w:val="6A962FC7"/>
    <w:rsid w:val="6A9A2A75"/>
    <w:rsid w:val="6AC975E8"/>
    <w:rsid w:val="6AE34B4E"/>
    <w:rsid w:val="6AEF704E"/>
    <w:rsid w:val="6AF31EC5"/>
    <w:rsid w:val="6B264A3A"/>
    <w:rsid w:val="6B342B2C"/>
    <w:rsid w:val="6B4A21B7"/>
    <w:rsid w:val="6B554D7E"/>
    <w:rsid w:val="6B8A6D77"/>
    <w:rsid w:val="6BE446D9"/>
    <w:rsid w:val="6C0E5BFA"/>
    <w:rsid w:val="6C343F66"/>
    <w:rsid w:val="6C615D2A"/>
    <w:rsid w:val="6C850385"/>
    <w:rsid w:val="6D341E8C"/>
    <w:rsid w:val="6D433529"/>
    <w:rsid w:val="6D5B6C1D"/>
    <w:rsid w:val="6D611D5A"/>
    <w:rsid w:val="6D631F76"/>
    <w:rsid w:val="6D7101EF"/>
    <w:rsid w:val="6D735A25"/>
    <w:rsid w:val="6D943EDD"/>
    <w:rsid w:val="6D950EA1"/>
    <w:rsid w:val="6DB427D1"/>
    <w:rsid w:val="6DC9002B"/>
    <w:rsid w:val="6DF15609"/>
    <w:rsid w:val="6E5F2F18"/>
    <w:rsid w:val="6E6C53FE"/>
    <w:rsid w:val="6EA01811"/>
    <w:rsid w:val="6EFC61DE"/>
    <w:rsid w:val="6F0230C8"/>
    <w:rsid w:val="6F0C70B7"/>
    <w:rsid w:val="6F265731"/>
    <w:rsid w:val="6F551044"/>
    <w:rsid w:val="6F753110"/>
    <w:rsid w:val="6FA51BD7"/>
    <w:rsid w:val="70017544"/>
    <w:rsid w:val="70091F23"/>
    <w:rsid w:val="70236308"/>
    <w:rsid w:val="70456247"/>
    <w:rsid w:val="709F5073"/>
    <w:rsid w:val="70C1148D"/>
    <w:rsid w:val="7166073D"/>
    <w:rsid w:val="718138E9"/>
    <w:rsid w:val="71A36B3E"/>
    <w:rsid w:val="71B14A32"/>
    <w:rsid w:val="71B8416D"/>
    <w:rsid w:val="71ED7FE4"/>
    <w:rsid w:val="723932A5"/>
    <w:rsid w:val="72AE1645"/>
    <w:rsid w:val="72C9287B"/>
    <w:rsid w:val="72F33DAC"/>
    <w:rsid w:val="72FA7E03"/>
    <w:rsid w:val="72FB055A"/>
    <w:rsid w:val="732D105C"/>
    <w:rsid w:val="732F03D4"/>
    <w:rsid w:val="739C7F8F"/>
    <w:rsid w:val="73A104E6"/>
    <w:rsid w:val="73B54BAD"/>
    <w:rsid w:val="73D43285"/>
    <w:rsid w:val="73E14E79"/>
    <w:rsid w:val="7400407A"/>
    <w:rsid w:val="742835D1"/>
    <w:rsid w:val="748D6A99"/>
    <w:rsid w:val="74B15375"/>
    <w:rsid w:val="74E55790"/>
    <w:rsid w:val="74E62003"/>
    <w:rsid w:val="752956FD"/>
    <w:rsid w:val="755C79D6"/>
    <w:rsid w:val="755F74C6"/>
    <w:rsid w:val="75BE3C46"/>
    <w:rsid w:val="75CD0769"/>
    <w:rsid w:val="763532DA"/>
    <w:rsid w:val="76487B79"/>
    <w:rsid w:val="764A4547"/>
    <w:rsid w:val="768E0431"/>
    <w:rsid w:val="76AA651F"/>
    <w:rsid w:val="76AD4308"/>
    <w:rsid w:val="76B21F8E"/>
    <w:rsid w:val="76B949B4"/>
    <w:rsid w:val="770E550B"/>
    <w:rsid w:val="774D3A7A"/>
    <w:rsid w:val="77704E1F"/>
    <w:rsid w:val="77A70C5A"/>
    <w:rsid w:val="77E03367"/>
    <w:rsid w:val="782567A5"/>
    <w:rsid w:val="78525097"/>
    <w:rsid w:val="78C23FF4"/>
    <w:rsid w:val="78FA19E0"/>
    <w:rsid w:val="78FB5758"/>
    <w:rsid w:val="795D525C"/>
    <w:rsid w:val="7980482E"/>
    <w:rsid w:val="79AA79D9"/>
    <w:rsid w:val="79B9614E"/>
    <w:rsid w:val="79DA7335"/>
    <w:rsid w:val="7A232871"/>
    <w:rsid w:val="7A3A149A"/>
    <w:rsid w:val="7A4F12E2"/>
    <w:rsid w:val="7A9B6214"/>
    <w:rsid w:val="7AE27356"/>
    <w:rsid w:val="7B0C59FB"/>
    <w:rsid w:val="7B242D44"/>
    <w:rsid w:val="7B4666DA"/>
    <w:rsid w:val="7B633ACC"/>
    <w:rsid w:val="7B786BEC"/>
    <w:rsid w:val="7B9416CE"/>
    <w:rsid w:val="7BDE0F84"/>
    <w:rsid w:val="7BE20509"/>
    <w:rsid w:val="7BE705BF"/>
    <w:rsid w:val="7BF70459"/>
    <w:rsid w:val="7C493764"/>
    <w:rsid w:val="7C770B1E"/>
    <w:rsid w:val="7D11554A"/>
    <w:rsid w:val="7D1B0177"/>
    <w:rsid w:val="7D376633"/>
    <w:rsid w:val="7D491F32"/>
    <w:rsid w:val="7D7D2BE0"/>
    <w:rsid w:val="7D8F021D"/>
    <w:rsid w:val="7DCE53A2"/>
    <w:rsid w:val="7DF82266"/>
    <w:rsid w:val="7E6873EC"/>
    <w:rsid w:val="7E7924D3"/>
    <w:rsid w:val="7E7C4C45"/>
    <w:rsid w:val="7EC30AC6"/>
    <w:rsid w:val="7EE71F96"/>
    <w:rsid w:val="7F4C091A"/>
    <w:rsid w:val="7F7D0637"/>
    <w:rsid w:val="7FAF2DF8"/>
    <w:rsid w:val="7FDF723A"/>
    <w:rsid w:val="DFF351C2"/>
    <w:rsid w:val="F7FDD4E8"/>
    <w:rsid w:val="FF5D4924"/>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qFormat="1" w:unhideWhenUsed="0" w:uiPriority="39" w:semiHidden="0" w:name="toc 3"/>
    <w:lsdException w:qFormat="1" w:unhideWhenUsed="0" w:uiPriority="0" w:semiHidden="0" w:name="toc 4"/>
    <w:lsdException w:unhideWhenUsed="0" w:uiPriority="0" w:semiHidden="0" w:name="toc 5"/>
    <w:lsdException w:unhideWhenUsed="0" w:uiPriority="0" w:semiHidden="0" w:name="toc 6"/>
    <w:lsdException w:unhideWhenUsed="0" w:uiPriority="0" w:semiHidden="0" w:name="toc 7"/>
    <w:lsdException w:qFormat="1" w:unhideWhenUsed="0" w:uiPriority="39" w:semiHidden="0" w:name="toc 8"/>
    <w:lsdException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qFormat="1"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0" w:semiHidden="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182"/>
    <w:qFormat/>
    <w:uiPriority w:val="0"/>
    <w:pPr>
      <w:keepNext/>
      <w:numPr>
        <w:ilvl w:val="0"/>
        <w:numId w:val="1"/>
      </w:numPr>
      <w:jc w:val="center"/>
      <w:outlineLvl w:val="0"/>
    </w:pPr>
    <w:rPr>
      <w:rFonts w:ascii="黑体" w:eastAsia="黑体"/>
      <w:sz w:val="30"/>
      <w:szCs w:val="20"/>
    </w:rPr>
  </w:style>
  <w:style w:type="paragraph" w:styleId="3">
    <w:name w:val="heading 2"/>
    <w:basedOn w:val="4"/>
    <w:next w:val="1"/>
    <w:link w:val="145"/>
    <w:qFormat/>
    <w:uiPriority w:val="0"/>
    <w:pPr>
      <w:keepNext/>
      <w:numPr>
        <w:ilvl w:val="0"/>
        <w:numId w:val="2"/>
      </w:numPr>
      <w:jc w:val="center"/>
      <w:outlineLvl w:val="1"/>
    </w:pPr>
    <w:rPr>
      <w:rFonts w:ascii="黑体" w:eastAsia="黑体"/>
      <w:color w:val="000000"/>
      <w:kern w:val="2"/>
      <w:sz w:val="28"/>
      <w:lang w:val="en-US" w:eastAsia="zh-CN" w:bidi="ar-SA"/>
    </w:rPr>
  </w:style>
  <w:style w:type="paragraph" w:styleId="4">
    <w:name w:val="heading 3"/>
    <w:basedOn w:val="1"/>
    <w:next w:val="1"/>
    <w:link w:val="150"/>
    <w:qFormat/>
    <w:uiPriority w:val="0"/>
    <w:pPr>
      <w:keepNext/>
      <w:numPr>
        <w:ilvl w:val="0"/>
        <w:numId w:val="3"/>
      </w:numPr>
      <w:jc w:val="center"/>
      <w:outlineLvl w:val="2"/>
    </w:pPr>
    <w:rPr>
      <w:rFonts w:ascii="黑体" w:eastAsia="黑体"/>
      <w:color w:val="000000"/>
      <w:kern w:val="2"/>
      <w:sz w:val="32"/>
      <w:lang w:val="en-US" w:eastAsia="zh-CN" w:bidi="ar-SA"/>
    </w:rPr>
  </w:style>
  <w:style w:type="paragraph" w:styleId="5">
    <w:name w:val="heading 4"/>
    <w:basedOn w:val="1"/>
    <w:next w:val="1"/>
    <w:link w:val="139"/>
    <w:qFormat/>
    <w:uiPriority w:val="0"/>
    <w:pPr>
      <w:keepNext/>
      <w:numPr>
        <w:ilvl w:val="0"/>
        <w:numId w:val="4"/>
      </w:numPr>
      <w:tabs>
        <w:tab w:val="clear" w:pos="720"/>
      </w:tabs>
      <w:autoSpaceDE w:val="0"/>
      <w:autoSpaceDN w:val="0"/>
      <w:adjustRightInd w:val="0"/>
      <w:jc w:val="center"/>
      <w:outlineLvl w:val="3"/>
    </w:pPr>
    <w:rPr>
      <w:rFonts w:ascii="方正姚体" w:eastAsia="方正姚体"/>
      <w:kern w:val="2"/>
      <w:sz w:val="36"/>
      <w:szCs w:val="32"/>
      <w:lang w:val="en-US" w:eastAsia="zh-CN" w:bidi="ar-SA"/>
    </w:rPr>
  </w:style>
  <w:style w:type="paragraph" w:styleId="6">
    <w:name w:val="heading 5"/>
    <w:basedOn w:val="1"/>
    <w:next w:val="1"/>
    <w:qFormat/>
    <w:uiPriority w:val="0"/>
    <w:pPr>
      <w:keepNext/>
      <w:keepLines/>
      <w:spacing w:before="280" w:after="290" w:line="376" w:lineRule="auto"/>
      <w:outlineLvl w:val="4"/>
    </w:pPr>
    <w:rPr>
      <w:b/>
      <w:bCs/>
      <w:sz w:val="28"/>
      <w:szCs w:val="28"/>
    </w:rPr>
  </w:style>
  <w:style w:type="paragraph" w:styleId="7">
    <w:name w:val="heading 6"/>
    <w:basedOn w:val="1"/>
    <w:next w:val="1"/>
    <w:link w:val="136"/>
    <w:qFormat/>
    <w:uiPriority w:val="0"/>
    <w:pPr>
      <w:keepNext/>
      <w:keepLines/>
      <w:widowControl/>
      <w:tabs>
        <w:tab w:val="left" w:pos="1440"/>
      </w:tabs>
      <w:spacing w:before="240" w:after="64" w:line="320" w:lineRule="auto"/>
      <w:ind w:left="1152" w:hanging="1152"/>
      <w:jc w:val="left"/>
      <w:outlineLvl w:val="5"/>
    </w:pPr>
    <w:rPr>
      <w:rFonts w:ascii="Arial" w:hAnsi="Arial" w:eastAsia="黑体"/>
      <w:b/>
      <w:bCs/>
      <w:sz w:val="24"/>
      <w:szCs w:val="24"/>
      <w:lang w:val="en-US" w:eastAsia="zh-CN" w:bidi="ar-SA"/>
    </w:rPr>
  </w:style>
  <w:style w:type="paragraph" w:styleId="8">
    <w:name w:val="heading 7"/>
    <w:basedOn w:val="1"/>
    <w:next w:val="1"/>
    <w:link w:val="149"/>
    <w:qFormat/>
    <w:uiPriority w:val="0"/>
    <w:pPr>
      <w:keepNext/>
      <w:keepLines/>
      <w:widowControl/>
      <w:tabs>
        <w:tab w:val="left" w:pos="2520"/>
      </w:tabs>
      <w:spacing w:before="240" w:after="64" w:line="320" w:lineRule="auto"/>
      <w:ind w:left="1296" w:hanging="1296"/>
      <w:jc w:val="left"/>
      <w:outlineLvl w:val="6"/>
    </w:pPr>
    <w:rPr>
      <w:rFonts w:eastAsia="宋体"/>
      <w:b/>
      <w:bCs/>
      <w:sz w:val="24"/>
      <w:szCs w:val="24"/>
      <w:lang w:val="en-US" w:eastAsia="zh-CN" w:bidi="ar-SA"/>
    </w:rPr>
  </w:style>
  <w:style w:type="paragraph" w:styleId="9">
    <w:name w:val="heading 8"/>
    <w:basedOn w:val="1"/>
    <w:next w:val="1"/>
    <w:link w:val="144"/>
    <w:qFormat/>
    <w:uiPriority w:val="0"/>
    <w:pPr>
      <w:keepNext/>
      <w:keepLines/>
      <w:widowControl/>
      <w:tabs>
        <w:tab w:val="left" w:pos="1440"/>
      </w:tabs>
      <w:spacing w:before="240" w:after="64" w:line="320" w:lineRule="auto"/>
      <w:ind w:left="1440" w:hanging="1440"/>
      <w:jc w:val="left"/>
      <w:outlineLvl w:val="7"/>
    </w:pPr>
    <w:rPr>
      <w:rFonts w:ascii="Arial" w:hAnsi="Arial" w:eastAsia="黑体"/>
      <w:sz w:val="24"/>
      <w:szCs w:val="24"/>
      <w:lang w:val="en-US" w:eastAsia="zh-CN" w:bidi="ar-SA"/>
    </w:rPr>
  </w:style>
  <w:style w:type="paragraph" w:styleId="10">
    <w:name w:val="heading 9"/>
    <w:basedOn w:val="1"/>
    <w:next w:val="1"/>
    <w:link w:val="143"/>
    <w:qFormat/>
    <w:uiPriority w:val="0"/>
    <w:pPr>
      <w:keepNext/>
      <w:keepLines/>
      <w:widowControl/>
      <w:tabs>
        <w:tab w:val="left" w:pos="1584"/>
      </w:tabs>
      <w:spacing w:before="240" w:after="64" w:line="320" w:lineRule="auto"/>
      <w:ind w:left="1584" w:hanging="1584"/>
      <w:jc w:val="left"/>
      <w:outlineLvl w:val="8"/>
    </w:pPr>
    <w:rPr>
      <w:rFonts w:ascii="Arial" w:hAnsi="Arial" w:eastAsia="黑体"/>
      <w:sz w:val="21"/>
      <w:szCs w:val="21"/>
      <w:lang w:val="en-US" w:eastAsia="zh-CN" w:bidi="ar-SA"/>
    </w:rPr>
  </w:style>
  <w:style w:type="character" w:default="1" w:styleId="42">
    <w:name w:val="Default Paragraph Font"/>
    <w:qFormat/>
    <w:uiPriority w:val="0"/>
  </w:style>
  <w:style w:type="table" w:default="1" w:styleId="40">
    <w:name w:val="Normal Table"/>
    <w:qFormat/>
    <w:uiPriority w:val="0"/>
    <w:tblPr>
      <w:tblCellMar>
        <w:top w:w="0" w:type="dxa"/>
        <w:left w:w="108" w:type="dxa"/>
        <w:bottom w:w="0" w:type="dxa"/>
        <w:right w:w="108" w:type="dxa"/>
      </w:tblCellMar>
    </w:tblPr>
  </w:style>
  <w:style w:type="paragraph" w:styleId="11">
    <w:name w:val="Normal Indent"/>
    <w:basedOn w:val="1"/>
    <w:next w:val="12"/>
    <w:qFormat/>
    <w:uiPriority w:val="0"/>
    <w:pPr>
      <w:ind w:firstLine="420"/>
    </w:pPr>
    <w:rPr>
      <w:szCs w:val="20"/>
    </w:rPr>
  </w:style>
  <w:style w:type="paragraph" w:styleId="12">
    <w:name w:val="toc 4"/>
    <w:basedOn w:val="1"/>
    <w:next w:val="1"/>
    <w:qFormat/>
    <w:uiPriority w:val="0"/>
    <w:pPr>
      <w:ind w:left="600" w:leftChars="600"/>
    </w:pPr>
    <w:rPr>
      <w:rFonts w:ascii="Times New Roman" w:hAnsi="Times New Roman" w:eastAsia="Calibri" w:cs="Times New Roman"/>
    </w:rPr>
  </w:style>
  <w:style w:type="paragraph" w:styleId="13">
    <w:name w:val="Document Map"/>
    <w:basedOn w:val="1"/>
    <w:link w:val="131"/>
    <w:qFormat/>
    <w:uiPriority w:val="0"/>
    <w:pPr>
      <w:shd w:val="clear" w:color="auto" w:fill="000080"/>
    </w:pPr>
    <w:rPr>
      <w:rFonts w:eastAsia="宋体"/>
      <w:kern w:val="2"/>
      <w:sz w:val="21"/>
      <w:szCs w:val="24"/>
      <w:lang w:val="en-US" w:eastAsia="zh-CN" w:bidi="ar-SA"/>
    </w:rPr>
  </w:style>
  <w:style w:type="paragraph" w:styleId="14">
    <w:name w:val="annotation text"/>
    <w:basedOn w:val="1"/>
    <w:link w:val="141"/>
    <w:qFormat/>
    <w:uiPriority w:val="0"/>
    <w:pPr>
      <w:jc w:val="left"/>
    </w:pPr>
    <w:rPr>
      <w:rFonts w:eastAsia="宋体"/>
      <w:kern w:val="2"/>
      <w:sz w:val="21"/>
      <w:szCs w:val="24"/>
      <w:lang w:val="en-US" w:eastAsia="zh-CN" w:bidi="ar-SA"/>
    </w:rPr>
  </w:style>
  <w:style w:type="paragraph" w:styleId="15">
    <w:name w:val="Body Text 3"/>
    <w:basedOn w:val="1"/>
    <w:link w:val="147"/>
    <w:qFormat/>
    <w:uiPriority w:val="0"/>
    <w:rPr>
      <w:rFonts w:ascii="宋体" w:eastAsia="宋体"/>
      <w:color w:val="000000"/>
      <w:kern w:val="2"/>
      <w:sz w:val="32"/>
      <w:lang w:val="en-US" w:eastAsia="zh-CN" w:bidi="ar-SA"/>
    </w:rPr>
  </w:style>
  <w:style w:type="paragraph" w:styleId="16">
    <w:name w:val="Body Text"/>
    <w:basedOn w:val="1"/>
    <w:next w:val="1"/>
    <w:link w:val="134"/>
    <w:qFormat/>
    <w:uiPriority w:val="0"/>
    <w:pPr>
      <w:ind w:right="-84" w:rightChars="-40"/>
      <w:jc w:val="center"/>
    </w:pPr>
    <w:rPr>
      <w:rFonts w:eastAsia="宋体"/>
      <w:kern w:val="2"/>
      <w:sz w:val="21"/>
      <w:szCs w:val="24"/>
      <w:lang w:val="en-US" w:eastAsia="zh-CN" w:bidi="ar-SA"/>
    </w:rPr>
  </w:style>
  <w:style w:type="paragraph" w:styleId="17">
    <w:name w:val="Body Text Indent"/>
    <w:basedOn w:val="1"/>
    <w:next w:val="18"/>
    <w:link w:val="146"/>
    <w:qFormat/>
    <w:uiPriority w:val="0"/>
    <w:pPr>
      <w:spacing w:line="360" w:lineRule="auto"/>
      <w:ind w:firstLine="480"/>
    </w:pPr>
    <w:rPr>
      <w:rFonts w:ascii="宋体" w:eastAsia="宋体"/>
      <w:kern w:val="2"/>
      <w:sz w:val="24"/>
      <w:szCs w:val="24"/>
      <w:lang w:val="en-US" w:eastAsia="zh-CN" w:bidi="ar-SA"/>
    </w:rPr>
  </w:style>
  <w:style w:type="paragraph" w:customStyle="1" w:styleId="18">
    <w:name w:val="Default"/>
    <w:autoRedefine/>
    <w:qFormat/>
    <w:uiPriority w:val="0"/>
    <w:pPr>
      <w:widowControl w:val="0"/>
      <w:autoSpaceDE w:val="0"/>
      <w:autoSpaceDN w:val="0"/>
      <w:adjustRightInd w:val="0"/>
    </w:pPr>
    <w:rPr>
      <w:rFonts w:ascii="Arial" w:hAnsi="Arial" w:eastAsia="宋体" w:cs="Arial"/>
      <w:color w:val="000000"/>
      <w:sz w:val="24"/>
      <w:szCs w:val="24"/>
      <w:lang w:val="en-US" w:eastAsia="zh-CN" w:bidi="ar-SA"/>
    </w:rPr>
  </w:style>
  <w:style w:type="paragraph" w:styleId="19">
    <w:name w:val="Block Text"/>
    <w:basedOn w:val="1"/>
    <w:qFormat/>
    <w:uiPriority w:val="0"/>
    <w:pPr>
      <w:ind w:left="-78" w:leftChars="-37" w:right="-162" w:rightChars="-77" w:firstLine="78" w:firstLineChars="37"/>
      <w:jc w:val="center"/>
    </w:pPr>
    <w:rPr>
      <w:rFonts w:ascii="宋体" w:hAnsi="宋体"/>
      <w:szCs w:val="21"/>
    </w:rPr>
  </w:style>
  <w:style w:type="paragraph" w:styleId="20">
    <w:name w:val="toc 3"/>
    <w:basedOn w:val="1"/>
    <w:next w:val="1"/>
    <w:qFormat/>
    <w:uiPriority w:val="39"/>
    <w:pPr>
      <w:ind w:left="840" w:leftChars="400"/>
    </w:pPr>
  </w:style>
  <w:style w:type="paragraph" w:styleId="21">
    <w:name w:val="Plain Text"/>
    <w:basedOn w:val="1"/>
    <w:link w:val="151"/>
    <w:qFormat/>
    <w:uiPriority w:val="0"/>
    <w:rPr>
      <w:rFonts w:ascii="宋体" w:hAnsi="Courier New" w:eastAsia="宋体" w:cs="黑体"/>
      <w:sz w:val="21"/>
      <w:szCs w:val="21"/>
      <w:lang w:val="en-US" w:eastAsia="zh-CN" w:bidi="ar-SA"/>
    </w:rPr>
  </w:style>
  <w:style w:type="paragraph" w:styleId="22">
    <w:name w:val="toc 8"/>
    <w:basedOn w:val="1"/>
    <w:next w:val="1"/>
    <w:qFormat/>
    <w:uiPriority w:val="39"/>
    <w:pPr>
      <w:ind w:left="2940" w:leftChars="1400"/>
    </w:pPr>
  </w:style>
  <w:style w:type="paragraph" w:styleId="23">
    <w:name w:val="Date"/>
    <w:basedOn w:val="1"/>
    <w:next w:val="1"/>
    <w:qFormat/>
    <w:uiPriority w:val="0"/>
    <w:rPr>
      <w:szCs w:val="20"/>
    </w:rPr>
  </w:style>
  <w:style w:type="paragraph" w:styleId="24">
    <w:name w:val="Body Text Indent 2"/>
    <w:basedOn w:val="1"/>
    <w:qFormat/>
    <w:uiPriority w:val="0"/>
    <w:pPr>
      <w:spacing w:line="360" w:lineRule="auto"/>
      <w:ind w:firstLine="480"/>
    </w:pPr>
    <w:rPr>
      <w:rFonts w:ascii="宋体" w:hAnsi="宋体"/>
      <w:szCs w:val="21"/>
    </w:rPr>
  </w:style>
  <w:style w:type="paragraph" w:styleId="25">
    <w:name w:val="endnote text"/>
    <w:basedOn w:val="1"/>
    <w:link w:val="137"/>
    <w:qFormat/>
    <w:uiPriority w:val="0"/>
    <w:pPr>
      <w:snapToGrid w:val="0"/>
      <w:jc w:val="left"/>
    </w:pPr>
    <w:rPr>
      <w:rFonts w:eastAsia="宋体"/>
      <w:kern w:val="2"/>
      <w:sz w:val="21"/>
      <w:lang w:val="en-US" w:eastAsia="zh-CN" w:bidi="ar-SA"/>
    </w:rPr>
  </w:style>
  <w:style w:type="paragraph" w:styleId="26">
    <w:name w:val="Balloon Text"/>
    <w:basedOn w:val="1"/>
    <w:link w:val="138"/>
    <w:qFormat/>
    <w:uiPriority w:val="0"/>
    <w:pPr>
      <w:numPr>
        <w:ilvl w:val="0"/>
        <w:numId w:val="5"/>
      </w:numPr>
      <w:tabs>
        <w:tab w:val="clear" w:pos="1005"/>
      </w:tabs>
      <w:ind w:left="0" w:firstLine="0"/>
    </w:pPr>
    <w:rPr>
      <w:rFonts w:eastAsia="宋体"/>
      <w:kern w:val="2"/>
      <w:sz w:val="18"/>
      <w:szCs w:val="18"/>
      <w:lang w:val="en-US" w:eastAsia="zh-CN" w:bidi="ar-SA"/>
    </w:rPr>
  </w:style>
  <w:style w:type="paragraph" w:styleId="27">
    <w:name w:val="footer"/>
    <w:basedOn w:val="1"/>
    <w:link w:val="152"/>
    <w:qFormat/>
    <w:uiPriority w:val="99"/>
    <w:pPr>
      <w:tabs>
        <w:tab w:val="center" w:pos="4153"/>
        <w:tab w:val="right" w:pos="8306"/>
      </w:tabs>
      <w:snapToGrid w:val="0"/>
      <w:jc w:val="left"/>
    </w:pPr>
    <w:rPr>
      <w:rFonts w:eastAsia="宋体"/>
      <w:kern w:val="2"/>
      <w:sz w:val="18"/>
      <w:lang w:val="en-US" w:eastAsia="zh-CN" w:bidi="ar-SA"/>
    </w:rPr>
  </w:style>
  <w:style w:type="paragraph" w:styleId="28">
    <w:name w:val="header"/>
    <w:basedOn w:val="1"/>
    <w:link w:val="142"/>
    <w:qFormat/>
    <w:uiPriority w:val="99"/>
    <w:pPr>
      <w:pBdr>
        <w:bottom w:val="single" w:color="auto" w:sz="6" w:space="1"/>
      </w:pBdr>
      <w:tabs>
        <w:tab w:val="center" w:pos="4153"/>
        <w:tab w:val="right" w:pos="8306"/>
      </w:tabs>
      <w:snapToGrid w:val="0"/>
      <w:jc w:val="center"/>
    </w:pPr>
    <w:rPr>
      <w:rFonts w:eastAsia="宋体"/>
      <w:kern w:val="2"/>
      <w:sz w:val="18"/>
      <w:szCs w:val="18"/>
      <w:lang w:val="en-US" w:eastAsia="zh-CN" w:bidi="ar-SA"/>
    </w:rPr>
  </w:style>
  <w:style w:type="paragraph" w:styleId="29">
    <w:name w:val="toc 1"/>
    <w:basedOn w:val="1"/>
    <w:next w:val="1"/>
    <w:qFormat/>
    <w:uiPriority w:val="0"/>
    <w:pPr>
      <w:tabs>
        <w:tab w:val="right" w:leader="dot" w:pos="8280"/>
        <w:tab w:val="right" w:leader="dot" w:pos="9360"/>
      </w:tabs>
      <w:adjustRightInd w:val="0"/>
      <w:snapToGrid w:val="0"/>
      <w:spacing w:line="300" w:lineRule="auto"/>
      <w:ind w:firstLine="538" w:firstLineChars="192"/>
    </w:pPr>
    <w:rPr>
      <w:rFonts w:ascii="宋体" w:hAnsi="宋体"/>
      <w:bCs/>
      <w:sz w:val="28"/>
    </w:rPr>
  </w:style>
  <w:style w:type="paragraph" w:styleId="30">
    <w:name w:val="footnote text"/>
    <w:basedOn w:val="1"/>
    <w:link w:val="133"/>
    <w:qFormat/>
    <w:uiPriority w:val="0"/>
    <w:pPr>
      <w:snapToGrid w:val="0"/>
      <w:jc w:val="left"/>
    </w:pPr>
    <w:rPr>
      <w:rFonts w:eastAsia="宋体"/>
      <w:kern w:val="2"/>
      <w:sz w:val="18"/>
      <w:lang w:val="en-US" w:eastAsia="zh-CN" w:bidi="ar-SA"/>
    </w:rPr>
  </w:style>
  <w:style w:type="paragraph" w:styleId="31">
    <w:name w:val="Body Text Indent 3"/>
    <w:basedOn w:val="1"/>
    <w:link w:val="132"/>
    <w:qFormat/>
    <w:uiPriority w:val="0"/>
    <w:pPr>
      <w:spacing w:line="480" w:lineRule="exact"/>
      <w:ind w:firstLine="540" w:firstLineChars="257"/>
    </w:pPr>
    <w:rPr>
      <w:rFonts w:ascii="宋体" w:hAnsi="宋体" w:eastAsia="宋体"/>
      <w:kern w:val="2"/>
      <w:sz w:val="21"/>
      <w:szCs w:val="21"/>
      <w:lang w:val="en-US" w:eastAsia="zh-CN" w:bidi="ar-SA"/>
    </w:rPr>
  </w:style>
  <w:style w:type="paragraph" w:styleId="32">
    <w:name w:val="toc 2"/>
    <w:basedOn w:val="1"/>
    <w:next w:val="1"/>
    <w:qFormat/>
    <w:uiPriority w:val="39"/>
    <w:pPr>
      <w:ind w:left="420" w:leftChars="200"/>
    </w:pPr>
  </w:style>
  <w:style w:type="paragraph" w:styleId="33">
    <w:name w:val="Body Text 2"/>
    <w:basedOn w:val="1"/>
    <w:link w:val="148"/>
    <w:qFormat/>
    <w:uiPriority w:val="0"/>
    <w:rPr>
      <w:rFonts w:ascii="宋体" w:eastAsia="宋体"/>
      <w:kern w:val="2"/>
      <w:sz w:val="28"/>
      <w:lang w:val="en-US" w:eastAsia="zh-CN" w:bidi="ar-SA"/>
    </w:rPr>
  </w:style>
  <w:style w:type="paragraph" w:styleId="34">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35">
    <w:name w:val="index 1"/>
    <w:basedOn w:val="1"/>
    <w:next w:val="1"/>
    <w:qFormat/>
    <w:uiPriority w:val="0"/>
    <w:pPr>
      <w:spacing w:line="220" w:lineRule="exact"/>
      <w:jc w:val="center"/>
    </w:pPr>
    <w:rPr>
      <w:rFonts w:ascii="仿宋_GB2312" w:eastAsia="仿宋_GB2312"/>
      <w:szCs w:val="21"/>
    </w:rPr>
  </w:style>
  <w:style w:type="paragraph" w:styleId="36">
    <w:name w:val="Title"/>
    <w:basedOn w:val="1"/>
    <w:next w:val="1"/>
    <w:link w:val="140"/>
    <w:qFormat/>
    <w:uiPriority w:val="0"/>
    <w:pPr>
      <w:adjustRightInd w:val="0"/>
      <w:spacing w:before="240" w:after="60" w:line="420" w:lineRule="atLeast"/>
      <w:jc w:val="center"/>
      <w:textAlignment w:val="baseline"/>
      <w:outlineLvl w:val="0"/>
    </w:pPr>
    <w:rPr>
      <w:rFonts w:ascii="Arial" w:hAnsi="Arial" w:eastAsia="宋体"/>
      <w:b/>
      <w:sz w:val="32"/>
      <w:lang w:val="en-US" w:eastAsia="zh-CN" w:bidi="ar-SA"/>
    </w:rPr>
  </w:style>
  <w:style w:type="paragraph" w:styleId="37">
    <w:name w:val="annotation subject"/>
    <w:basedOn w:val="14"/>
    <w:next w:val="14"/>
    <w:qFormat/>
    <w:uiPriority w:val="0"/>
    <w:rPr>
      <w:b/>
      <w:bCs/>
    </w:rPr>
  </w:style>
  <w:style w:type="paragraph" w:styleId="38">
    <w:name w:val="Body Text First Indent"/>
    <w:basedOn w:val="16"/>
    <w:qFormat/>
    <w:uiPriority w:val="0"/>
    <w:pPr>
      <w:spacing w:after="120"/>
      <w:ind w:right="0" w:rightChars="0" w:firstLine="420" w:firstLineChars="100"/>
      <w:jc w:val="both"/>
    </w:pPr>
    <w:rPr>
      <w:szCs w:val="20"/>
    </w:rPr>
  </w:style>
  <w:style w:type="paragraph" w:styleId="39">
    <w:name w:val="Body Text First Indent 2"/>
    <w:basedOn w:val="1"/>
    <w:next w:val="16"/>
    <w:qFormat/>
    <w:uiPriority w:val="0"/>
    <w:pPr>
      <w:ind w:firstLine="420" w:firstLineChars="200"/>
    </w:pPr>
  </w:style>
  <w:style w:type="table" w:styleId="41">
    <w:name w:val="Table Grid"/>
    <w:basedOn w:val="4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3">
    <w:name w:val="Strong"/>
    <w:qFormat/>
    <w:uiPriority w:val="0"/>
    <w:rPr>
      <w:b/>
      <w:bCs/>
    </w:rPr>
  </w:style>
  <w:style w:type="character" w:styleId="44">
    <w:name w:val="page number"/>
    <w:basedOn w:val="42"/>
    <w:qFormat/>
    <w:uiPriority w:val="0"/>
  </w:style>
  <w:style w:type="character" w:styleId="45">
    <w:name w:val="FollowedHyperlink"/>
    <w:qFormat/>
    <w:uiPriority w:val="0"/>
    <w:rPr>
      <w:color w:val="800080"/>
      <w:u w:val="single"/>
    </w:rPr>
  </w:style>
  <w:style w:type="character" w:styleId="46">
    <w:name w:val="Emphasis"/>
    <w:qFormat/>
    <w:uiPriority w:val="20"/>
    <w:rPr>
      <w:i/>
      <w:iCs/>
    </w:rPr>
  </w:style>
  <w:style w:type="character" w:styleId="47">
    <w:name w:val="HTML Definition"/>
    <w:basedOn w:val="42"/>
    <w:qFormat/>
    <w:uiPriority w:val="0"/>
  </w:style>
  <w:style w:type="character" w:styleId="48">
    <w:name w:val="HTML Typewriter"/>
    <w:basedOn w:val="42"/>
    <w:qFormat/>
    <w:uiPriority w:val="0"/>
    <w:rPr>
      <w:rFonts w:hint="default" w:ascii="monospace" w:hAnsi="monospace" w:eastAsia="monospace" w:cs="monospace"/>
      <w:sz w:val="20"/>
    </w:rPr>
  </w:style>
  <w:style w:type="character" w:styleId="49">
    <w:name w:val="HTML Acronym"/>
    <w:basedOn w:val="42"/>
    <w:qFormat/>
    <w:uiPriority w:val="0"/>
  </w:style>
  <w:style w:type="character" w:styleId="50">
    <w:name w:val="HTML Variable"/>
    <w:basedOn w:val="42"/>
    <w:qFormat/>
    <w:uiPriority w:val="0"/>
    <w:rPr>
      <w:rFonts w:ascii="ActionIcon ! important" w:hAnsi="ActionIcon ! important" w:eastAsia="ActionIcon ! important" w:cs="ActionIcon ! important"/>
      <w:vanish/>
      <w:color w:val="3D4B62"/>
      <w:sz w:val="24"/>
      <w:szCs w:val="24"/>
    </w:rPr>
  </w:style>
  <w:style w:type="character" w:styleId="51">
    <w:name w:val="Hyperlink"/>
    <w:qFormat/>
    <w:uiPriority w:val="99"/>
    <w:rPr>
      <w:color w:val="0000FF"/>
      <w:u w:val="single"/>
    </w:rPr>
  </w:style>
  <w:style w:type="character" w:styleId="52">
    <w:name w:val="HTML Code"/>
    <w:basedOn w:val="42"/>
    <w:qFormat/>
    <w:uiPriority w:val="0"/>
    <w:rPr>
      <w:rFonts w:hint="default" w:ascii="monospace" w:hAnsi="monospace" w:eastAsia="monospace" w:cs="monospace"/>
      <w:sz w:val="20"/>
    </w:rPr>
  </w:style>
  <w:style w:type="character" w:styleId="53">
    <w:name w:val="annotation reference"/>
    <w:qFormat/>
    <w:uiPriority w:val="0"/>
    <w:rPr>
      <w:sz w:val="21"/>
      <w:szCs w:val="21"/>
    </w:rPr>
  </w:style>
  <w:style w:type="character" w:styleId="54">
    <w:name w:val="HTML Cite"/>
    <w:basedOn w:val="42"/>
    <w:qFormat/>
    <w:uiPriority w:val="0"/>
  </w:style>
  <w:style w:type="character" w:styleId="55">
    <w:name w:val="footnote reference"/>
    <w:qFormat/>
    <w:uiPriority w:val="0"/>
    <w:rPr>
      <w:vertAlign w:val="superscript"/>
    </w:rPr>
  </w:style>
  <w:style w:type="character" w:styleId="56">
    <w:name w:val="HTML Keyboard"/>
    <w:basedOn w:val="42"/>
    <w:qFormat/>
    <w:uiPriority w:val="0"/>
    <w:rPr>
      <w:rFonts w:hint="default" w:ascii="monospace" w:hAnsi="monospace" w:eastAsia="monospace" w:cs="monospace"/>
      <w:sz w:val="20"/>
    </w:rPr>
  </w:style>
  <w:style w:type="character" w:styleId="57">
    <w:name w:val="HTML Sample"/>
    <w:basedOn w:val="42"/>
    <w:qFormat/>
    <w:uiPriority w:val="0"/>
    <w:rPr>
      <w:rFonts w:ascii="monospace" w:hAnsi="monospace" w:eastAsia="monospace" w:cs="monospace"/>
    </w:rPr>
  </w:style>
  <w:style w:type="paragraph" w:customStyle="1" w:styleId="58">
    <w:name w:val="目录 81"/>
    <w:next w:val="1"/>
    <w:qFormat/>
    <w:uiPriority w:val="0"/>
    <w:pPr>
      <w:wordWrap w:val="0"/>
      <w:ind w:left="2975"/>
      <w:jc w:val="both"/>
    </w:pPr>
    <w:rPr>
      <w:rFonts w:ascii="Times New Roman" w:hAnsi="Times New Roman" w:eastAsia="宋体" w:cs="Times New Roman"/>
      <w:sz w:val="21"/>
      <w:szCs w:val="22"/>
      <w:lang w:val="en-US" w:eastAsia="zh-CN" w:bidi="ar-SA"/>
    </w:rPr>
  </w:style>
  <w:style w:type="paragraph" w:customStyle="1" w:styleId="59">
    <w:name w:val="表格"/>
    <w:next w:val="1"/>
    <w:qFormat/>
    <w:uiPriority w:val="0"/>
    <w:rPr>
      <w:rFonts w:ascii="等线" w:hAnsi="等线" w:eastAsia="仿宋" w:cs="Times New Roman"/>
      <w:kern w:val="2"/>
      <w:sz w:val="21"/>
      <w:szCs w:val="22"/>
      <w:lang w:val="en-US" w:eastAsia="zh-CN" w:bidi="ar-SA"/>
    </w:rPr>
  </w:style>
  <w:style w:type="paragraph" w:customStyle="1" w:styleId="60">
    <w:name w:val="样式1"/>
    <w:basedOn w:val="1"/>
    <w:qFormat/>
    <w:uiPriority w:val="0"/>
    <w:pPr>
      <w:adjustRightInd w:val="0"/>
      <w:spacing w:before="360" w:after="240" w:line="360" w:lineRule="auto"/>
      <w:jc w:val="center"/>
      <w:textAlignment w:val="baseline"/>
    </w:pPr>
    <w:rPr>
      <w:rFonts w:ascii="黑体" w:eastAsia="黑体"/>
      <w:kern w:val="0"/>
      <w:sz w:val="32"/>
      <w:szCs w:val="20"/>
    </w:rPr>
  </w:style>
  <w:style w:type="paragraph" w:customStyle="1" w:styleId="61">
    <w:name w:val="列出段落1"/>
    <w:basedOn w:val="1"/>
    <w:qFormat/>
    <w:uiPriority w:val="34"/>
    <w:pPr>
      <w:ind w:firstLine="420" w:firstLineChars="200"/>
    </w:pPr>
  </w:style>
  <w:style w:type="paragraph" w:customStyle="1" w:styleId="62">
    <w:name w:val="xl30"/>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center"/>
      <w:textAlignment w:val="center"/>
    </w:pPr>
    <w:rPr>
      <w:rFonts w:ascii="Arial Unicode MS" w:hAnsi="Arial Unicode MS"/>
      <w:kern w:val="0"/>
      <w:sz w:val="24"/>
    </w:rPr>
  </w:style>
  <w:style w:type="paragraph" w:customStyle="1" w:styleId="63">
    <w:name w:val="xl32"/>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center"/>
      <w:textAlignment w:val="center"/>
    </w:pPr>
    <w:rPr>
      <w:kern w:val="0"/>
      <w:sz w:val="24"/>
    </w:rPr>
  </w:style>
  <w:style w:type="paragraph" w:customStyle="1" w:styleId="64">
    <w:name w:val="font8"/>
    <w:basedOn w:val="1"/>
    <w:qFormat/>
    <w:uiPriority w:val="0"/>
    <w:pPr>
      <w:widowControl/>
      <w:spacing w:before="100" w:beforeAutospacing="1" w:after="100" w:afterAutospacing="1"/>
      <w:jc w:val="left"/>
    </w:pPr>
    <w:rPr>
      <w:kern w:val="0"/>
      <w:sz w:val="24"/>
    </w:rPr>
  </w:style>
  <w:style w:type="paragraph" w:customStyle="1" w:styleId="65">
    <w:name w:val="xl49"/>
    <w:basedOn w:val="1"/>
    <w:qFormat/>
    <w:uiPriority w:val="0"/>
    <w:pPr>
      <w:widowControl/>
      <w:pBdr>
        <w:top w:val="single" w:color="auto" w:sz="8" w:space="0"/>
        <w:left w:val="single" w:color="auto" w:sz="4" w:space="0"/>
        <w:bottom w:val="single" w:color="auto" w:sz="4" w:space="0"/>
        <w:right w:val="single" w:color="auto" w:sz="8" w:space="0"/>
      </w:pBdr>
      <w:spacing w:before="100" w:beforeAutospacing="1" w:after="100" w:afterAutospacing="1"/>
      <w:jc w:val="center"/>
      <w:textAlignment w:val="center"/>
    </w:pPr>
    <w:rPr>
      <w:rFonts w:hint="eastAsia" w:ascii="黑体" w:hAnsi="Arial Unicode MS" w:eastAsia="黑体"/>
      <w:kern w:val="0"/>
      <w:sz w:val="24"/>
    </w:rPr>
  </w:style>
  <w:style w:type="paragraph" w:customStyle="1" w:styleId="66">
    <w:name w:val="xl50"/>
    <w:basedOn w:val="1"/>
    <w:qFormat/>
    <w:uiPriority w:val="0"/>
    <w:pPr>
      <w:widowControl/>
      <w:spacing w:before="100" w:beforeAutospacing="1" w:after="100" w:afterAutospacing="1"/>
      <w:jc w:val="center"/>
      <w:textAlignment w:val="top"/>
    </w:pPr>
    <w:rPr>
      <w:rFonts w:hint="eastAsia" w:ascii="黑体" w:hAnsi="Arial Unicode MS" w:eastAsia="黑体"/>
      <w:b/>
      <w:bCs/>
      <w:kern w:val="0"/>
      <w:sz w:val="36"/>
      <w:szCs w:val="36"/>
    </w:rPr>
  </w:style>
  <w:style w:type="paragraph" w:customStyle="1" w:styleId="67">
    <w:name w:val="Char1"/>
    <w:basedOn w:val="1"/>
    <w:qFormat/>
    <w:uiPriority w:val="0"/>
    <w:rPr>
      <w:rFonts w:ascii="仿宋_GB2312" w:eastAsia="仿宋_GB2312"/>
      <w:b/>
      <w:sz w:val="32"/>
      <w:szCs w:val="32"/>
    </w:rPr>
  </w:style>
  <w:style w:type="paragraph" w:customStyle="1" w:styleId="68">
    <w:name w:val="表中"/>
    <w:basedOn w:val="1"/>
    <w:qFormat/>
    <w:uiPriority w:val="0"/>
    <w:pPr>
      <w:adjustRightInd w:val="0"/>
      <w:spacing w:line="360" w:lineRule="atLeast"/>
      <w:jc w:val="center"/>
      <w:textAlignment w:val="baseline"/>
    </w:pPr>
    <w:rPr>
      <w:kern w:val="0"/>
      <w:szCs w:val="20"/>
    </w:rPr>
  </w:style>
  <w:style w:type="paragraph" w:customStyle="1" w:styleId="69">
    <w:name w:val=":)"/>
    <w:qFormat/>
    <w:uiPriority w:val="0"/>
    <w:pPr>
      <w:overflowPunct w:val="0"/>
      <w:autoSpaceDE w:val="0"/>
      <w:autoSpaceDN w:val="0"/>
      <w:adjustRightInd w:val="0"/>
      <w:textAlignment w:val="baseline"/>
    </w:pPr>
    <w:rPr>
      <w:rFonts w:ascii="Times New Roman" w:hAnsi="Times New Roman" w:eastAsia="宋体" w:cs="Times New Roman"/>
      <w:lang w:val="en-GB" w:eastAsia="zh-CN" w:bidi="ar-SA"/>
    </w:rPr>
  </w:style>
  <w:style w:type="paragraph" w:customStyle="1" w:styleId="70">
    <w:name w:val="xl48"/>
    <w:basedOn w:val="1"/>
    <w:qFormat/>
    <w:uiPriority w:val="0"/>
    <w:pPr>
      <w:widowControl/>
      <w:pBdr>
        <w:top w:val="single" w:color="auto" w:sz="8" w:space="0"/>
        <w:left w:val="single" w:color="auto" w:sz="4" w:space="0"/>
        <w:bottom w:val="single" w:color="auto" w:sz="4" w:space="0"/>
        <w:right w:val="single" w:color="auto" w:sz="4" w:space="0"/>
      </w:pBdr>
      <w:spacing w:before="100" w:beforeAutospacing="1" w:after="100" w:afterAutospacing="1"/>
      <w:jc w:val="center"/>
      <w:textAlignment w:val="center"/>
    </w:pPr>
    <w:rPr>
      <w:rFonts w:hint="eastAsia" w:ascii="黑体" w:hAnsi="Arial Unicode MS" w:eastAsia="黑体"/>
      <w:kern w:val="0"/>
      <w:sz w:val="24"/>
    </w:rPr>
  </w:style>
  <w:style w:type="paragraph" w:customStyle="1" w:styleId="71">
    <w:name w:val="xl52"/>
    <w:basedOn w:val="1"/>
    <w:qFormat/>
    <w:uiPriority w:val="0"/>
    <w:pPr>
      <w:widowControl/>
      <w:spacing w:before="100" w:beforeAutospacing="1" w:after="100" w:afterAutospacing="1"/>
      <w:jc w:val="center"/>
      <w:textAlignment w:val="center"/>
    </w:pPr>
    <w:rPr>
      <w:rFonts w:ascii="Arial Unicode MS" w:hAnsi="Arial Unicode MS"/>
      <w:kern w:val="0"/>
      <w:sz w:val="24"/>
    </w:rPr>
  </w:style>
  <w:style w:type="paragraph" w:customStyle="1" w:styleId="72">
    <w:name w:val="xl51"/>
    <w:basedOn w:val="1"/>
    <w:qFormat/>
    <w:uiPriority w:val="0"/>
    <w:pPr>
      <w:widowControl/>
      <w:spacing w:before="100" w:beforeAutospacing="1" w:after="100" w:afterAutospacing="1"/>
      <w:jc w:val="left"/>
      <w:textAlignment w:val="center"/>
    </w:pPr>
    <w:rPr>
      <w:rFonts w:ascii="Arial Unicode MS" w:hAnsi="Arial Unicode MS"/>
      <w:kern w:val="0"/>
      <w:sz w:val="24"/>
    </w:rPr>
  </w:style>
  <w:style w:type="paragraph" w:customStyle="1" w:styleId="73">
    <w:name w:val="xl29"/>
    <w:basedOn w:val="1"/>
    <w:qFormat/>
    <w:uiPriority w:val="0"/>
    <w:pPr>
      <w:widowControl/>
      <w:pBdr>
        <w:bottom w:val="single" w:color="auto" w:sz="4" w:space="0"/>
      </w:pBdr>
      <w:spacing w:before="100" w:beforeAutospacing="1" w:after="100" w:afterAutospacing="1"/>
      <w:jc w:val="left"/>
    </w:pPr>
    <w:rPr>
      <w:rFonts w:ascii="Arial Unicode MS" w:hAnsi="Arial Unicode MS"/>
      <w:kern w:val="0"/>
      <w:sz w:val="24"/>
    </w:rPr>
  </w:style>
  <w:style w:type="paragraph" w:customStyle="1" w:styleId="74">
    <w:name w:val="xl42"/>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kern w:val="0"/>
      <w:sz w:val="24"/>
    </w:rPr>
  </w:style>
  <w:style w:type="paragraph" w:customStyle="1" w:styleId="75">
    <w:name w:val="样式 首行缩进:  2 字符"/>
    <w:basedOn w:val="1"/>
    <w:qFormat/>
    <w:uiPriority w:val="0"/>
    <w:pPr>
      <w:spacing w:line="400" w:lineRule="exact"/>
      <w:ind w:firstLine="200" w:firstLineChars="200"/>
    </w:pPr>
    <w:rPr>
      <w:rFonts w:cs="宋体"/>
      <w:szCs w:val="24"/>
    </w:rPr>
  </w:style>
  <w:style w:type="paragraph" w:customStyle="1" w:styleId="76">
    <w:name w:val="我的正文"/>
    <w:basedOn w:val="1"/>
    <w:link w:val="135"/>
    <w:qFormat/>
    <w:uiPriority w:val="0"/>
    <w:pPr>
      <w:snapToGrid w:val="0"/>
      <w:spacing w:line="300" w:lineRule="auto"/>
      <w:ind w:firstLine="150" w:firstLineChars="150"/>
    </w:pPr>
    <w:rPr>
      <w:rFonts w:ascii="宋体" w:hAnsi="宋体" w:eastAsia="宋体"/>
      <w:kern w:val="2"/>
      <w:sz w:val="24"/>
      <w:szCs w:val="24"/>
      <w:lang w:val="en-US" w:eastAsia="zh-CN" w:bidi="ar-SA"/>
    </w:rPr>
  </w:style>
  <w:style w:type="paragraph" w:customStyle="1" w:styleId="77">
    <w:name w:val="font7"/>
    <w:basedOn w:val="1"/>
    <w:qFormat/>
    <w:uiPriority w:val="0"/>
    <w:pPr>
      <w:widowControl/>
      <w:spacing w:before="100" w:beforeAutospacing="1" w:after="100" w:afterAutospacing="1"/>
      <w:jc w:val="left"/>
    </w:pPr>
    <w:rPr>
      <w:rFonts w:hint="eastAsia" w:ascii="宋体" w:hAnsi="宋体"/>
      <w:b/>
      <w:bCs/>
      <w:color w:val="000000"/>
      <w:kern w:val="0"/>
      <w:sz w:val="18"/>
      <w:szCs w:val="18"/>
    </w:rPr>
  </w:style>
  <w:style w:type="paragraph" w:customStyle="1" w:styleId="78">
    <w:name w:val="xl2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Unicode MS" w:hAnsi="Arial Unicode MS"/>
      <w:kern w:val="0"/>
      <w:sz w:val="24"/>
    </w:rPr>
  </w:style>
  <w:style w:type="paragraph" w:customStyle="1" w:styleId="79">
    <w:name w:val="xl31"/>
    <w:basedOn w:val="1"/>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jc w:val="center"/>
      <w:textAlignment w:val="center"/>
    </w:pPr>
    <w:rPr>
      <w:kern w:val="0"/>
      <w:sz w:val="24"/>
    </w:rPr>
  </w:style>
  <w:style w:type="paragraph" w:customStyle="1" w:styleId="80">
    <w:name w:val="目录"/>
    <w:basedOn w:val="1"/>
    <w:qFormat/>
    <w:uiPriority w:val="0"/>
    <w:pPr>
      <w:widowControl/>
      <w:jc w:val="center"/>
    </w:pPr>
    <w:rPr>
      <w:rFonts w:hAnsi="Times New Roman"/>
      <w:b/>
      <w:sz w:val="36"/>
    </w:rPr>
  </w:style>
  <w:style w:type="paragraph" w:customStyle="1" w:styleId="81">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Unicode MS" w:hAnsi="Arial Unicode MS"/>
      <w:kern w:val="0"/>
      <w:sz w:val="24"/>
    </w:rPr>
  </w:style>
  <w:style w:type="paragraph" w:customStyle="1" w:styleId="82">
    <w:name w:val="xl41"/>
    <w:basedOn w:val="1"/>
    <w:qFormat/>
    <w:uiPriority w:val="0"/>
    <w:pPr>
      <w:widowControl/>
      <w:pBdr>
        <w:left w:val="single" w:color="auto" w:sz="4" w:space="0"/>
        <w:bottom w:val="single" w:color="auto" w:sz="4" w:space="0"/>
        <w:right w:val="single" w:color="auto" w:sz="4" w:space="0"/>
      </w:pBdr>
      <w:spacing w:before="100" w:beforeAutospacing="1" w:after="100" w:afterAutospacing="1"/>
      <w:textAlignment w:val="center"/>
    </w:pPr>
    <w:rPr>
      <w:rFonts w:ascii="Arial Unicode MS" w:hAnsi="Arial Unicode MS"/>
      <w:kern w:val="0"/>
      <w:sz w:val="24"/>
    </w:rPr>
  </w:style>
  <w:style w:type="paragraph" w:customStyle="1" w:styleId="83">
    <w:name w:val="xl36"/>
    <w:basedOn w:val="1"/>
    <w:qFormat/>
    <w:uiPriority w:val="0"/>
    <w:pPr>
      <w:widowControl/>
      <w:pBdr>
        <w:top w:val="single" w:color="auto" w:sz="4" w:space="0"/>
        <w:left w:val="single" w:color="auto" w:sz="4" w:space="0"/>
        <w:bottom w:val="single" w:color="auto" w:sz="8" w:space="0"/>
        <w:right w:val="single" w:color="auto" w:sz="8" w:space="0"/>
      </w:pBdr>
      <w:spacing w:before="100" w:beforeAutospacing="1" w:after="100" w:afterAutospacing="1"/>
      <w:jc w:val="center"/>
      <w:textAlignment w:val="center"/>
    </w:pPr>
    <w:rPr>
      <w:kern w:val="0"/>
      <w:sz w:val="24"/>
    </w:rPr>
  </w:style>
  <w:style w:type="paragraph" w:customStyle="1" w:styleId="84">
    <w:name w:val="_Style 67"/>
    <w:basedOn w:val="1"/>
    <w:qFormat/>
    <w:uiPriority w:val="0"/>
    <w:pPr>
      <w:ind w:firstLine="420" w:firstLineChars="200"/>
    </w:pPr>
    <w:rPr>
      <w:szCs w:val="20"/>
    </w:rPr>
  </w:style>
  <w:style w:type="paragraph" w:customStyle="1" w:styleId="85">
    <w:name w:val="xl2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Unicode MS" w:hAnsi="Arial Unicode MS"/>
      <w:kern w:val="0"/>
      <w:sz w:val="24"/>
    </w:rPr>
  </w:style>
  <w:style w:type="paragraph" w:customStyle="1" w:styleId="86">
    <w:name w:val="样式2"/>
    <w:basedOn w:val="1"/>
    <w:qFormat/>
    <w:uiPriority w:val="0"/>
    <w:pPr>
      <w:numPr>
        <w:ilvl w:val="0"/>
        <w:numId w:val="6"/>
      </w:numPr>
      <w:spacing w:line="360" w:lineRule="auto"/>
      <w:jc w:val="center"/>
    </w:pPr>
    <w:rPr>
      <w:rFonts w:ascii="黑体" w:eastAsia="黑体"/>
      <w:szCs w:val="20"/>
    </w:rPr>
  </w:style>
  <w:style w:type="paragraph" w:customStyle="1" w:styleId="87">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kern w:val="0"/>
      <w:sz w:val="24"/>
    </w:rPr>
  </w:style>
  <w:style w:type="paragraph" w:customStyle="1" w:styleId="88">
    <w:name w:val="样式 标题 2 + 宋体"/>
    <w:basedOn w:val="3"/>
    <w:qFormat/>
    <w:uiPriority w:val="0"/>
    <w:pPr>
      <w:keepLines/>
      <w:numPr>
        <w:ilvl w:val="0"/>
        <w:numId w:val="0"/>
      </w:numPr>
      <w:tabs>
        <w:tab w:val="clear" w:pos="960"/>
      </w:tabs>
      <w:spacing w:line="360" w:lineRule="auto"/>
      <w:ind w:firstLine="482" w:firstLineChars="200"/>
      <w:jc w:val="left"/>
    </w:pPr>
    <w:rPr>
      <w:rFonts w:ascii="宋体" w:hAnsi="宋体" w:eastAsia="宋体" w:cs="宋体"/>
      <w:b/>
      <w:bCs/>
      <w:color w:val="auto"/>
      <w:sz w:val="24"/>
    </w:rPr>
  </w:style>
  <w:style w:type="paragraph" w:customStyle="1" w:styleId="89">
    <w:name w:val="xl33"/>
    <w:basedOn w:val="1"/>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jc w:val="center"/>
      <w:textAlignment w:val="center"/>
    </w:pPr>
    <w:rPr>
      <w:kern w:val="0"/>
      <w:sz w:val="24"/>
    </w:rPr>
  </w:style>
  <w:style w:type="paragraph" w:customStyle="1" w:styleId="90">
    <w:name w:val="正文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91">
    <w:name w:val="简单回函地址"/>
    <w:basedOn w:val="1"/>
    <w:qFormat/>
    <w:uiPriority w:val="0"/>
  </w:style>
  <w:style w:type="paragraph" w:customStyle="1" w:styleId="92">
    <w:name w:val="xl43"/>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b/>
      <w:bCs/>
      <w:color w:val="FF0000"/>
      <w:kern w:val="0"/>
      <w:sz w:val="24"/>
    </w:rPr>
  </w:style>
  <w:style w:type="paragraph" w:customStyle="1" w:styleId="93">
    <w:name w:val="&lt;=&gt;"/>
    <w:qFormat/>
    <w:uiPriority w:val="0"/>
    <w:pPr>
      <w:overflowPunct w:val="0"/>
      <w:autoSpaceDE w:val="0"/>
      <w:autoSpaceDN w:val="0"/>
      <w:adjustRightInd w:val="0"/>
      <w:textAlignment w:val="baseline"/>
    </w:pPr>
    <w:rPr>
      <w:rFonts w:ascii="Times New Roman" w:hAnsi="Times New Roman" w:eastAsia="宋体" w:cs="Times New Roman"/>
      <w:lang w:val="en-GB" w:eastAsia="zh-CN" w:bidi="ar-SA"/>
    </w:rPr>
  </w:style>
  <w:style w:type="paragraph" w:customStyle="1" w:styleId="94">
    <w:name w:val="Plain Text_abf15973-5b10-4159-8d08-3275f6f892b8"/>
    <w:basedOn w:val="1"/>
    <w:qFormat/>
    <w:uiPriority w:val="0"/>
    <w:pPr>
      <w:adjustRightInd w:val="0"/>
      <w:textAlignment w:val="baseline"/>
    </w:pPr>
    <w:rPr>
      <w:rFonts w:ascii="宋体" w:hAnsi="Courier New"/>
      <w:szCs w:val="20"/>
    </w:rPr>
  </w:style>
  <w:style w:type="paragraph" w:customStyle="1" w:styleId="95">
    <w:name w:val="font1"/>
    <w:basedOn w:val="1"/>
    <w:qFormat/>
    <w:uiPriority w:val="0"/>
    <w:pPr>
      <w:widowControl/>
      <w:spacing w:before="100" w:beforeAutospacing="1" w:after="100" w:afterAutospacing="1"/>
      <w:jc w:val="left"/>
    </w:pPr>
    <w:rPr>
      <w:rFonts w:hint="eastAsia" w:ascii="宋体" w:hAnsi="宋体"/>
      <w:kern w:val="0"/>
      <w:sz w:val="24"/>
    </w:rPr>
  </w:style>
  <w:style w:type="paragraph" w:customStyle="1" w:styleId="96">
    <w:name w:val="font11"/>
    <w:basedOn w:val="1"/>
    <w:qFormat/>
    <w:uiPriority w:val="0"/>
    <w:pPr>
      <w:widowControl/>
      <w:spacing w:before="100" w:beforeAutospacing="1" w:after="100" w:afterAutospacing="1"/>
      <w:jc w:val="left"/>
    </w:pPr>
    <w:rPr>
      <w:b/>
      <w:bCs/>
      <w:kern w:val="0"/>
      <w:sz w:val="24"/>
    </w:rPr>
  </w:style>
  <w:style w:type="paragraph" w:customStyle="1" w:styleId="97">
    <w:name w:val="样式 标题 2 + Times New Roman 四号 非加粗 段前: 5 磅 段后: 0 磅 行距: 固定值 20..."/>
    <w:basedOn w:val="3"/>
    <w:qFormat/>
    <w:uiPriority w:val="0"/>
    <w:pPr>
      <w:keepLines/>
      <w:numPr>
        <w:ilvl w:val="0"/>
        <w:numId w:val="0"/>
      </w:numPr>
      <w:spacing w:before="100" w:line="400" w:lineRule="exact"/>
      <w:jc w:val="both"/>
    </w:pPr>
    <w:rPr>
      <w:rFonts w:ascii="Times New Roman" w:cs="宋体"/>
      <w:color w:val="auto"/>
    </w:rPr>
  </w:style>
  <w:style w:type="paragraph" w:customStyle="1" w:styleId="98">
    <w:name w:val=":-)"/>
    <w:qFormat/>
    <w:uiPriority w:val="0"/>
    <w:pPr>
      <w:overflowPunct w:val="0"/>
      <w:autoSpaceDE w:val="0"/>
      <w:autoSpaceDN w:val="0"/>
      <w:adjustRightInd w:val="0"/>
      <w:textAlignment w:val="baseline"/>
    </w:pPr>
    <w:rPr>
      <w:rFonts w:ascii="Times New Roman" w:hAnsi="Times New Roman" w:eastAsia="宋体" w:cs="Times New Roman"/>
      <w:lang w:val="en-GB" w:eastAsia="zh-CN" w:bidi="ar-SA"/>
    </w:rPr>
  </w:style>
  <w:style w:type="paragraph" w:customStyle="1" w:styleId="99">
    <w:name w:val="_Style 82"/>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00">
    <w:name w:val="xl35"/>
    <w:basedOn w:val="1"/>
    <w:qFormat/>
    <w:uiPriority w:val="0"/>
    <w:pPr>
      <w:widowControl/>
      <w:pBdr>
        <w:top w:val="single" w:color="auto" w:sz="4" w:space="0"/>
        <w:left w:val="single" w:color="auto" w:sz="4" w:space="0"/>
        <w:bottom w:val="single" w:color="auto" w:sz="8" w:space="0"/>
        <w:right w:val="single" w:color="auto" w:sz="4" w:space="0"/>
      </w:pBdr>
      <w:spacing w:before="100" w:beforeAutospacing="1" w:after="100" w:afterAutospacing="1"/>
      <w:jc w:val="center"/>
      <w:textAlignment w:val="center"/>
    </w:pPr>
    <w:rPr>
      <w:kern w:val="0"/>
      <w:sz w:val="24"/>
    </w:rPr>
  </w:style>
  <w:style w:type="paragraph" w:customStyle="1" w:styleId="101">
    <w:name w:val="font5"/>
    <w:basedOn w:val="1"/>
    <w:qFormat/>
    <w:uiPriority w:val="0"/>
    <w:pPr>
      <w:widowControl/>
      <w:spacing w:before="100" w:beforeAutospacing="1" w:after="100" w:afterAutospacing="1"/>
      <w:jc w:val="left"/>
    </w:pPr>
    <w:rPr>
      <w:rFonts w:hint="eastAsia" w:ascii="宋体" w:hAnsi="宋体"/>
      <w:kern w:val="0"/>
      <w:sz w:val="18"/>
      <w:szCs w:val="18"/>
    </w:rPr>
  </w:style>
  <w:style w:type="paragraph" w:customStyle="1" w:styleId="102">
    <w:name w:val="&lt;--"/>
    <w:qFormat/>
    <w:uiPriority w:val="0"/>
    <w:pPr>
      <w:overflowPunct w:val="0"/>
      <w:autoSpaceDE w:val="0"/>
      <w:autoSpaceDN w:val="0"/>
      <w:adjustRightInd w:val="0"/>
      <w:textAlignment w:val="baseline"/>
    </w:pPr>
    <w:rPr>
      <w:rFonts w:ascii="Times New Roman" w:hAnsi="Times New Roman" w:eastAsia="宋体" w:cs="Times New Roman"/>
      <w:lang w:val="en-GB" w:eastAsia="zh-CN" w:bidi="ar-SA"/>
    </w:rPr>
  </w:style>
  <w:style w:type="paragraph" w:customStyle="1" w:styleId="103">
    <w:name w:val="xl44"/>
    <w:basedOn w:val="1"/>
    <w:qFormat/>
    <w:uiPriority w:val="0"/>
    <w:pPr>
      <w:widowControl/>
      <w:pBdr>
        <w:left w:val="single" w:color="auto" w:sz="4" w:space="0"/>
        <w:bottom w:val="single" w:color="auto" w:sz="4" w:space="0"/>
        <w:right w:val="single" w:color="auto" w:sz="8" w:space="0"/>
      </w:pBdr>
      <w:spacing w:before="100" w:beforeAutospacing="1" w:after="100" w:afterAutospacing="1"/>
      <w:jc w:val="center"/>
      <w:textAlignment w:val="center"/>
    </w:pPr>
    <w:rPr>
      <w:kern w:val="0"/>
      <w:sz w:val="24"/>
    </w:rPr>
  </w:style>
  <w:style w:type="paragraph" w:customStyle="1" w:styleId="104">
    <w:name w:val="_Style 87"/>
    <w:qFormat/>
    <w:uiPriority w:val="99"/>
    <w:rPr>
      <w:rFonts w:ascii="Times New Roman" w:hAnsi="Times New Roman" w:eastAsia="宋体" w:cs="Times New Roman"/>
      <w:kern w:val="2"/>
      <w:sz w:val="21"/>
      <w:szCs w:val="24"/>
      <w:lang w:val="en-US" w:eastAsia="zh-CN" w:bidi="ar-SA"/>
    </w:rPr>
  </w:style>
  <w:style w:type="paragraph" w:customStyle="1" w:styleId="105">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Unicode MS" w:hAnsi="Arial Unicode MS"/>
      <w:kern w:val="0"/>
      <w:sz w:val="24"/>
    </w:rPr>
  </w:style>
  <w:style w:type="paragraph" w:customStyle="1" w:styleId="106">
    <w:name w:val="xl40"/>
    <w:basedOn w:val="1"/>
    <w:qFormat/>
    <w:uiPriority w:val="0"/>
    <w:pPr>
      <w:widowControl/>
      <w:pBdr>
        <w:left w:val="single" w:color="auto" w:sz="8" w:space="0"/>
        <w:bottom w:val="single" w:color="auto" w:sz="4" w:space="0"/>
        <w:right w:val="single" w:color="auto" w:sz="4" w:space="0"/>
      </w:pBdr>
      <w:spacing w:before="100" w:beforeAutospacing="1" w:after="100" w:afterAutospacing="1"/>
      <w:jc w:val="center"/>
      <w:textAlignment w:val="center"/>
    </w:pPr>
    <w:rPr>
      <w:kern w:val="0"/>
      <w:sz w:val="24"/>
    </w:rPr>
  </w:style>
  <w:style w:type="paragraph" w:customStyle="1" w:styleId="107">
    <w:name w:val=":("/>
    <w:qFormat/>
    <w:uiPriority w:val="0"/>
    <w:pPr>
      <w:overflowPunct w:val="0"/>
      <w:autoSpaceDE w:val="0"/>
      <w:autoSpaceDN w:val="0"/>
      <w:adjustRightInd w:val="0"/>
      <w:textAlignment w:val="baseline"/>
    </w:pPr>
    <w:rPr>
      <w:rFonts w:ascii="Times New Roman" w:hAnsi="Times New Roman" w:eastAsia="宋体" w:cs="Times New Roman"/>
      <w:lang w:val="en-GB" w:eastAsia="zh-CN" w:bidi="ar-SA"/>
    </w:rPr>
  </w:style>
  <w:style w:type="paragraph" w:customStyle="1" w:styleId="108">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Unicode MS" w:hAnsi="Arial Unicode MS"/>
      <w:kern w:val="0"/>
      <w:sz w:val="24"/>
    </w:rPr>
  </w:style>
  <w:style w:type="paragraph" w:customStyle="1" w:styleId="109">
    <w:name w:val="&lt;=="/>
    <w:qFormat/>
    <w:uiPriority w:val="0"/>
    <w:pPr>
      <w:overflowPunct w:val="0"/>
      <w:autoSpaceDE w:val="0"/>
      <w:autoSpaceDN w:val="0"/>
      <w:adjustRightInd w:val="0"/>
      <w:textAlignment w:val="baseline"/>
    </w:pPr>
    <w:rPr>
      <w:rFonts w:ascii="Times New Roman" w:hAnsi="Times New Roman" w:eastAsia="宋体" w:cs="Times New Roman"/>
      <w:lang w:val="en-GB" w:eastAsia="zh-CN" w:bidi="ar-SA"/>
    </w:rPr>
  </w:style>
  <w:style w:type="paragraph" w:customStyle="1" w:styleId="110">
    <w:name w:val="xl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b/>
      <w:bCs/>
      <w:color w:val="FF0000"/>
      <w:kern w:val="0"/>
      <w:sz w:val="24"/>
    </w:rPr>
  </w:style>
  <w:style w:type="paragraph" w:customStyle="1" w:styleId="111">
    <w:name w:val="font10"/>
    <w:basedOn w:val="1"/>
    <w:qFormat/>
    <w:uiPriority w:val="0"/>
    <w:pPr>
      <w:widowControl/>
      <w:spacing w:before="100" w:beforeAutospacing="1" w:after="100" w:afterAutospacing="1"/>
      <w:jc w:val="left"/>
    </w:pPr>
    <w:rPr>
      <w:rFonts w:hint="eastAsia" w:ascii="宋体" w:hAnsi="宋体"/>
      <w:b/>
      <w:bCs/>
      <w:kern w:val="0"/>
      <w:sz w:val="24"/>
    </w:rPr>
  </w:style>
  <w:style w:type="paragraph" w:customStyle="1" w:styleId="112">
    <w:name w:val="标题 3 New"/>
    <w:basedOn w:val="90"/>
    <w:next w:val="90"/>
    <w:qFormat/>
    <w:uiPriority w:val="0"/>
    <w:pPr>
      <w:keepNext/>
      <w:keepLines/>
      <w:spacing w:line="360" w:lineRule="auto"/>
      <w:ind w:firstLine="200" w:firstLineChars="200"/>
      <w:outlineLvl w:val="2"/>
    </w:pPr>
    <w:rPr>
      <w:b/>
      <w:bCs/>
      <w:szCs w:val="32"/>
    </w:rPr>
  </w:style>
  <w:style w:type="paragraph" w:customStyle="1" w:styleId="113">
    <w:name w:val="xl34"/>
    <w:basedOn w:val="1"/>
    <w:qFormat/>
    <w:uiPriority w:val="0"/>
    <w:pPr>
      <w:widowControl/>
      <w:pBdr>
        <w:top w:val="single" w:color="auto" w:sz="4" w:space="0"/>
        <w:left w:val="single" w:color="auto" w:sz="8" w:space="0"/>
        <w:bottom w:val="single" w:color="auto" w:sz="8" w:space="0"/>
        <w:right w:val="single" w:color="auto" w:sz="4" w:space="0"/>
      </w:pBdr>
      <w:spacing w:before="100" w:beforeAutospacing="1" w:after="100" w:afterAutospacing="1"/>
      <w:jc w:val="center"/>
      <w:textAlignment w:val="center"/>
    </w:pPr>
    <w:rPr>
      <w:kern w:val="0"/>
      <w:sz w:val="24"/>
    </w:rPr>
  </w:style>
  <w:style w:type="paragraph" w:customStyle="1" w:styleId="114">
    <w:name w:val="样式 标题 2 + 宋体 四号 居中"/>
    <w:basedOn w:val="3"/>
    <w:qFormat/>
    <w:uiPriority w:val="0"/>
    <w:pPr>
      <w:keepLines/>
      <w:numPr>
        <w:ilvl w:val="0"/>
        <w:numId w:val="0"/>
      </w:numPr>
      <w:tabs>
        <w:tab w:val="clear" w:pos="960"/>
      </w:tabs>
      <w:spacing w:before="260" w:after="260" w:line="415" w:lineRule="auto"/>
    </w:pPr>
    <w:rPr>
      <w:rFonts w:ascii="宋体" w:hAnsi="宋体" w:eastAsia="宋体" w:cs="宋体"/>
      <w:b/>
      <w:bCs/>
      <w:color w:val="auto"/>
      <w:sz w:val="30"/>
    </w:rPr>
  </w:style>
  <w:style w:type="paragraph" w:customStyle="1" w:styleId="115">
    <w:name w:val="_Style 99"/>
    <w:basedOn w:val="2"/>
    <w:next w:val="1"/>
    <w:qFormat/>
    <w:uiPriority w:val="39"/>
    <w:pPr>
      <w:widowControl/>
      <w:spacing w:before="480" w:after="0" w:line="276" w:lineRule="auto"/>
      <w:jc w:val="left"/>
      <w:outlineLvl w:val="9"/>
    </w:pPr>
    <w:rPr>
      <w:rFonts w:ascii="Cambria" w:hAnsi="Cambria" w:eastAsia="宋体" w:cs="Times New Roman"/>
      <w:color w:val="365F91"/>
      <w:kern w:val="0"/>
      <w:sz w:val="28"/>
      <w:szCs w:val="28"/>
    </w:rPr>
  </w:style>
  <w:style w:type="paragraph" w:customStyle="1" w:styleId="116">
    <w:name w:val="表格文字"/>
    <w:basedOn w:val="1"/>
    <w:qFormat/>
    <w:uiPriority w:val="0"/>
    <w:pPr>
      <w:adjustRightInd w:val="0"/>
      <w:spacing w:line="420" w:lineRule="atLeast"/>
      <w:jc w:val="left"/>
      <w:textAlignment w:val="baseline"/>
    </w:pPr>
    <w:rPr>
      <w:kern w:val="0"/>
      <w:szCs w:val="20"/>
    </w:rPr>
  </w:style>
  <w:style w:type="paragraph" w:customStyle="1" w:styleId="117">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0000"/>
      <w:kern w:val="0"/>
      <w:sz w:val="24"/>
    </w:rPr>
  </w:style>
  <w:style w:type="paragraph" w:customStyle="1" w:styleId="118">
    <w:name w:val="xl4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b/>
      <w:bCs/>
      <w:color w:val="FF0000"/>
      <w:kern w:val="0"/>
      <w:sz w:val="24"/>
    </w:rPr>
  </w:style>
  <w:style w:type="paragraph" w:customStyle="1" w:styleId="119">
    <w:name w:val="font9"/>
    <w:basedOn w:val="1"/>
    <w:qFormat/>
    <w:uiPriority w:val="0"/>
    <w:pPr>
      <w:widowControl/>
      <w:spacing w:before="100" w:beforeAutospacing="1" w:after="100" w:afterAutospacing="1"/>
      <w:jc w:val="left"/>
    </w:pPr>
    <w:rPr>
      <w:kern w:val="0"/>
      <w:sz w:val="24"/>
      <w:u w:val="single"/>
    </w:rPr>
  </w:style>
  <w:style w:type="paragraph" w:customStyle="1" w:styleId="120">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Unicode MS" w:hAnsi="Arial Unicode MS"/>
      <w:kern w:val="0"/>
      <w:sz w:val="24"/>
    </w:rPr>
  </w:style>
  <w:style w:type="paragraph" w:customStyle="1" w:styleId="121">
    <w:name w:val=":-("/>
    <w:qFormat/>
    <w:uiPriority w:val="0"/>
    <w:pPr>
      <w:overflowPunct w:val="0"/>
      <w:autoSpaceDE w:val="0"/>
      <w:autoSpaceDN w:val="0"/>
      <w:adjustRightInd w:val="0"/>
      <w:textAlignment w:val="baseline"/>
    </w:pPr>
    <w:rPr>
      <w:rFonts w:ascii="Times New Roman" w:hAnsi="Times New Roman" w:eastAsia="宋体" w:cs="Times New Roman"/>
      <w:lang w:val="en-GB" w:eastAsia="zh-CN" w:bidi="ar-SA"/>
    </w:rPr>
  </w:style>
  <w:style w:type="paragraph" w:customStyle="1" w:styleId="122">
    <w:name w:val=" Char"/>
    <w:basedOn w:val="1"/>
    <w:qFormat/>
    <w:uiPriority w:val="0"/>
    <w:pPr>
      <w:widowControl/>
      <w:spacing w:after="160" w:line="240" w:lineRule="exact"/>
      <w:jc w:val="left"/>
    </w:pPr>
    <w:rPr>
      <w:szCs w:val="20"/>
    </w:rPr>
  </w:style>
  <w:style w:type="paragraph" w:customStyle="1" w:styleId="123">
    <w:name w:val="font6"/>
    <w:basedOn w:val="1"/>
    <w:qFormat/>
    <w:uiPriority w:val="0"/>
    <w:pPr>
      <w:widowControl/>
      <w:spacing w:before="100" w:beforeAutospacing="1" w:after="100" w:afterAutospacing="1"/>
      <w:jc w:val="left"/>
    </w:pPr>
    <w:rPr>
      <w:rFonts w:hint="eastAsia" w:ascii="宋体" w:hAnsi="宋体"/>
      <w:kern w:val="0"/>
      <w:sz w:val="24"/>
    </w:rPr>
  </w:style>
  <w:style w:type="paragraph" w:customStyle="1" w:styleId="124">
    <w:name w:val=":-|"/>
    <w:qFormat/>
    <w:uiPriority w:val="0"/>
    <w:pPr>
      <w:overflowPunct w:val="0"/>
      <w:autoSpaceDE w:val="0"/>
      <w:autoSpaceDN w:val="0"/>
      <w:adjustRightInd w:val="0"/>
      <w:textAlignment w:val="baseline"/>
    </w:pPr>
    <w:rPr>
      <w:rFonts w:ascii="Times New Roman" w:hAnsi="Times New Roman" w:eastAsia="宋体" w:cs="Times New Roman"/>
      <w:lang w:val="en-GB" w:eastAsia="zh-CN" w:bidi="ar-SA"/>
    </w:rPr>
  </w:style>
  <w:style w:type="paragraph" w:customStyle="1" w:styleId="125">
    <w:name w:val="font0"/>
    <w:basedOn w:val="1"/>
    <w:qFormat/>
    <w:uiPriority w:val="0"/>
    <w:pPr>
      <w:widowControl/>
      <w:spacing w:before="100" w:beforeAutospacing="1" w:after="100" w:afterAutospacing="1"/>
      <w:jc w:val="left"/>
    </w:pPr>
    <w:rPr>
      <w:rFonts w:hint="eastAsia" w:ascii="宋体" w:hAnsi="宋体"/>
      <w:kern w:val="0"/>
      <w:sz w:val="24"/>
    </w:rPr>
  </w:style>
  <w:style w:type="paragraph" w:customStyle="1" w:styleId="126">
    <w:name w:val="==&gt;"/>
    <w:qFormat/>
    <w:uiPriority w:val="0"/>
    <w:pPr>
      <w:overflowPunct w:val="0"/>
      <w:autoSpaceDE w:val="0"/>
      <w:autoSpaceDN w:val="0"/>
      <w:adjustRightInd w:val="0"/>
      <w:textAlignment w:val="baseline"/>
    </w:pPr>
    <w:rPr>
      <w:rFonts w:ascii="Times New Roman" w:hAnsi="Times New Roman" w:eastAsia="宋体" w:cs="Times New Roman"/>
      <w:lang w:val="en-GB" w:eastAsia="zh-CN" w:bidi="ar-SA"/>
    </w:rPr>
  </w:style>
  <w:style w:type="paragraph" w:customStyle="1" w:styleId="127">
    <w:name w:val="xl45"/>
    <w:basedOn w:val="1"/>
    <w:qFormat/>
    <w:uiPriority w:val="0"/>
    <w:pPr>
      <w:widowControl/>
      <w:pBdr>
        <w:top w:val="single" w:color="auto" w:sz="4" w:space="0"/>
        <w:left w:val="single" w:color="auto" w:sz="4" w:space="0"/>
        <w:bottom w:val="single" w:color="auto" w:sz="8" w:space="0"/>
        <w:right w:val="single" w:color="auto" w:sz="4" w:space="0"/>
      </w:pBdr>
      <w:spacing w:before="100" w:beforeAutospacing="1" w:after="100" w:afterAutospacing="1"/>
      <w:textAlignment w:val="center"/>
    </w:pPr>
    <w:rPr>
      <w:kern w:val="0"/>
      <w:sz w:val="24"/>
    </w:rPr>
  </w:style>
  <w:style w:type="paragraph" w:customStyle="1" w:styleId="128">
    <w:name w:val="xl39"/>
    <w:basedOn w:val="1"/>
    <w:qFormat/>
    <w:uiPriority w:val="0"/>
    <w:pPr>
      <w:widowControl/>
      <w:pBdr>
        <w:top w:val="single" w:color="auto" w:sz="4" w:space="0"/>
        <w:left w:val="single" w:color="auto" w:sz="4" w:space="0"/>
        <w:bottom w:val="single" w:color="auto" w:sz="8" w:space="0"/>
        <w:right w:val="single" w:color="auto" w:sz="4" w:space="0"/>
      </w:pBdr>
      <w:spacing w:before="100" w:beforeAutospacing="1" w:after="100" w:afterAutospacing="1"/>
      <w:jc w:val="center"/>
      <w:textAlignment w:val="center"/>
    </w:pPr>
    <w:rPr>
      <w:b/>
      <w:bCs/>
      <w:color w:val="FF0000"/>
      <w:kern w:val="0"/>
      <w:sz w:val="24"/>
    </w:rPr>
  </w:style>
  <w:style w:type="paragraph" w:customStyle="1" w:styleId="129">
    <w:name w:val="xl47"/>
    <w:basedOn w:val="1"/>
    <w:qFormat/>
    <w:uiPriority w:val="0"/>
    <w:pPr>
      <w:widowControl/>
      <w:pBdr>
        <w:top w:val="single" w:color="auto" w:sz="8" w:space="0"/>
        <w:left w:val="single" w:color="auto" w:sz="8" w:space="0"/>
        <w:bottom w:val="single" w:color="auto" w:sz="4" w:space="0"/>
        <w:right w:val="single" w:color="auto" w:sz="4" w:space="0"/>
      </w:pBdr>
      <w:spacing w:before="100" w:beforeAutospacing="1" w:after="100" w:afterAutospacing="1"/>
      <w:jc w:val="center"/>
      <w:textAlignment w:val="center"/>
    </w:pPr>
    <w:rPr>
      <w:rFonts w:hint="eastAsia" w:ascii="黑体" w:hAnsi="Arial Unicode MS" w:eastAsia="黑体"/>
      <w:kern w:val="0"/>
      <w:sz w:val="24"/>
    </w:rPr>
  </w:style>
  <w:style w:type="paragraph" w:customStyle="1" w:styleId="130">
    <w:name w:val=":|"/>
    <w:qFormat/>
    <w:uiPriority w:val="0"/>
    <w:pPr>
      <w:overflowPunct w:val="0"/>
      <w:autoSpaceDE w:val="0"/>
      <w:autoSpaceDN w:val="0"/>
      <w:adjustRightInd w:val="0"/>
      <w:textAlignment w:val="baseline"/>
    </w:pPr>
    <w:rPr>
      <w:rFonts w:ascii="Times New Roman" w:hAnsi="Times New Roman" w:eastAsia="宋体" w:cs="Times New Roman"/>
      <w:lang w:val="en-GB" w:eastAsia="zh-CN" w:bidi="ar-SA"/>
    </w:rPr>
  </w:style>
  <w:style w:type="character" w:customStyle="1" w:styleId="131">
    <w:name w:val="文档结构图 Char"/>
    <w:link w:val="13"/>
    <w:qFormat/>
    <w:uiPriority w:val="0"/>
    <w:rPr>
      <w:rFonts w:eastAsia="宋体"/>
      <w:kern w:val="2"/>
      <w:sz w:val="21"/>
      <w:szCs w:val="24"/>
      <w:lang w:val="en-US" w:eastAsia="zh-CN" w:bidi="ar-SA"/>
    </w:rPr>
  </w:style>
  <w:style w:type="character" w:customStyle="1" w:styleId="132">
    <w:name w:val="正文文本缩进 3 Char"/>
    <w:link w:val="31"/>
    <w:qFormat/>
    <w:uiPriority w:val="0"/>
    <w:rPr>
      <w:rFonts w:ascii="宋体" w:hAnsi="宋体" w:eastAsia="宋体"/>
      <w:kern w:val="2"/>
      <w:sz w:val="21"/>
      <w:szCs w:val="21"/>
      <w:lang w:val="en-US" w:eastAsia="zh-CN" w:bidi="ar-SA"/>
    </w:rPr>
  </w:style>
  <w:style w:type="character" w:customStyle="1" w:styleId="133">
    <w:name w:val="脚注文本 Char"/>
    <w:link w:val="30"/>
    <w:qFormat/>
    <w:uiPriority w:val="0"/>
    <w:rPr>
      <w:rFonts w:eastAsia="宋体"/>
      <w:kern w:val="2"/>
      <w:sz w:val="18"/>
      <w:lang w:val="en-US" w:eastAsia="zh-CN" w:bidi="ar-SA"/>
    </w:rPr>
  </w:style>
  <w:style w:type="character" w:customStyle="1" w:styleId="134">
    <w:name w:val="正文文本 Char"/>
    <w:link w:val="16"/>
    <w:qFormat/>
    <w:uiPriority w:val="0"/>
    <w:rPr>
      <w:rFonts w:eastAsia="宋体"/>
      <w:kern w:val="2"/>
      <w:sz w:val="21"/>
      <w:szCs w:val="24"/>
      <w:lang w:val="en-US" w:eastAsia="zh-CN" w:bidi="ar-SA"/>
    </w:rPr>
  </w:style>
  <w:style w:type="character" w:customStyle="1" w:styleId="135">
    <w:name w:val="我的正文 Char Char"/>
    <w:link w:val="76"/>
    <w:qFormat/>
    <w:uiPriority w:val="0"/>
    <w:rPr>
      <w:rFonts w:ascii="宋体" w:hAnsi="宋体" w:eastAsia="宋体"/>
      <w:kern w:val="2"/>
      <w:sz w:val="24"/>
      <w:szCs w:val="24"/>
      <w:lang w:val="en-US" w:eastAsia="zh-CN" w:bidi="ar-SA"/>
    </w:rPr>
  </w:style>
  <w:style w:type="character" w:customStyle="1" w:styleId="136">
    <w:name w:val="标题 6 Char"/>
    <w:link w:val="7"/>
    <w:qFormat/>
    <w:uiPriority w:val="0"/>
    <w:rPr>
      <w:rFonts w:ascii="Arial" w:hAnsi="Arial" w:eastAsia="黑体"/>
      <w:b/>
      <w:bCs/>
      <w:sz w:val="24"/>
      <w:szCs w:val="24"/>
      <w:lang w:val="en-US" w:eastAsia="zh-CN" w:bidi="ar-SA"/>
    </w:rPr>
  </w:style>
  <w:style w:type="character" w:customStyle="1" w:styleId="137">
    <w:name w:val="尾注文本 Char"/>
    <w:link w:val="25"/>
    <w:qFormat/>
    <w:uiPriority w:val="0"/>
    <w:rPr>
      <w:rFonts w:eastAsia="宋体"/>
      <w:kern w:val="2"/>
      <w:sz w:val="21"/>
      <w:lang w:val="en-US" w:eastAsia="zh-CN" w:bidi="ar-SA"/>
    </w:rPr>
  </w:style>
  <w:style w:type="character" w:customStyle="1" w:styleId="138">
    <w:name w:val="批注框文本 Char"/>
    <w:link w:val="26"/>
    <w:qFormat/>
    <w:uiPriority w:val="0"/>
    <w:rPr>
      <w:rFonts w:eastAsia="宋体"/>
      <w:kern w:val="2"/>
      <w:sz w:val="18"/>
      <w:szCs w:val="18"/>
      <w:lang w:val="en-US" w:eastAsia="zh-CN" w:bidi="ar-SA"/>
    </w:rPr>
  </w:style>
  <w:style w:type="character" w:customStyle="1" w:styleId="139">
    <w:name w:val="标题 4 Char"/>
    <w:link w:val="5"/>
    <w:qFormat/>
    <w:uiPriority w:val="0"/>
    <w:rPr>
      <w:rFonts w:ascii="方正姚体" w:eastAsia="方正姚体"/>
      <w:kern w:val="2"/>
      <w:sz w:val="36"/>
      <w:szCs w:val="32"/>
      <w:lang w:val="en-US" w:eastAsia="zh-CN" w:bidi="ar-SA"/>
    </w:rPr>
  </w:style>
  <w:style w:type="character" w:customStyle="1" w:styleId="140">
    <w:name w:val="标题 Char"/>
    <w:link w:val="36"/>
    <w:qFormat/>
    <w:uiPriority w:val="0"/>
    <w:rPr>
      <w:rFonts w:ascii="Arial" w:hAnsi="Arial" w:eastAsia="宋体"/>
      <w:b/>
      <w:sz w:val="32"/>
      <w:lang w:val="en-US" w:eastAsia="zh-CN" w:bidi="ar-SA"/>
    </w:rPr>
  </w:style>
  <w:style w:type="character" w:customStyle="1" w:styleId="141">
    <w:name w:val="批注文字 Char"/>
    <w:link w:val="14"/>
    <w:qFormat/>
    <w:uiPriority w:val="0"/>
    <w:rPr>
      <w:rFonts w:eastAsia="宋体"/>
      <w:kern w:val="2"/>
      <w:sz w:val="21"/>
      <w:szCs w:val="24"/>
      <w:lang w:val="en-US" w:eastAsia="zh-CN" w:bidi="ar-SA"/>
    </w:rPr>
  </w:style>
  <w:style w:type="character" w:customStyle="1" w:styleId="142">
    <w:name w:val="页眉 Char"/>
    <w:link w:val="28"/>
    <w:qFormat/>
    <w:uiPriority w:val="99"/>
    <w:rPr>
      <w:rFonts w:eastAsia="宋体"/>
      <w:kern w:val="2"/>
      <w:sz w:val="18"/>
      <w:szCs w:val="18"/>
      <w:lang w:val="en-US" w:eastAsia="zh-CN" w:bidi="ar-SA"/>
    </w:rPr>
  </w:style>
  <w:style w:type="character" w:customStyle="1" w:styleId="143">
    <w:name w:val="标题 9 Char"/>
    <w:link w:val="10"/>
    <w:qFormat/>
    <w:uiPriority w:val="0"/>
    <w:rPr>
      <w:rFonts w:ascii="Arial" w:hAnsi="Arial" w:eastAsia="黑体"/>
      <w:sz w:val="21"/>
      <w:szCs w:val="21"/>
      <w:lang w:val="en-US" w:eastAsia="zh-CN" w:bidi="ar-SA"/>
    </w:rPr>
  </w:style>
  <w:style w:type="character" w:customStyle="1" w:styleId="144">
    <w:name w:val="标题 8 Char"/>
    <w:link w:val="9"/>
    <w:qFormat/>
    <w:uiPriority w:val="0"/>
    <w:rPr>
      <w:rFonts w:ascii="Arial" w:hAnsi="Arial" w:eastAsia="黑体"/>
      <w:sz w:val="24"/>
      <w:szCs w:val="24"/>
      <w:lang w:val="en-US" w:eastAsia="zh-CN" w:bidi="ar-SA"/>
    </w:rPr>
  </w:style>
  <w:style w:type="character" w:customStyle="1" w:styleId="145">
    <w:name w:val="标题 2 Char"/>
    <w:link w:val="3"/>
    <w:qFormat/>
    <w:uiPriority w:val="0"/>
    <w:rPr>
      <w:rFonts w:ascii="黑体" w:eastAsia="黑体"/>
      <w:color w:val="000000"/>
      <w:kern w:val="2"/>
      <w:sz w:val="28"/>
      <w:lang w:val="en-US" w:eastAsia="zh-CN" w:bidi="ar-SA"/>
    </w:rPr>
  </w:style>
  <w:style w:type="character" w:customStyle="1" w:styleId="146">
    <w:name w:val="正文文本缩进 Char"/>
    <w:link w:val="17"/>
    <w:qFormat/>
    <w:uiPriority w:val="0"/>
    <w:rPr>
      <w:rFonts w:ascii="宋体" w:eastAsia="宋体"/>
      <w:kern w:val="2"/>
      <w:sz w:val="24"/>
      <w:szCs w:val="24"/>
      <w:lang w:val="en-US" w:eastAsia="zh-CN" w:bidi="ar-SA"/>
    </w:rPr>
  </w:style>
  <w:style w:type="character" w:customStyle="1" w:styleId="147">
    <w:name w:val="正文文本 3 Char"/>
    <w:link w:val="15"/>
    <w:qFormat/>
    <w:uiPriority w:val="0"/>
    <w:rPr>
      <w:rFonts w:ascii="宋体" w:eastAsia="宋体"/>
      <w:color w:val="000000"/>
      <w:kern w:val="2"/>
      <w:sz w:val="32"/>
      <w:lang w:val="en-US" w:eastAsia="zh-CN" w:bidi="ar-SA"/>
    </w:rPr>
  </w:style>
  <w:style w:type="character" w:customStyle="1" w:styleId="148">
    <w:name w:val="正文文本 2 Char"/>
    <w:link w:val="33"/>
    <w:qFormat/>
    <w:uiPriority w:val="0"/>
    <w:rPr>
      <w:rFonts w:ascii="宋体" w:eastAsia="宋体"/>
      <w:kern w:val="2"/>
      <w:sz w:val="28"/>
      <w:lang w:val="en-US" w:eastAsia="zh-CN" w:bidi="ar-SA"/>
    </w:rPr>
  </w:style>
  <w:style w:type="character" w:customStyle="1" w:styleId="149">
    <w:name w:val="标题 7 Char"/>
    <w:link w:val="8"/>
    <w:qFormat/>
    <w:uiPriority w:val="0"/>
    <w:rPr>
      <w:rFonts w:eastAsia="宋体"/>
      <w:b/>
      <w:bCs/>
      <w:sz w:val="24"/>
      <w:szCs w:val="24"/>
      <w:lang w:val="en-US" w:eastAsia="zh-CN" w:bidi="ar-SA"/>
    </w:rPr>
  </w:style>
  <w:style w:type="character" w:customStyle="1" w:styleId="150">
    <w:name w:val="标题 3 Char"/>
    <w:link w:val="4"/>
    <w:qFormat/>
    <w:uiPriority w:val="0"/>
    <w:rPr>
      <w:rFonts w:ascii="黑体" w:eastAsia="黑体"/>
      <w:color w:val="000000"/>
      <w:kern w:val="2"/>
      <w:sz w:val="32"/>
      <w:lang w:val="en-US" w:eastAsia="zh-CN" w:bidi="ar-SA"/>
    </w:rPr>
  </w:style>
  <w:style w:type="character" w:customStyle="1" w:styleId="151">
    <w:name w:val="纯文本 Char"/>
    <w:link w:val="21"/>
    <w:qFormat/>
    <w:uiPriority w:val="0"/>
    <w:rPr>
      <w:rFonts w:ascii="宋体" w:hAnsi="Courier New" w:eastAsia="宋体" w:cs="黑体"/>
      <w:sz w:val="21"/>
      <w:szCs w:val="21"/>
      <w:lang w:val="en-US" w:eastAsia="zh-CN" w:bidi="ar-SA"/>
    </w:rPr>
  </w:style>
  <w:style w:type="character" w:customStyle="1" w:styleId="152">
    <w:name w:val="页脚 Char"/>
    <w:link w:val="27"/>
    <w:qFormat/>
    <w:uiPriority w:val="99"/>
    <w:rPr>
      <w:rFonts w:eastAsia="宋体"/>
      <w:kern w:val="2"/>
      <w:sz w:val="18"/>
      <w:lang w:val="en-US" w:eastAsia="zh-CN" w:bidi="ar-SA"/>
    </w:rPr>
  </w:style>
  <w:style w:type="paragraph" w:customStyle="1" w:styleId="153">
    <w:name w:val="无间隔1"/>
    <w:qFormat/>
    <w:uiPriority w:val="1"/>
    <w:pPr>
      <w:adjustRightInd w:val="0"/>
      <w:snapToGrid w:val="0"/>
    </w:pPr>
    <w:rPr>
      <w:rFonts w:ascii="Tahoma" w:hAnsi="Tahoma" w:eastAsia="微软雅黑" w:cs="宋体"/>
      <w:kern w:val="0"/>
      <w:sz w:val="22"/>
      <w:szCs w:val="22"/>
      <w:lang w:val="en-US" w:eastAsia="zh-CN" w:bidi="ar-SA"/>
    </w:rPr>
  </w:style>
  <w:style w:type="character" w:customStyle="1" w:styleId="154">
    <w:name w:val="mark"/>
    <w:basedOn w:val="42"/>
    <w:qFormat/>
    <w:uiPriority w:val="0"/>
    <w:rPr>
      <w:rFonts w:ascii="Times New Roman" w:hAnsi="Times New Roman" w:eastAsia="宋体" w:cs="Times New Roman"/>
    </w:rPr>
  </w:style>
  <w:style w:type="character" w:customStyle="1" w:styleId="155">
    <w:name w:val="apple-style-span"/>
    <w:basedOn w:val="42"/>
    <w:qFormat/>
    <w:uiPriority w:val="0"/>
  </w:style>
  <w:style w:type="table" w:customStyle="1" w:styleId="156">
    <w:name w:val="Table Normal"/>
    <w:qFormat/>
    <w:uiPriority w:val="0"/>
    <w:tblPr>
      <w:tblCellMar>
        <w:top w:w="0" w:type="dxa"/>
        <w:left w:w="0" w:type="dxa"/>
        <w:bottom w:w="0" w:type="dxa"/>
        <w:right w:w="0" w:type="dxa"/>
      </w:tblCellMar>
    </w:tblPr>
  </w:style>
  <w:style w:type="paragraph" w:customStyle="1" w:styleId="157">
    <w:name w:val="正文1"/>
    <w:basedOn w:val="1"/>
    <w:qFormat/>
    <w:uiPriority w:val="0"/>
    <w:pPr>
      <w:spacing w:after="200" w:line="300" w:lineRule="atLeast"/>
    </w:pPr>
    <w:rPr>
      <w:rFonts w:ascii="Calibri" w:hAnsi="Calibri" w:cs="宋体"/>
      <w:sz w:val="22"/>
      <w:szCs w:val="22"/>
      <w:lang w:eastAsia="zh-CN"/>
    </w:rPr>
  </w:style>
  <w:style w:type="paragraph" w:customStyle="1" w:styleId="158">
    <w:name w:val="Body text|1"/>
    <w:basedOn w:val="1"/>
    <w:qFormat/>
    <w:uiPriority w:val="0"/>
    <w:pPr>
      <w:spacing w:line="396" w:lineRule="auto"/>
      <w:ind w:firstLine="400"/>
    </w:pPr>
    <w:rPr>
      <w:rFonts w:ascii="宋体" w:hAnsi="宋体" w:cs="宋体"/>
      <w:color w:val="222124"/>
      <w:sz w:val="30"/>
      <w:szCs w:val="30"/>
      <w:lang w:val="zh-TW" w:eastAsia="zh-TW" w:bidi="zh-TW"/>
    </w:rPr>
  </w:style>
  <w:style w:type="paragraph" w:customStyle="1" w:styleId="159">
    <w:name w:val="Other|1"/>
    <w:basedOn w:val="1"/>
    <w:qFormat/>
    <w:uiPriority w:val="0"/>
    <w:pPr>
      <w:spacing w:line="396" w:lineRule="auto"/>
      <w:ind w:firstLine="400"/>
    </w:pPr>
    <w:rPr>
      <w:rFonts w:ascii="宋体" w:hAnsi="宋体" w:cs="宋体"/>
      <w:color w:val="222124"/>
      <w:sz w:val="30"/>
      <w:szCs w:val="30"/>
      <w:lang w:val="zh-TW" w:eastAsia="zh-TW" w:bidi="zh-TW"/>
    </w:rPr>
  </w:style>
  <w:style w:type="paragraph" w:styleId="160">
    <w:name w:val="List Paragraph"/>
    <w:basedOn w:val="1"/>
    <w:qFormat/>
    <w:uiPriority w:val="34"/>
    <w:pPr>
      <w:ind w:firstLine="420" w:firstLineChars="200"/>
    </w:pPr>
    <w:rPr>
      <w:rFonts w:ascii="Calibri" w:hAnsi="Calibri"/>
    </w:rPr>
  </w:style>
  <w:style w:type="character" w:customStyle="1" w:styleId="161">
    <w:name w:val="font81"/>
    <w:basedOn w:val="42"/>
    <w:qFormat/>
    <w:uiPriority w:val="0"/>
    <w:rPr>
      <w:rFonts w:hint="eastAsia" w:ascii="宋体" w:hAnsi="宋体" w:eastAsia="宋体" w:cs="宋体"/>
      <w:color w:val="000000"/>
      <w:sz w:val="16"/>
      <w:szCs w:val="16"/>
      <w:u w:val="none"/>
    </w:rPr>
  </w:style>
  <w:style w:type="character" w:customStyle="1" w:styleId="162">
    <w:name w:val="font01"/>
    <w:basedOn w:val="42"/>
    <w:qFormat/>
    <w:uiPriority w:val="0"/>
    <w:rPr>
      <w:rFonts w:hint="eastAsia" w:ascii="宋体" w:hAnsi="宋体" w:eastAsia="宋体" w:cs="宋体"/>
      <w:color w:val="FF0000"/>
      <w:sz w:val="16"/>
      <w:szCs w:val="16"/>
      <w:u w:val="none"/>
    </w:rPr>
  </w:style>
  <w:style w:type="character" w:customStyle="1" w:styleId="163">
    <w:name w:val="font51"/>
    <w:basedOn w:val="42"/>
    <w:qFormat/>
    <w:uiPriority w:val="0"/>
    <w:rPr>
      <w:rFonts w:hint="eastAsia" w:ascii="宋体" w:hAnsi="宋体" w:eastAsia="宋体" w:cs="宋体"/>
      <w:color w:val="000000"/>
      <w:sz w:val="16"/>
      <w:szCs w:val="16"/>
      <w:u w:val="none"/>
    </w:rPr>
  </w:style>
  <w:style w:type="character" w:customStyle="1" w:styleId="164">
    <w:name w:val="font41"/>
    <w:basedOn w:val="42"/>
    <w:qFormat/>
    <w:uiPriority w:val="0"/>
    <w:rPr>
      <w:rFonts w:ascii="Calibri" w:hAnsi="Calibri" w:cs="Calibri"/>
      <w:color w:val="000000"/>
      <w:sz w:val="16"/>
      <w:szCs w:val="16"/>
      <w:u w:val="none"/>
    </w:rPr>
  </w:style>
  <w:style w:type="character" w:customStyle="1" w:styleId="165">
    <w:name w:val="font91"/>
    <w:basedOn w:val="42"/>
    <w:qFormat/>
    <w:uiPriority w:val="0"/>
    <w:rPr>
      <w:rFonts w:ascii="Calibri" w:hAnsi="Calibri" w:cs="Calibri"/>
      <w:color w:val="000000"/>
      <w:sz w:val="16"/>
      <w:szCs w:val="16"/>
      <w:u w:val="none"/>
    </w:rPr>
  </w:style>
  <w:style w:type="character" w:customStyle="1" w:styleId="166">
    <w:name w:val="font21"/>
    <w:basedOn w:val="42"/>
    <w:qFormat/>
    <w:uiPriority w:val="0"/>
    <w:rPr>
      <w:rFonts w:hint="eastAsia" w:ascii="宋体" w:hAnsi="宋体" w:eastAsia="宋体" w:cs="宋体"/>
      <w:color w:val="000000"/>
      <w:sz w:val="16"/>
      <w:szCs w:val="16"/>
      <w:u w:val="none"/>
    </w:rPr>
  </w:style>
  <w:style w:type="character" w:customStyle="1" w:styleId="167">
    <w:name w:val="font111"/>
    <w:basedOn w:val="42"/>
    <w:qFormat/>
    <w:uiPriority w:val="0"/>
    <w:rPr>
      <w:rFonts w:hint="eastAsia" w:ascii="宋体" w:hAnsi="宋体" w:eastAsia="宋体" w:cs="宋体"/>
      <w:color w:val="FF0000"/>
      <w:sz w:val="16"/>
      <w:szCs w:val="16"/>
      <w:u w:val="none"/>
    </w:rPr>
  </w:style>
  <w:style w:type="character" w:customStyle="1" w:styleId="168">
    <w:name w:val="font122"/>
    <w:basedOn w:val="42"/>
    <w:qFormat/>
    <w:uiPriority w:val="0"/>
    <w:rPr>
      <w:rFonts w:ascii="Calibri" w:hAnsi="Calibri" w:cs="Calibri"/>
      <w:color w:val="000000"/>
      <w:sz w:val="16"/>
      <w:szCs w:val="16"/>
      <w:u w:val="none"/>
    </w:rPr>
  </w:style>
  <w:style w:type="character" w:customStyle="1" w:styleId="169">
    <w:name w:val="font31"/>
    <w:basedOn w:val="42"/>
    <w:qFormat/>
    <w:uiPriority w:val="0"/>
    <w:rPr>
      <w:rFonts w:hint="eastAsia" w:ascii="宋体" w:hAnsi="宋体" w:eastAsia="宋体" w:cs="宋体"/>
      <w:color w:val="000000"/>
      <w:sz w:val="20"/>
      <w:szCs w:val="20"/>
      <w:u w:val="none"/>
    </w:rPr>
  </w:style>
  <w:style w:type="character" w:customStyle="1" w:styleId="170">
    <w:name w:val="font121"/>
    <w:basedOn w:val="42"/>
    <w:qFormat/>
    <w:uiPriority w:val="0"/>
    <w:rPr>
      <w:rFonts w:hint="eastAsia" w:ascii="微软雅黑" w:hAnsi="微软雅黑" w:eastAsia="微软雅黑" w:cs="微软雅黑"/>
      <w:b/>
      <w:bCs/>
      <w:color w:val="000000"/>
      <w:sz w:val="26"/>
      <w:szCs w:val="26"/>
      <w:u w:val="none"/>
    </w:rPr>
  </w:style>
  <w:style w:type="character" w:customStyle="1" w:styleId="171">
    <w:name w:val="font141"/>
    <w:basedOn w:val="42"/>
    <w:qFormat/>
    <w:uiPriority w:val="0"/>
    <w:rPr>
      <w:rFonts w:ascii="Calibri" w:hAnsi="Calibri" w:cs="Calibri"/>
      <w:color w:val="000000"/>
      <w:sz w:val="22"/>
      <w:szCs w:val="22"/>
      <w:u w:val="none"/>
    </w:rPr>
  </w:style>
  <w:style w:type="character" w:customStyle="1" w:styleId="172">
    <w:name w:val="font101"/>
    <w:basedOn w:val="42"/>
    <w:qFormat/>
    <w:uiPriority w:val="0"/>
    <w:rPr>
      <w:rFonts w:hint="eastAsia" w:ascii="微软雅黑" w:hAnsi="微软雅黑" w:eastAsia="微软雅黑" w:cs="微软雅黑"/>
      <w:color w:val="FF0000"/>
      <w:sz w:val="20"/>
      <w:szCs w:val="20"/>
      <w:u w:val="none"/>
    </w:rPr>
  </w:style>
  <w:style w:type="character" w:customStyle="1" w:styleId="173">
    <w:name w:val="font71"/>
    <w:basedOn w:val="42"/>
    <w:qFormat/>
    <w:uiPriority w:val="0"/>
    <w:rPr>
      <w:rFonts w:hint="eastAsia" w:ascii="微软雅黑" w:hAnsi="微软雅黑" w:eastAsia="微软雅黑" w:cs="微软雅黑"/>
      <w:b/>
      <w:bCs/>
      <w:color w:val="000000"/>
      <w:sz w:val="26"/>
      <w:szCs w:val="26"/>
      <w:u w:val="none"/>
    </w:rPr>
  </w:style>
  <w:style w:type="character" w:customStyle="1" w:styleId="174">
    <w:name w:val="font132"/>
    <w:basedOn w:val="42"/>
    <w:qFormat/>
    <w:uiPriority w:val="0"/>
    <w:rPr>
      <w:rFonts w:hint="eastAsia" w:ascii="微软雅黑" w:hAnsi="微软雅黑" w:eastAsia="微软雅黑" w:cs="微软雅黑"/>
      <w:b/>
      <w:bCs/>
      <w:color w:val="000000"/>
      <w:sz w:val="26"/>
      <w:szCs w:val="26"/>
      <w:u w:val="none"/>
    </w:rPr>
  </w:style>
  <w:style w:type="character" w:customStyle="1" w:styleId="175">
    <w:name w:val="font131"/>
    <w:basedOn w:val="42"/>
    <w:qFormat/>
    <w:uiPriority w:val="0"/>
    <w:rPr>
      <w:rFonts w:hint="eastAsia" w:ascii="微软雅黑" w:hAnsi="微软雅黑" w:eastAsia="微软雅黑" w:cs="微软雅黑"/>
      <w:b/>
      <w:bCs/>
      <w:color w:val="000000"/>
      <w:sz w:val="26"/>
      <w:szCs w:val="26"/>
      <w:u w:val="none"/>
    </w:rPr>
  </w:style>
  <w:style w:type="paragraph" w:customStyle="1" w:styleId="176">
    <w:name w:val="正文 缩进2字符"/>
    <w:basedOn w:val="1"/>
    <w:qFormat/>
    <w:uiPriority w:val="0"/>
    <w:pPr>
      <w:spacing w:afterLines="50" w:line="360" w:lineRule="auto"/>
      <w:ind w:firstLine="480" w:firstLineChars="200"/>
    </w:pPr>
    <w:rPr>
      <w:rFonts w:ascii="宋体" w:hAnsi="宋体"/>
      <w:sz w:val="24"/>
    </w:rPr>
  </w:style>
  <w:style w:type="paragraph" w:customStyle="1" w:styleId="177">
    <w:name w:val="null3"/>
    <w:qFormat/>
    <w:uiPriority w:val="0"/>
    <w:rPr>
      <w:rFonts w:hint="eastAsia" w:ascii="Calibri" w:hAnsi="Calibri" w:eastAsia="宋体" w:cs="Times New Roman"/>
      <w:lang w:val="en-US" w:eastAsia="zh-Hans"/>
    </w:rPr>
  </w:style>
  <w:style w:type="character" w:customStyle="1" w:styleId="178">
    <w:name w:val="font61"/>
    <w:basedOn w:val="42"/>
    <w:qFormat/>
    <w:uiPriority w:val="0"/>
    <w:rPr>
      <w:rFonts w:ascii="Arial" w:hAnsi="Arial" w:cs="Arial"/>
      <w:color w:val="000000"/>
      <w:sz w:val="22"/>
      <w:szCs w:val="22"/>
      <w:u w:val="none"/>
    </w:rPr>
  </w:style>
  <w:style w:type="paragraph" w:customStyle="1" w:styleId="179">
    <w:name w:val="正文格式"/>
    <w:autoRedefine/>
    <w:qFormat/>
    <w:uiPriority w:val="0"/>
    <w:pPr>
      <w:spacing w:line="360" w:lineRule="auto"/>
      <w:ind w:firstLine="200" w:firstLineChars="200"/>
    </w:pPr>
    <w:rPr>
      <w:rFonts w:ascii="宋体" w:hAnsi="宋体" w:eastAsia="宋体" w:cs="Times New Roman"/>
      <w:kern w:val="2"/>
      <w:sz w:val="28"/>
      <w:szCs w:val="22"/>
      <w:lang w:val="en-US" w:eastAsia="zh-CN"/>
    </w:rPr>
  </w:style>
  <w:style w:type="paragraph" w:customStyle="1" w:styleId="180">
    <w:name w:val="首行缩进"/>
    <w:basedOn w:val="1"/>
    <w:autoRedefine/>
    <w:qFormat/>
    <w:uiPriority w:val="0"/>
    <w:pPr>
      <w:spacing w:line="360" w:lineRule="auto"/>
      <w:ind w:firstLine="420" w:firstLineChars="200"/>
    </w:pPr>
    <w:rPr>
      <w:sz w:val="21"/>
    </w:rPr>
  </w:style>
  <w:style w:type="paragraph" w:customStyle="1" w:styleId="181">
    <w:name w:val="@正文"/>
    <w:basedOn w:val="1"/>
    <w:qFormat/>
    <w:uiPriority w:val="0"/>
    <w:pPr>
      <w:widowControl/>
      <w:ind w:firstLine="200" w:firstLineChars="200"/>
    </w:pPr>
    <w:rPr>
      <w:rFonts w:ascii="Calibri" w:hAnsi="Calibri" w:cstheme="minorHAnsi"/>
      <w:color w:val="000000"/>
      <w:kern w:val="24"/>
      <w:sz w:val="24"/>
    </w:rPr>
  </w:style>
  <w:style w:type="character" w:customStyle="1" w:styleId="182">
    <w:name w:val="标题 1 Char"/>
    <w:link w:val="2"/>
    <w:qFormat/>
    <w:uiPriority w:val="0"/>
    <w:rPr>
      <w:rFonts w:ascii="黑体" w:eastAsia="黑体"/>
      <w:sz w:val="30"/>
      <w:szCs w:val="20"/>
    </w:rPr>
  </w:style>
  <w:style w:type="paragraph" w:customStyle="1" w:styleId="183">
    <w:name w:val="列表段落1"/>
    <w:basedOn w:val="1"/>
    <w:qFormat/>
    <w:uiPriority w:val="34"/>
    <w:pPr>
      <w:ind w:firstLine="420" w:firstLineChars="200"/>
    </w:pPr>
  </w:style>
  <w:style w:type="paragraph" w:customStyle="1" w:styleId="184">
    <w:name w:val="Table Text"/>
    <w:basedOn w:val="1"/>
    <w:semiHidden/>
    <w:qFormat/>
    <w:uiPriority w:val="0"/>
    <w:rPr>
      <w:rFonts w:ascii="宋体" w:hAnsi="宋体" w:eastAsia="宋体" w:cs="宋体"/>
      <w:sz w:val="21"/>
      <w:szCs w:val="21"/>
      <w:lang w:val="en-US" w:eastAsia="en-US" w:bidi="ar-SA"/>
    </w:rPr>
  </w:style>
  <w:style w:type="paragraph" w:customStyle="1" w:styleId="185">
    <w:name w:val="Table Paragraph"/>
    <w:basedOn w:val="1"/>
    <w:qFormat/>
    <w:uiPriority w:val="1"/>
    <w:pPr>
      <w:spacing w:before="46"/>
      <w:ind w:left="171" w:right="150"/>
      <w:jc w:val="center"/>
    </w:pPr>
    <w:rPr>
      <w:rFonts w:ascii="仿宋" w:hAnsi="仿宋" w:eastAsia="仿宋" w:cs="仿宋"/>
      <w:lang w:val="zh-CN" w:bidi="zh-CN"/>
    </w:rPr>
  </w:style>
  <w:style w:type="paragraph" w:customStyle="1" w:styleId="186">
    <w:name w:val="正文缩进1"/>
    <w:basedOn w:val="1"/>
    <w:qFormat/>
    <w:uiPriority w:val="0"/>
    <w:pPr>
      <w:ind w:firstLine="420"/>
    </w:pPr>
    <w:rPr>
      <w:rFonts w:ascii="Times New Roman" w:hAnsi="Times New Roman"/>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image" Target="media/image1.jpeg"/><Relationship Id="rId11" Type="http://schemas.openxmlformats.org/officeDocument/2006/relationships/theme" Target="theme/theme1.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jtj</Company>
  <Pages>117</Pages>
  <Words>3193</Words>
  <Characters>3561</Characters>
  <Lines>1</Lines>
  <Paragraphs>1</Paragraphs>
  <TotalTime>11</TotalTime>
  <ScaleCrop>false</ScaleCrop>
  <LinksUpToDate>false</LinksUpToDate>
  <CharactersWithSpaces>20117</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2016-11-02T04:42:00Z</dcterms:created>
  <dc:creator>user25</dc:creator>
  <cp:lastModifiedBy>1</cp:lastModifiedBy>
  <cp:lastPrinted>2026-07-29T07:21:00Z</cp:lastPrinted>
  <dcterms:modified xsi:type="dcterms:W3CDTF">2026-07-31T08:12:53Z</dcterms:modified>
  <dc:title>第一篇 投标邀请书</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9AABA2D0041F4A05B7852CC58C7A3323_13</vt:lpwstr>
  </property>
  <property fmtid="{D5CDD505-2E9C-101B-9397-08002B2CF9AE}" pid="4" name="KSOTemplateDocerSaveRecord">
    <vt:lpwstr>eyJoZGlkIjoiYTUxNGFmYWU2ZDcxYmRjNzZmOTYxZWY3MzJiN2M4MWUiLCJ1c2VySWQiOiI0MTgxNjQ0ODkifQ==</vt:lpwstr>
  </property>
</Properties>
</file>