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版本号：SXWZ2026ZB-SGAJ-10920260616002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2026年度摩托车购置更新项目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SXWZ2026ZB-SGAJ-109</w:t>
      </w:r>
      <w:r>
        <w:br/>
      </w:r>
      <w:r>
        <w:br/>
      </w:r>
      <w:r>
        <w:br/>
      </w:r>
    </w:p>
    <w:p>
      <w:pPr>
        <w:pStyle w:val="null3"/>
        <w:jc w:val="center"/>
        <w:outlineLvl w:val="2"/>
      </w:pPr>
      <w:r>
        <w:rPr>
          <w:rFonts w:ascii="仿宋_GB2312" w:hAnsi="仿宋_GB2312" w:cs="仿宋_GB2312" w:eastAsia="仿宋_GB2312"/>
          <w:sz w:val="28"/>
          <w:b/>
        </w:rPr>
        <w:t>西安市公安局（本级）</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西安市公安局（本级）</w:t>
      </w:r>
      <w:r>
        <w:rPr>
          <w:rFonts w:ascii="仿宋_GB2312" w:hAnsi="仿宋_GB2312" w:cs="仿宋_GB2312" w:eastAsia="仿宋_GB2312"/>
        </w:rPr>
        <w:t>委托，拟对</w:t>
      </w:r>
      <w:r>
        <w:rPr>
          <w:rFonts w:ascii="仿宋_GB2312" w:hAnsi="仿宋_GB2312" w:cs="仿宋_GB2312" w:eastAsia="仿宋_GB2312"/>
        </w:rPr>
        <w:t>2026年度摩托车购置更新项目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SXWZ2026ZB-SGAJ-109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2026年度摩托车购置更新项目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西安市公安局2026年度摩托车购置更新项目。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 ：提供统一社会信用代码的营业执照或其他组织经营的合法凭证或自然人的提供身份证明文件。</w:t>
      </w:r>
    </w:p>
    <w:p>
      <w:pPr>
        <w:pStyle w:val="null3"/>
      </w:pPr>
      <w:r>
        <w:rPr>
          <w:rFonts w:ascii="仿宋_GB2312" w:hAnsi="仿宋_GB2312" w:cs="仿宋_GB2312" w:eastAsia="仿宋_GB2312"/>
        </w:rPr>
        <w:t>2、法定代表人证明书或法人授权委托书 ：法定代表人直接参加的须出具法人身份证明并于营业执照信息一致，法定代表人授权代表参加的须出具法定代表人授权书。</w:t>
      </w:r>
    </w:p>
    <w:p>
      <w:pPr>
        <w:pStyle w:val="null3"/>
      </w:pPr>
      <w:r>
        <w:rPr>
          <w:rFonts w:ascii="仿宋_GB2312" w:hAnsi="仿宋_GB2312" w:cs="仿宋_GB2312" w:eastAsia="仿宋_GB2312"/>
        </w:rPr>
        <w:t>3、财务状况报告 ：具有良好的商业信誉和健全的财务会计制度的证明材料（须提供2024年度或2025年度经第三方审计的财务报告，至少包括三表一注，即资产负债表、利润表、现金流量表及其附注（成立时间至提交响应文件截止时间不足一年的可提供成立后任意时段的资产负债表）；或其响应文件递交截止时间前六个月内基本存款账户开户银行出具的资信证明及开户银行许可证（或开户行出具的基本户证明材料）。注：财会[2023]15号文《财政部国务院国资委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 ：供应商提供本单位开标前六个月内已缴纳的至少一个月纳税证明或完税证明，依法免税的单位应提供相关证明材料（以税款所属时期为准）。</w:t>
      </w:r>
    </w:p>
    <w:p>
      <w:pPr>
        <w:pStyle w:val="null3"/>
      </w:pPr>
      <w:r>
        <w:rPr>
          <w:rFonts w:ascii="仿宋_GB2312" w:hAnsi="仿宋_GB2312" w:cs="仿宋_GB2312" w:eastAsia="仿宋_GB2312"/>
        </w:rPr>
        <w:t>5、社保缴纳证明 ：供应商提供本单位开标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6、书面声明 ：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pPr>
        <w:pStyle w:val="null3"/>
      </w:pPr>
      <w:r>
        <w:rPr>
          <w:rFonts w:ascii="仿宋_GB2312" w:hAnsi="仿宋_GB2312" w:cs="仿宋_GB2312" w:eastAsia="仿宋_GB2312"/>
        </w:rPr>
        <w:t>7、供应商非采购人单位职工及家属投资开办声明 ：供应商非采购人单位职工及家属投资开办，其法人、股东和经营管理人员非采购人单位职工及家属。</w:t>
      </w:r>
    </w:p>
    <w:p>
      <w:pPr>
        <w:pStyle w:val="null3"/>
      </w:pPr>
      <w:r>
        <w:rPr>
          <w:rFonts w:ascii="仿宋_GB2312" w:hAnsi="仿宋_GB2312" w:cs="仿宋_GB2312" w:eastAsia="仿宋_GB2312"/>
        </w:rPr>
        <w:t>8、联合体声明 ：供应商需提供非联合体声明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陕西省西安市未央区永淳路1号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17691156029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029-88319689转8003/8005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代理服务费收费标准：参照国家计委关于《招标代理服务收费管理暂行办法》（计价格[2002]1980号）、《国家发展改革委办公厅关于招标代理服务收费有关问题的通知》（发改价格[2003]857号）收取 成交供应商按以下账户缴纳服务费（对公转账）： 户名：陕西万泽招标有限公司 账号：211011580000015489 开户行：西安银行朝阳门支行 转账备注：市公安-109服务费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西安市公安局（本级）</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联系电话：029-88319689转8003</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西安市公安局</w:t>
      </w:r>
      <w:r>
        <w:rPr>
          <w:rFonts w:ascii="仿宋_GB2312" w:hAnsi="仿宋_GB2312" w:cs="仿宋_GB2312" w:eastAsia="仿宋_GB2312"/>
          <w:sz w:val="24"/>
        </w:rPr>
        <w:t>2026年度摩托车购置更新项目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910,000.00</w:t>
      </w:r>
    </w:p>
    <w:p>
      <w:pPr>
        <w:pStyle w:val="null3"/>
      </w:pPr>
      <w:r>
        <w:rPr>
          <w:rFonts w:ascii="仿宋_GB2312" w:hAnsi="仿宋_GB2312" w:cs="仿宋_GB2312" w:eastAsia="仿宋_GB2312"/>
        </w:rPr>
        <w:t>采购包最高限价（元）: 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摩托车购置更新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标的名称：摩托车购置更新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采购内容</w:t>
            </w:r>
          </w:p>
          <w:p>
            <w:pPr>
              <w:pStyle w:val="null3"/>
            </w:pPr>
            <w:r>
              <w:rPr>
                <w:rFonts w:ascii="仿宋_GB2312" w:hAnsi="仿宋_GB2312" w:cs="仿宋_GB2312" w:eastAsia="仿宋_GB2312"/>
                <w:sz w:val="24"/>
              </w:rPr>
              <w:t>两轮踏板摩托车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技术要求</w:t>
            </w:r>
          </w:p>
          <w:p>
            <w:pPr>
              <w:pStyle w:val="null3"/>
              <w:jc w:val="both"/>
            </w:pPr>
            <w:r>
              <w:rPr>
                <w:rFonts w:ascii="仿宋_GB2312" w:hAnsi="仿宋_GB2312" w:cs="仿宋_GB2312" w:eastAsia="仿宋_GB2312"/>
                <w:sz w:val="24"/>
              </w:rPr>
              <w:t>1.外形尺寸（长×宽×高）：≥2050mm×650mm×1100mm</w:t>
            </w:r>
          </w:p>
          <w:p>
            <w:pPr>
              <w:pStyle w:val="null3"/>
              <w:jc w:val="both"/>
            </w:pPr>
            <w:r>
              <w:rPr>
                <w:rFonts w:ascii="仿宋_GB2312" w:hAnsi="仿宋_GB2312" w:cs="仿宋_GB2312" w:eastAsia="仿宋_GB2312"/>
                <w:sz w:val="24"/>
              </w:rPr>
              <w:t>2.发动机排量：≥12</w:t>
            </w:r>
            <w:r>
              <w:rPr>
                <w:rFonts w:ascii="仿宋_GB2312" w:hAnsi="仿宋_GB2312" w:cs="仿宋_GB2312" w:eastAsia="仿宋_GB2312"/>
                <w:sz w:val="24"/>
              </w:rPr>
              <w:t>4</w:t>
            </w:r>
            <w:r>
              <w:rPr>
                <w:rFonts w:ascii="仿宋_GB2312" w:hAnsi="仿宋_GB2312" w:cs="仿宋_GB2312" w:eastAsia="仿宋_GB2312"/>
                <w:sz w:val="24"/>
              </w:rPr>
              <w:t>ml</w:t>
            </w:r>
          </w:p>
          <w:p>
            <w:pPr>
              <w:pStyle w:val="null3"/>
              <w:jc w:val="both"/>
            </w:pPr>
            <w:r>
              <w:rPr>
                <w:rFonts w:ascii="仿宋_GB2312" w:hAnsi="仿宋_GB2312" w:cs="仿宋_GB2312" w:eastAsia="仿宋_GB2312"/>
                <w:sz w:val="24"/>
              </w:rPr>
              <w:t>3.发动机：风冷、四冲程</w:t>
            </w:r>
          </w:p>
          <w:p>
            <w:pPr>
              <w:pStyle w:val="null3"/>
              <w:jc w:val="both"/>
            </w:pPr>
            <w:r>
              <w:rPr>
                <w:rFonts w:ascii="仿宋_GB2312" w:hAnsi="仿宋_GB2312" w:cs="仿宋_GB2312" w:eastAsia="仿宋_GB2312"/>
                <w:sz w:val="24"/>
              </w:rPr>
              <w:t>4.轴距≥1280mm</w:t>
            </w:r>
          </w:p>
          <w:p>
            <w:pPr>
              <w:pStyle w:val="null3"/>
              <w:jc w:val="both"/>
            </w:pPr>
            <w:r>
              <w:rPr>
                <w:rFonts w:ascii="仿宋_GB2312" w:hAnsi="仿宋_GB2312" w:cs="仿宋_GB2312" w:eastAsia="仿宋_GB2312"/>
                <w:sz w:val="24"/>
              </w:rPr>
              <w:t>5.最大功率≥6.9Kw</w:t>
            </w:r>
          </w:p>
          <w:p>
            <w:pPr>
              <w:pStyle w:val="null3"/>
              <w:jc w:val="both"/>
            </w:pPr>
            <w:r>
              <w:rPr>
                <w:rFonts w:ascii="仿宋_GB2312" w:hAnsi="仿宋_GB2312" w:cs="仿宋_GB2312" w:eastAsia="仿宋_GB2312"/>
                <w:sz w:val="24"/>
              </w:rPr>
              <w:t>6.最大扭矩≥10.0N.m</w:t>
            </w:r>
          </w:p>
          <w:p>
            <w:pPr>
              <w:pStyle w:val="null3"/>
              <w:jc w:val="both"/>
            </w:pPr>
            <w:r>
              <w:rPr>
                <w:rFonts w:ascii="仿宋_GB2312" w:hAnsi="仿宋_GB2312" w:cs="仿宋_GB2312" w:eastAsia="仿宋_GB2312"/>
                <w:sz w:val="24"/>
              </w:rPr>
              <w:t>7.最高车速≥90km/h</w:t>
            </w:r>
          </w:p>
          <w:p>
            <w:pPr>
              <w:pStyle w:val="null3"/>
              <w:jc w:val="both"/>
            </w:pPr>
            <w:r>
              <w:rPr>
                <w:rFonts w:ascii="仿宋_GB2312" w:hAnsi="仿宋_GB2312" w:cs="仿宋_GB2312" w:eastAsia="仿宋_GB2312"/>
                <w:sz w:val="24"/>
              </w:rPr>
              <w:t>8.变速器：自动</w:t>
            </w:r>
          </w:p>
          <w:p>
            <w:pPr>
              <w:pStyle w:val="null3"/>
              <w:jc w:val="both"/>
            </w:pPr>
            <w:r>
              <w:rPr>
                <w:rFonts w:ascii="仿宋_GB2312" w:hAnsi="仿宋_GB2312" w:cs="仿宋_GB2312" w:eastAsia="仿宋_GB2312"/>
                <w:sz w:val="24"/>
              </w:rPr>
              <w:t>9.整备质量≥115kg</w:t>
            </w:r>
          </w:p>
          <w:p>
            <w:pPr>
              <w:pStyle w:val="null3"/>
              <w:jc w:val="both"/>
            </w:pPr>
            <w:r>
              <w:rPr>
                <w:rFonts w:ascii="仿宋_GB2312" w:hAnsi="仿宋_GB2312" w:cs="仿宋_GB2312" w:eastAsia="仿宋_GB2312"/>
                <w:sz w:val="24"/>
              </w:rPr>
              <w:t>10.燃油类型：汽油</w:t>
            </w:r>
          </w:p>
          <w:p>
            <w:pPr>
              <w:pStyle w:val="null3"/>
              <w:jc w:val="both"/>
            </w:pPr>
            <w:r>
              <w:rPr>
                <w:rFonts w:ascii="仿宋_GB2312" w:hAnsi="仿宋_GB2312" w:cs="仿宋_GB2312" w:eastAsia="仿宋_GB2312"/>
                <w:sz w:val="24"/>
              </w:rPr>
              <w:t>11.制动型式：前轮：盘式，后轮：盘式或鼓式</w:t>
            </w:r>
          </w:p>
          <w:p>
            <w:pPr>
              <w:pStyle w:val="null3"/>
              <w:jc w:val="both"/>
            </w:pPr>
            <w:r>
              <w:rPr>
                <w:rFonts w:ascii="仿宋_GB2312" w:hAnsi="仿宋_GB2312" w:cs="仿宋_GB2312" w:eastAsia="仿宋_GB2312"/>
                <w:sz w:val="24"/>
              </w:rPr>
              <w:t>12.车辆外观</w:t>
            </w:r>
            <w:r>
              <w:rPr>
                <w:rFonts w:ascii="仿宋_GB2312" w:hAnsi="仿宋_GB2312" w:cs="仿宋_GB2312" w:eastAsia="仿宋_GB2312"/>
                <w:sz w:val="24"/>
              </w:rPr>
              <w:t>涂装</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公安部</w:t>
            </w:r>
            <w:r>
              <w:rPr>
                <w:rFonts w:ascii="仿宋_GB2312" w:hAnsi="仿宋_GB2312" w:cs="仿宋_GB2312" w:eastAsia="仿宋_GB2312"/>
                <w:sz w:val="24"/>
              </w:rPr>
              <w:t>《</w:t>
            </w:r>
            <w:r>
              <w:rPr>
                <w:rFonts w:ascii="仿宋_GB2312" w:hAnsi="仿宋_GB2312" w:cs="仿宋_GB2312" w:eastAsia="仿宋_GB2312"/>
                <w:sz w:val="24"/>
              </w:rPr>
              <w:t>2004式警车摩托车类外观制式涂装规范》（GA525-2004）</w:t>
            </w:r>
            <w:r>
              <w:rPr>
                <w:rFonts w:ascii="仿宋_GB2312" w:hAnsi="仿宋_GB2312" w:cs="仿宋_GB2312" w:eastAsia="仿宋_GB2312"/>
                <w:sz w:val="24"/>
              </w:rPr>
              <w:t>进</w:t>
            </w:r>
            <w:r>
              <w:rPr>
                <w:rFonts w:ascii="仿宋_GB2312" w:hAnsi="仿宋_GB2312" w:cs="仿宋_GB2312" w:eastAsia="仿宋_GB2312"/>
                <w:sz w:val="24"/>
              </w:rPr>
              <w:t>行涂装或按采购人要求涂装。</w:t>
            </w:r>
            <w:r>
              <w:rPr>
                <w:rFonts w:ascii="仿宋_GB2312" w:hAnsi="仿宋_GB2312" w:cs="仿宋_GB2312" w:eastAsia="仿宋_GB2312"/>
                <w:sz w:val="24"/>
                <w:b/>
              </w:rPr>
              <w:t>（供应商必须在响应文件中提供所投产品的警用涂装照片或警用涂装效果图）</w:t>
            </w:r>
          </w:p>
          <w:p>
            <w:pPr>
              <w:pStyle w:val="null3"/>
              <w:jc w:val="both"/>
            </w:pPr>
            <w:r>
              <w:rPr>
                <w:rFonts w:ascii="仿宋_GB2312" w:hAnsi="仿宋_GB2312" w:cs="仿宋_GB2312" w:eastAsia="仿宋_GB2312"/>
                <w:sz w:val="24"/>
              </w:rPr>
              <w:t>13.车辆型号及上牌要求：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1）车辆</w:t>
            </w:r>
            <w:r>
              <w:rPr>
                <w:rFonts w:ascii="仿宋_GB2312" w:hAnsi="仿宋_GB2312" w:cs="仿宋_GB2312" w:eastAsia="仿宋_GB2312"/>
                <w:sz w:val="24"/>
              </w:rPr>
              <w:t>型号：</w:t>
            </w:r>
            <w:r>
              <w:rPr>
                <w:rFonts w:ascii="仿宋_GB2312" w:hAnsi="仿宋_GB2312" w:cs="仿宋_GB2312" w:eastAsia="仿宋_GB2312"/>
                <w:sz w:val="24"/>
              </w:rPr>
              <w:t>投标产品型号须为公安专用型号，后缀须带</w:t>
            </w:r>
            <w:r>
              <w:rPr>
                <w:rFonts w:ascii="仿宋_GB2312" w:hAnsi="仿宋_GB2312" w:cs="仿宋_GB2312" w:eastAsia="仿宋_GB2312"/>
                <w:sz w:val="24"/>
              </w:rPr>
              <w:t>“警”字缩写“J”，不接受民用改装车或者民用型号。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2）上牌：所投产品必须能在采购人当地车管部门上警用号牌。</w:t>
            </w:r>
          </w:p>
          <w:p>
            <w:pPr>
              <w:pStyle w:val="null3"/>
              <w:jc w:val="both"/>
            </w:pPr>
            <w:r>
              <w:rPr>
                <w:rFonts w:ascii="仿宋_GB2312" w:hAnsi="仿宋_GB2312" w:cs="仿宋_GB2312" w:eastAsia="仿宋_GB2312"/>
                <w:sz w:val="24"/>
                <w:b/>
              </w:rPr>
              <w:t>（供应商必须在</w:t>
            </w:r>
            <w:r>
              <w:rPr>
                <w:rFonts w:ascii="仿宋_GB2312" w:hAnsi="仿宋_GB2312" w:cs="仿宋_GB2312" w:eastAsia="仿宋_GB2312"/>
                <w:sz w:val="24"/>
                <w:b/>
              </w:rPr>
              <w:t>响应文件</w:t>
            </w:r>
            <w:r>
              <w:rPr>
                <w:rFonts w:ascii="仿宋_GB2312" w:hAnsi="仿宋_GB2312" w:cs="仿宋_GB2312" w:eastAsia="仿宋_GB2312"/>
                <w:sz w:val="24"/>
                <w:b/>
              </w:rPr>
              <w:t>中提供《上牌要求响应承诺函》并加盖</w:t>
            </w:r>
            <w:r>
              <w:rPr>
                <w:rFonts w:ascii="仿宋_GB2312" w:hAnsi="仿宋_GB2312" w:cs="仿宋_GB2312" w:eastAsia="仿宋_GB2312"/>
                <w:sz w:val="24"/>
                <w:b/>
              </w:rPr>
              <w:t>供应商</w:t>
            </w:r>
            <w:r>
              <w:rPr>
                <w:rFonts w:ascii="仿宋_GB2312" w:hAnsi="仿宋_GB2312" w:cs="仿宋_GB2312" w:eastAsia="仿宋_GB2312"/>
                <w:sz w:val="24"/>
                <w:b/>
              </w:rPr>
              <w:t>公章，否则视为不满足。）</w:t>
            </w:r>
          </w:p>
          <w:p>
            <w:pPr>
              <w:pStyle w:val="null3"/>
              <w:jc w:val="both"/>
            </w:pPr>
            <w:r>
              <w:rPr>
                <w:rFonts w:ascii="仿宋_GB2312" w:hAnsi="仿宋_GB2312" w:cs="仿宋_GB2312" w:eastAsia="仿宋_GB2312"/>
                <w:sz w:val="24"/>
              </w:rPr>
              <w:t>14.配置要求：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1）前蓝红警灯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2）后立杆警灯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3）警用扬声器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4）尾箱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5）保险杠</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供应商</w:t>
            </w:r>
            <w:r>
              <w:rPr>
                <w:rFonts w:ascii="仿宋_GB2312" w:hAnsi="仿宋_GB2312" w:cs="仿宋_GB2312" w:eastAsia="仿宋_GB2312"/>
                <w:sz w:val="24"/>
                <w:b/>
              </w:rPr>
              <w:t>必须在响应文件中提供《配置要求响应承诺函》并加盖</w:t>
            </w:r>
            <w:r>
              <w:rPr>
                <w:rFonts w:ascii="仿宋_GB2312" w:hAnsi="仿宋_GB2312" w:cs="仿宋_GB2312" w:eastAsia="仿宋_GB2312"/>
                <w:sz w:val="24"/>
                <w:b/>
              </w:rPr>
              <w:t>供应商</w:t>
            </w:r>
            <w:r>
              <w:rPr>
                <w:rFonts w:ascii="仿宋_GB2312" w:hAnsi="仿宋_GB2312" w:cs="仿宋_GB2312" w:eastAsia="仿宋_GB2312"/>
                <w:sz w:val="24"/>
                <w:b/>
              </w:rPr>
              <w:t>公章，否则视为不满足。）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rPr>
              <w:t>其他要求</w:t>
            </w:r>
          </w:p>
          <w:p>
            <w:pPr>
              <w:pStyle w:val="null3"/>
              <w:ind w:firstLine="482"/>
              <w:jc w:val="both"/>
            </w:pPr>
            <w:r>
              <w:rPr>
                <w:rFonts w:ascii="仿宋_GB2312" w:hAnsi="仿宋_GB2312" w:cs="仿宋_GB2312" w:eastAsia="仿宋_GB2312"/>
                <w:sz w:val="24"/>
                <w:b/>
              </w:rPr>
              <w:t>1、以上技术参数为基本要求，投标人所投产品必须全部满足，有任意一项不满足的视为无效响应文件。</w:t>
            </w:r>
          </w:p>
          <w:p>
            <w:pPr>
              <w:pStyle w:val="null3"/>
              <w:ind w:firstLine="480"/>
              <w:jc w:val="both"/>
            </w:pPr>
            <w:r>
              <w:rPr>
                <w:rFonts w:ascii="仿宋_GB2312" w:hAnsi="仿宋_GB2312" w:cs="仿宋_GB2312" w:eastAsia="仿宋_GB2312"/>
                <w:sz w:val="24"/>
              </w:rPr>
              <w:t>2、所投车型必须在国家发改委或工信部发布的《车辆生产企业及产品》公告内，提供所投车辆在工业和信息化部装备工业发展中心《道路机动车辆生产企业及产品信息综合查询系统》的公告产品主要技术参数”查询截图（查询网站</w:t>
            </w:r>
            <w:r>
              <w:rPr>
                <w:rFonts w:ascii="仿宋_GB2312" w:hAnsi="仿宋_GB2312" w:cs="仿宋_GB2312" w:eastAsia="仿宋_GB2312"/>
                <w:sz w:val="24"/>
              </w:rPr>
              <w:t>：</w:t>
            </w:r>
            <w:r>
              <w:rPr>
                <w:rFonts w:ascii="仿宋_GB2312" w:hAnsi="仿宋_GB2312" w:cs="仿宋_GB2312" w:eastAsia="仿宋_GB2312"/>
                <w:sz w:val="24"/>
              </w:rPr>
              <w:t>https://service.miit-eidc.org.cn/miitxxgk/gonggao/xxgk/index），否则视为无效响应。</w:t>
            </w:r>
          </w:p>
          <w:p>
            <w:pPr>
              <w:pStyle w:val="null3"/>
              <w:ind w:firstLine="480"/>
              <w:jc w:val="both"/>
            </w:pPr>
            <w:r>
              <w:rPr>
                <w:rFonts w:ascii="仿宋_GB2312" w:hAnsi="仿宋_GB2312" w:cs="仿宋_GB2312" w:eastAsia="仿宋_GB2312"/>
                <w:sz w:val="24"/>
              </w:rPr>
              <w:t>3、工业和信息化部装备工业发展中心《道路机动车辆生产企业及产品信息综合查询系统》查询的“公告产品主要技术参数”截图未体现的技术参数供应商需提供其它佐证材料，其它佐证材料可以是：产品检验报告或产品说明书或权威网站公开的技术参数截图或投标人加盖公章的《技术参数承诺函》。佐证材料必须加盖投标人公章。</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提供所投车辆在</w:t>
            </w:r>
            <w:r>
              <w:rPr>
                <w:rFonts w:ascii="仿宋_GB2312" w:hAnsi="仿宋_GB2312" w:cs="仿宋_GB2312" w:eastAsia="仿宋_GB2312"/>
                <w:sz w:val="24"/>
              </w:rPr>
              <w:t>“国家市场监督管理总局全国认证认可信息公共服务平台”网站的3C认证查询截图。（查询网站：</w:t>
            </w:r>
            <w:r>
              <w:rPr>
                <w:rFonts w:ascii="仿宋_GB2312" w:hAnsi="仿宋_GB2312" w:cs="仿宋_GB2312" w:eastAsia="仿宋_GB2312"/>
                <w:sz w:val="24"/>
              </w:rPr>
              <w:t>http://cx.cnca.cn/CertECloud/index/</w:t>
            </w:r>
          </w:p>
          <w:p>
            <w:pPr>
              <w:pStyle w:val="null3"/>
            </w:pPr>
            <w:r>
              <w:rPr>
                <w:rFonts w:ascii="仿宋_GB2312" w:hAnsi="仿宋_GB2312" w:cs="仿宋_GB2312" w:eastAsia="仿宋_GB2312"/>
                <w:sz w:val="24"/>
              </w:rPr>
              <w:t>index/page）</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四、采购数量：</w:t>
            </w:r>
            <w:r>
              <w:rPr>
                <w:rFonts w:ascii="仿宋_GB2312" w:hAnsi="仿宋_GB2312" w:cs="仿宋_GB2312" w:eastAsia="仿宋_GB2312"/>
                <w:sz w:val="24"/>
              </w:rPr>
              <w:t>70台</w:t>
            </w:r>
          </w:p>
          <w:p>
            <w:pPr>
              <w:pStyle w:val="null3"/>
            </w:pPr>
            <w:r>
              <w:rPr>
                <w:rFonts w:ascii="仿宋_GB2312" w:hAnsi="仿宋_GB2312" w:cs="仿宋_GB2312" w:eastAsia="仿宋_GB2312"/>
                <w:sz w:val="24"/>
              </w:rPr>
              <w:t xml:space="preserve">    单价限价：</w:t>
            </w:r>
            <w:r>
              <w:rPr>
                <w:rFonts w:ascii="仿宋_GB2312" w:hAnsi="仿宋_GB2312" w:cs="仿宋_GB2312" w:eastAsia="仿宋_GB2312"/>
                <w:sz w:val="24"/>
              </w:rPr>
              <w:t>13000元/台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合同签订后7个日历日内完成供货并安装调试交付完毕。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预付款，合同签订，达到付款条件起10个工作日内，支付合同总金额的45.0%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进度款，车辆验收合格，达到付款条件起10个工作日内，支付合同总金额的55.0%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按现行的国家标准或国家行政部门颁布的法律法规、规章制度以及相应的行业标准等进行货物验收，如发现质量问题应进行退换货。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整车质保1年或1万公里（以先到者为准）；响应人承诺超过谈判文件要求的，按其承诺的质保期进行质保。</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中的相关条款执行。甲方行为违约导致中标人未能完成供货，乙方有权要求甲方在一定期限内解决，逾期未解决造成乙方经济损失的，甲方应予赔偿。一方或双方出现违约情形但不影响合同实际履行的，在合同未经双方协商、中止、解除之前，中标人仍应按照约定提供货物。如乙方事先未征得甲方同意并得到甲方的谅解而单方面延迟交货，将按违约终止合同。违约终止合同：未按合同要求提供货物或质量不能满足技术要求，甲方会同监督机构有权终止合同，对乙方违约行为进行追究，同时按政府采购法的有关规定进行相应的处罚。（2）解决争议的方法：本合同在履行过程中发生的争议，由甲、乙双方当事人协商解决，协商不成则依法向甲方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文件，同时，线下提交响应文件正本壹份、副本贰份。若电子响应文件与纸质响应文件不一致的，以线上提交的电子响应文件为准。1.线下提交响应文件地点:西安市高新区唐延路旺座现代城C座25楼2502室；2.联系电话：029-88319689转8003/8005；邮箱:sxWzzb04@163.com；3.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法定代表人证明书或法人授权委托书</w:t>
            </w:r>
          </w:p>
        </w:tc>
        <w:tc>
          <w:tcPr>
            <w:tcW w:type="dxa" w:w="3322"/>
          </w:tcPr>
          <w:p>
            <w:pPr>
              <w:pStyle w:val="null3"/>
            </w:pPr>
            <w:r>
              <w:rPr>
                <w:rFonts w:ascii="仿宋_GB2312" w:hAnsi="仿宋_GB2312" w:cs="仿宋_GB2312" w:eastAsia="仿宋_GB2312"/>
              </w:rPr>
              <w:t>法定代表人直接参加的须出具法人身份证明并于营业执照信息一致，法定代表人授权代表参加的须出具法定代表人授权书。</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具有良好的商业信誉和健全的财务会计制度的证明材料（须提供2024年度或2025年度经第三方审计的财务报告，至少包括三表一注，即资产负债表、利润表、现金流量表及其附注（成立时间至提交响应文件截止时间不足一年的可提供成立后任意时段的资产负债表）；或其响应文件递交截止时间前六个月内基本存款账户开户银行出具的资信证明及开户银行许可证（或开户行出具的基本户证明材料）。注：财会[2023]15号文《财政部国务院国资委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供应商提供本单位开标前六个月内已缴纳的至少一个月纳税证明或完税证明，依法免税的单位应提供相关证明材料（以税款所属时期为准）。</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本单位开标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供应商非采购人单位职工及家属投资开办声明</w:t>
            </w:r>
          </w:p>
        </w:tc>
        <w:tc>
          <w:tcPr>
            <w:tcW w:type="dxa" w:w="3322"/>
          </w:tcPr>
          <w:p>
            <w:pPr>
              <w:pStyle w:val="null3"/>
            </w:pPr>
            <w:r>
              <w:rPr>
                <w:rFonts w:ascii="仿宋_GB2312" w:hAnsi="仿宋_GB2312" w:cs="仿宋_GB2312" w:eastAsia="仿宋_GB2312"/>
              </w:rPr>
              <w:t>供应商非采购人单位职工及家属投资开办，其法人、股东和经营管理人员非采购人单位职工及家属。</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供应商需提供非联合体声明</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是否按照谈判文件要求签署、盖章</w:t>
            </w:r>
          </w:p>
        </w:tc>
        <w:tc>
          <w:tcPr>
            <w:tcW w:type="dxa" w:w="1661"/>
          </w:tcPr>
          <w:p>
            <w:pPr>
              <w:pStyle w:val="null3"/>
            </w:pPr>
            <w:r>
              <w:rPr>
                <w:rFonts w:ascii="仿宋_GB2312" w:hAnsi="仿宋_GB2312" w:cs="仿宋_GB2312" w:eastAsia="仿宋_GB2312"/>
              </w:rPr>
              <w:t>响应文件封面 分项报价表.docx 承诺.docx 中小企业声明函 残疾人福利性单位声明函 技术响应表.docx 标的清单 报价表 供应商应提交的相关资格证明文件.docx 响应函 监狱企业的证明文件 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响应报价是否超过预算或单价最高限价。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是否符合谈判文件要求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是否满足谈判文件要求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响应文件封面 分项报价表.docx 承诺.docx 中小企业声明函 残疾人福利性单位声明函 技术响应表.docx 标的清单 报价表 供应商应提交的相关资格证明文件.docx 响应函 监狱企业的证明文件 商务响应表.docx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注：根据《政府采购促进中小企业发展暂行办法》第四条规定，供应商若声明为小微企业，其提供的货物须满足：1）制造主体：产品由小微企业生产。2）品牌使用：产品标注该企业自有商号或注册商标。3）多产品情况：如投标产品为多项，则每一个产品的制造商都必须符合上述要求。</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详见附件：承诺.docx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详见附件：技术响应表.docx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