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B278E">
      <w:pPr>
        <w:widowControl w:val="0"/>
        <w:ind w:firstLine="241" w:firstLineChars="100"/>
        <w:jc w:val="center"/>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政府采购合同格式（参考）</w:t>
      </w:r>
    </w:p>
    <w:p w14:paraId="3DC62B80">
      <w:pPr>
        <w:widowControl w:val="0"/>
        <w:spacing w:line="360" w:lineRule="auto"/>
        <w:ind w:left="0" w:leftChars="0" w:firstLine="0" w:firstLineChars="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合同编号：</w:t>
      </w:r>
    </w:p>
    <w:p w14:paraId="1FB59227">
      <w:pPr>
        <w:widowControl w:val="0"/>
        <w:spacing w:line="360" w:lineRule="auto"/>
        <w:ind w:left="0" w:leftChars="0" w:firstLine="0" w:firstLineChars="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签订地点：</w:t>
      </w:r>
    </w:p>
    <w:p w14:paraId="407A3C0E">
      <w:pPr>
        <w:widowControl w:val="0"/>
        <w:spacing w:line="360" w:lineRule="auto"/>
        <w:ind w:left="0" w:leftChars="0" w:firstLine="0" w:firstLineChars="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签订时间：</w:t>
      </w:r>
    </w:p>
    <w:p w14:paraId="26DCBD30">
      <w:pPr>
        <w:widowControl w:val="0"/>
        <w:spacing w:line="360" w:lineRule="auto"/>
        <w:ind w:left="0" w:leftChars="0" w:firstLine="0" w:firstLineChars="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采购人（甲方）：</w:t>
      </w:r>
    </w:p>
    <w:p w14:paraId="5D455E0C">
      <w:pPr>
        <w:widowControl w:val="0"/>
        <w:spacing w:line="360" w:lineRule="auto"/>
        <w:ind w:left="0" w:leftChars="0" w:firstLine="0" w:firstLineChars="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供应商（乙方）：</w:t>
      </w:r>
    </w:p>
    <w:p w14:paraId="223B5E7A">
      <w:pPr>
        <w:widowControl w:val="0"/>
        <w:spacing w:line="360" w:lineRule="auto"/>
        <w:ind w:left="0" w:leftChars="0"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根据《中华人民共和国政府采购法》及实施条例、《中华人民共和国民法典》和甲方</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采购项目（采购项目编号：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）的谈判文件、响应文件等有关规定，为确保甲方采购项目的顺利实施，甲、乙双方在平等自愿原则下签订本合同，并共同遵守如下条款：</w:t>
      </w:r>
    </w:p>
    <w:p w14:paraId="1AAC36FB">
      <w:pPr>
        <w:spacing w:line="580" w:lineRule="exact"/>
        <w:rPr>
          <w:rFonts w:hint="eastAsia" w:ascii="仿宋" w:hAnsi="仿宋" w:eastAsia="仿宋" w:cs="仿宋"/>
          <w:b/>
          <w:sz w:val="24"/>
          <w:szCs w:val="24"/>
        </w:rPr>
      </w:pPr>
      <w:bookmarkStart w:id="0" w:name="_Toc21162"/>
      <w:bookmarkStart w:id="1" w:name="_Toc25616"/>
      <w:r>
        <w:rPr>
          <w:rFonts w:hint="eastAsia" w:ascii="仿宋" w:hAnsi="仿宋" w:eastAsia="仿宋" w:cs="仿宋"/>
          <w:b/>
          <w:sz w:val="24"/>
          <w:szCs w:val="24"/>
        </w:rPr>
        <w:t>第一条 项目概况</w:t>
      </w:r>
    </w:p>
    <w:p w14:paraId="3A4A2ADE">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项目名称：</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w:t>
      </w:r>
    </w:p>
    <w:p w14:paraId="2115CF7B">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 项目地点：</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w:t>
      </w:r>
    </w:p>
    <w:p w14:paraId="10CABBBD">
      <w:pPr>
        <w:spacing w:line="580" w:lineRule="exact"/>
        <w:rPr>
          <w:rFonts w:hint="eastAsia" w:ascii="仿宋" w:hAnsi="仿宋" w:eastAsia="仿宋" w:cs="仿宋"/>
          <w:b/>
          <w:sz w:val="24"/>
          <w:szCs w:val="24"/>
        </w:rPr>
      </w:pPr>
      <w:r>
        <w:rPr>
          <w:rFonts w:hint="eastAsia" w:ascii="仿宋" w:hAnsi="仿宋" w:eastAsia="仿宋" w:cs="仿宋"/>
          <w:b/>
          <w:sz w:val="24"/>
          <w:szCs w:val="24"/>
        </w:rPr>
        <w:t>第二条  组成本合同的文件</w:t>
      </w:r>
    </w:p>
    <w:p w14:paraId="14186349">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协议书；</w:t>
      </w:r>
    </w:p>
    <w:p w14:paraId="6602F608">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 成交通知书、谈判响应文件、竞争性谈判文件、澄清、谈判补充文件；</w:t>
      </w:r>
    </w:p>
    <w:p w14:paraId="2C94DE36">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 相关服务建议书；</w:t>
      </w:r>
    </w:p>
    <w:p w14:paraId="4D4FFEE5">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 附录，即：附表内相关服务的范围和内容；</w:t>
      </w:r>
    </w:p>
    <w:p w14:paraId="7CC45733">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本合同签订后，双方依法签订的补充协议也是本合同文件的组成部分。</w:t>
      </w:r>
    </w:p>
    <w:bookmarkEnd w:id="0"/>
    <w:bookmarkEnd w:id="1"/>
    <w:p w14:paraId="69DA5F50">
      <w:pPr>
        <w:spacing w:line="580" w:lineRule="exact"/>
        <w:rPr>
          <w:rFonts w:hint="eastAsia" w:ascii="仿宋" w:hAnsi="仿宋" w:eastAsia="仿宋" w:cs="仿宋"/>
          <w:b/>
          <w:sz w:val="24"/>
          <w:szCs w:val="24"/>
        </w:rPr>
      </w:pPr>
      <w:bookmarkStart w:id="2" w:name="_Toc7071"/>
      <w:bookmarkStart w:id="3" w:name="_Toc19963"/>
      <w:r>
        <w:rPr>
          <w:rFonts w:hint="eastAsia" w:ascii="仿宋" w:hAnsi="仿宋" w:eastAsia="仿宋" w:cs="仿宋"/>
          <w:b/>
          <w:sz w:val="24"/>
          <w:szCs w:val="24"/>
        </w:rPr>
        <w:t>第三条   内容及要求</w:t>
      </w:r>
    </w:p>
    <w:p w14:paraId="2A1B3288">
      <w:pPr>
        <w:spacing w:after="120"/>
        <w:jc w:val="center"/>
        <w:rPr>
          <w:rFonts w:hint="eastAsia" w:ascii="仿宋" w:hAnsi="仿宋" w:eastAsia="仿宋" w:cs="仿宋"/>
          <w:b/>
          <w:sz w:val="24"/>
          <w:szCs w:val="24"/>
        </w:rPr>
      </w:pPr>
      <w:r>
        <w:rPr>
          <w:rFonts w:hint="eastAsia" w:ascii="仿宋" w:hAnsi="仿宋" w:eastAsia="仿宋" w:cs="仿宋"/>
          <w:b/>
          <w:sz w:val="24"/>
          <w:szCs w:val="24"/>
        </w:rPr>
        <w:t>供货内容一览表</w:t>
      </w:r>
    </w:p>
    <w:tbl>
      <w:tblPr>
        <w:tblStyle w:val="2"/>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610"/>
        <w:gridCol w:w="2196"/>
        <w:gridCol w:w="1989"/>
        <w:gridCol w:w="585"/>
        <w:gridCol w:w="660"/>
        <w:gridCol w:w="1125"/>
        <w:gridCol w:w="1080"/>
        <w:gridCol w:w="623"/>
      </w:tblGrid>
      <w:tr w14:paraId="7F675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8" w:hRule="atLeast"/>
          <w:jc w:val="center"/>
        </w:trPr>
        <w:tc>
          <w:tcPr>
            <w:tcW w:w="675" w:type="dxa"/>
            <w:vAlign w:val="center"/>
          </w:tcPr>
          <w:p w14:paraId="21661962">
            <w:pPr>
              <w:spacing w:beforeAutospacing="0"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610" w:type="dxa"/>
            <w:vAlign w:val="center"/>
          </w:tcPr>
          <w:p w14:paraId="5274468B">
            <w:pPr>
              <w:spacing w:beforeAutospacing="0" w:line="360" w:lineRule="auto"/>
              <w:jc w:val="center"/>
              <w:rPr>
                <w:rFonts w:hint="eastAsia" w:ascii="仿宋" w:hAnsi="仿宋" w:eastAsia="仿宋" w:cs="仿宋"/>
                <w:b/>
                <w:sz w:val="24"/>
                <w:szCs w:val="24"/>
              </w:rPr>
            </w:pPr>
            <w:r>
              <w:rPr>
                <w:rFonts w:hint="eastAsia" w:ascii="仿宋" w:hAnsi="仿宋" w:eastAsia="仿宋" w:cs="仿宋"/>
                <w:b/>
                <w:sz w:val="24"/>
                <w:szCs w:val="24"/>
              </w:rPr>
              <w:t>名称</w:t>
            </w:r>
          </w:p>
        </w:tc>
        <w:tc>
          <w:tcPr>
            <w:tcW w:w="2196" w:type="dxa"/>
            <w:tcBorders>
              <w:right w:val="single" w:color="auto" w:sz="4" w:space="0"/>
            </w:tcBorders>
            <w:vAlign w:val="center"/>
          </w:tcPr>
          <w:p w14:paraId="54ECA485">
            <w:pPr>
              <w:spacing w:beforeAutospacing="0" w:line="360" w:lineRule="auto"/>
              <w:jc w:val="center"/>
              <w:rPr>
                <w:rFonts w:hint="eastAsia" w:ascii="仿宋" w:hAnsi="仿宋" w:eastAsia="仿宋" w:cs="仿宋"/>
                <w:b/>
                <w:sz w:val="24"/>
                <w:szCs w:val="24"/>
              </w:rPr>
            </w:pPr>
            <w:bookmarkStart w:id="4" w:name="_Toc16727"/>
            <w:r>
              <w:rPr>
                <w:rFonts w:hint="eastAsia" w:ascii="仿宋" w:hAnsi="仿宋" w:eastAsia="仿宋" w:cs="仿宋"/>
                <w:b/>
                <w:sz w:val="24"/>
                <w:szCs w:val="24"/>
              </w:rPr>
              <w:t>品牌、规格及型号</w:t>
            </w:r>
            <w:bookmarkEnd w:id="4"/>
          </w:p>
        </w:tc>
        <w:tc>
          <w:tcPr>
            <w:tcW w:w="1989" w:type="dxa"/>
            <w:tcBorders>
              <w:left w:val="single" w:color="auto" w:sz="4" w:space="0"/>
            </w:tcBorders>
            <w:vAlign w:val="center"/>
          </w:tcPr>
          <w:p w14:paraId="1C713BE9">
            <w:pPr>
              <w:spacing w:beforeAutospacing="0" w:line="360" w:lineRule="auto"/>
              <w:jc w:val="center"/>
              <w:rPr>
                <w:rFonts w:hint="eastAsia" w:ascii="仿宋" w:hAnsi="仿宋" w:eastAsia="仿宋" w:cs="仿宋"/>
                <w:b/>
                <w:sz w:val="24"/>
                <w:szCs w:val="24"/>
              </w:rPr>
            </w:pPr>
            <w:bookmarkStart w:id="5" w:name="_Toc20101"/>
            <w:r>
              <w:rPr>
                <w:rFonts w:hint="eastAsia" w:ascii="仿宋" w:hAnsi="仿宋" w:eastAsia="仿宋" w:cs="仿宋"/>
                <w:b/>
                <w:sz w:val="24"/>
                <w:szCs w:val="24"/>
              </w:rPr>
              <w:t>原产地及制造厂名</w:t>
            </w:r>
            <w:bookmarkEnd w:id="5"/>
          </w:p>
        </w:tc>
        <w:tc>
          <w:tcPr>
            <w:tcW w:w="585" w:type="dxa"/>
            <w:tcBorders>
              <w:right w:val="single" w:color="auto" w:sz="4" w:space="0"/>
            </w:tcBorders>
            <w:vAlign w:val="center"/>
          </w:tcPr>
          <w:p w14:paraId="1D9AB00E">
            <w:pPr>
              <w:spacing w:beforeAutospacing="0" w:line="360" w:lineRule="auto"/>
              <w:jc w:val="center"/>
              <w:rPr>
                <w:rFonts w:hint="eastAsia" w:ascii="仿宋" w:hAnsi="仿宋" w:eastAsia="仿宋" w:cs="仿宋"/>
                <w:b/>
                <w:sz w:val="24"/>
                <w:szCs w:val="24"/>
              </w:rPr>
            </w:pPr>
            <w:bookmarkStart w:id="6" w:name="_Toc27118"/>
            <w:r>
              <w:rPr>
                <w:rFonts w:hint="eastAsia" w:ascii="仿宋" w:hAnsi="仿宋" w:eastAsia="仿宋" w:cs="仿宋"/>
                <w:b/>
                <w:sz w:val="24"/>
                <w:szCs w:val="24"/>
              </w:rPr>
              <w:t>单价</w:t>
            </w:r>
            <w:bookmarkEnd w:id="6"/>
          </w:p>
        </w:tc>
        <w:tc>
          <w:tcPr>
            <w:tcW w:w="660" w:type="dxa"/>
            <w:tcBorders>
              <w:left w:val="single" w:color="auto" w:sz="4" w:space="0"/>
              <w:right w:val="single" w:color="auto" w:sz="4" w:space="0"/>
            </w:tcBorders>
            <w:vAlign w:val="center"/>
          </w:tcPr>
          <w:p w14:paraId="7C187843">
            <w:pPr>
              <w:spacing w:beforeAutospacing="0" w:line="360" w:lineRule="auto"/>
              <w:jc w:val="center"/>
              <w:rPr>
                <w:rFonts w:hint="eastAsia" w:ascii="仿宋" w:hAnsi="仿宋" w:eastAsia="仿宋" w:cs="仿宋"/>
                <w:b/>
                <w:sz w:val="24"/>
                <w:szCs w:val="24"/>
              </w:rPr>
            </w:pPr>
            <w:bookmarkStart w:id="7" w:name="_Toc16584"/>
            <w:r>
              <w:rPr>
                <w:rFonts w:hint="eastAsia" w:ascii="仿宋" w:hAnsi="仿宋" w:eastAsia="仿宋" w:cs="仿宋"/>
                <w:b/>
                <w:sz w:val="24"/>
                <w:szCs w:val="24"/>
              </w:rPr>
              <w:t>数量</w:t>
            </w:r>
            <w:bookmarkEnd w:id="7"/>
          </w:p>
        </w:tc>
        <w:tc>
          <w:tcPr>
            <w:tcW w:w="1125" w:type="dxa"/>
            <w:tcBorders>
              <w:left w:val="single" w:color="auto" w:sz="4" w:space="0"/>
            </w:tcBorders>
            <w:vAlign w:val="center"/>
          </w:tcPr>
          <w:p w14:paraId="77D491B6">
            <w:pPr>
              <w:spacing w:beforeAutospacing="0" w:line="360" w:lineRule="auto"/>
              <w:jc w:val="center"/>
              <w:rPr>
                <w:rFonts w:hint="eastAsia" w:ascii="仿宋" w:hAnsi="仿宋" w:eastAsia="仿宋" w:cs="仿宋"/>
                <w:b/>
                <w:sz w:val="24"/>
                <w:szCs w:val="24"/>
              </w:rPr>
            </w:pPr>
            <w:bookmarkStart w:id="8" w:name="_Toc11050"/>
            <w:r>
              <w:rPr>
                <w:rFonts w:hint="eastAsia" w:ascii="仿宋" w:hAnsi="仿宋" w:eastAsia="仿宋" w:cs="仿宋"/>
                <w:b/>
                <w:sz w:val="24"/>
                <w:szCs w:val="24"/>
              </w:rPr>
              <w:t>交付</w:t>
            </w:r>
            <w:r>
              <w:rPr>
                <w:rFonts w:hint="eastAsia" w:ascii="仿宋" w:hAnsi="仿宋" w:eastAsia="仿宋" w:cs="仿宋"/>
                <w:b w:val="0"/>
                <w:bCs/>
                <w:sz w:val="24"/>
                <w:szCs w:val="24"/>
              </w:rPr>
              <w:t>地点</w:t>
            </w:r>
            <w:bookmarkEnd w:id="8"/>
          </w:p>
        </w:tc>
        <w:tc>
          <w:tcPr>
            <w:tcW w:w="1080" w:type="dxa"/>
            <w:tcBorders>
              <w:right w:val="single" w:color="auto" w:sz="4" w:space="0"/>
            </w:tcBorders>
            <w:vAlign w:val="center"/>
          </w:tcPr>
          <w:p w14:paraId="4038164B">
            <w:pPr>
              <w:spacing w:beforeAutospacing="0" w:line="360" w:lineRule="auto"/>
              <w:jc w:val="center"/>
              <w:rPr>
                <w:rFonts w:hint="eastAsia" w:ascii="仿宋" w:hAnsi="仿宋" w:eastAsia="仿宋" w:cs="仿宋"/>
                <w:b/>
                <w:sz w:val="24"/>
                <w:szCs w:val="24"/>
              </w:rPr>
            </w:pPr>
            <w:bookmarkStart w:id="9" w:name="_Toc8351"/>
            <w:r>
              <w:rPr>
                <w:rFonts w:hint="eastAsia" w:ascii="仿宋" w:hAnsi="仿宋" w:eastAsia="仿宋" w:cs="仿宋"/>
                <w:b/>
                <w:sz w:val="24"/>
                <w:szCs w:val="24"/>
              </w:rPr>
              <w:t>交付时间</w:t>
            </w:r>
            <w:bookmarkEnd w:id="9"/>
          </w:p>
        </w:tc>
        <w:tc>
          <w:tcPr>
            <w:tcW w:w="623" w:type="dxa"/>
            <w:tcBorders>
              <w:right w:val="single" w:color="auto" w:sz="4" w:space="0"/>
            </w:tcBorders>
            <w:vAlign w:val="center"/>
          </w:tcPr>
          <w:p w14:paraId="7D9C6DE8">
            <w:pPr>
              <w:spacing w:beforeAutospacing="0" w:line="360" w:lineRule="auto"/>
              <w:jc w:val="center"/>
              <w:rPr>
                <w:rFonts w:hint="eastAsia" w:ascii="仿宋" w:hAnsi="仿宋" w:eastAsia="仿宋" w:cs="仿宋"/>
                <w:b/>
                <w:sz w:val="24"/>
                <w:szCs w:val="24"/>
              </w:rPr>
            </w:pPr>
            <w:bookmarkStart w:id="10" w:name="_Toc24096"/>
            <w:r>
              <w:rPr>
                <w:rFonts w:hint="eastAsia" w:ascii="仿宋" w:hAnsi="仿宋" w:eastAsia="仿宋" w:cs="仿宋"/>
                <w:b/>
                <w:sz w:val="24"/>
                <w:szCs w:val="24"/>
              </w:rPr>
              <w:t>备注</w:t>
            </w:r>
            <w:bookmarkEnd w:id="10"/>
          </w:p>
        </w:tc>
      </w:tr>
      <w:tr w14:paraId="6B0AC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C8950EC">
            <w:pPr>
              <w:spacing w:before="156" w:beforeLines="50" w:line="360" w:lineRule="auto"/>
              <w:jc w:val="center"/>
              <w:rPr>
                <w:rFonts w:hint="eastAsia" w:ascii="仿宋" w:hAnsi="仿宋" w:eastAsia="仿宋" w:cs="仿宋"/>
                <w:sz w:val="24"/>
                <w:szCs w:val="24"/>
              </w:rPr>
            </w:pPr>
          </w:p>
        </w:tc>
        <w:tc>
          <w:tcPr>
            <w:tcW w:w="610" w:type="dxa"/>
          </w:tcPr>
          <w:p w14:paraId="0EDCB9FD">
            <w:pPr>
              <w:spacing w:before="156" w:beforeLines="50" w:line="360" w:lineRule="auto"/>
              <w:jc w:val="center"/>
              <w:rPr>
                <w:rFonts w:hint="eastAsia" w:ascii="仿宋" w:hAnsi="仿宋" w:eastAsia="仿宋" w:cs="仿宋"/>
                <w:sz w:val="24"/>
                <w:szCs w:val="24"/>
              </w:rPr>
            </w:pPr>
          </w:p>
        </w:tc>
        <w:tc>
          <w:tcPr>
            <w:tcW w:w="2196" w:type="dxa"/>
            <w:tcBorders>
              <w:right w:val="single" w:color="auto" w:sz="4" w:space="0"/>
            </w:tcBorders>
          </w:tcPr>
          <w:p w14:paraId="55A53CF2">
            <w:pPr>
              <w:spacing w:before="156" w:beforeLines="50" w:line="360" w:lineRule="auto"/>
              <w:jc w:val="center"/>
              <w:rPr>
                <w:rFonts w:hint="eastAsia" w:ascii="仿宋" w:hAnsi="仿宋" w:eastAsia="仿宋" w:cs="仿宋"/>
                <w:sz w:val="24"/>
                <w:szCs w:val="24"/>
              </w:rPr>
            </w:pPr>
          </w:p>
        </w:tc>
        <w:tc>
          <w:tcPr>
            <w:tcW w:w="1989" w:type="dxa"/>
            <w:tcBorders>
              <w:left w:val="single" w:color="auto" w:sz="4" w:space="0"/>
            </w:tcBorders>
          </w:tcPr>
          <w:p w14:paraId="59E9B71B">
            <w:pPr>
              <w:spacing w:before="156" w:beforeLines="50" w:line="360" w:lineRule="auto"/>
              <w:jc w:val="center"/>
              <w:rPr>
                <w:rFonts w:hint="eastAsia" w:ascii="仿宋" w:hAnsi="仿宋" w:eastAsia="仿宋" w:cs="仿宋"/>
                <w:sz w:val="24"/>
                <w:szCs w:val="24"/>
              </w:rPr>
            </w:pPr>
          </w:p>
        </w:tc>
        <w:tc>
          <w:tcPr>
            <w:tcW w:w="585" w:type="dxa"/>
            <w:tcBorders>
              <w:right w:val="single" w:color="auto" w:sz="4" w:space="0"/>
            </w:tcBorders>
          </w:tcPr>
          <w:p w14:paraId="47180731">
            <w:pPr>
              <w:spacing w:before="156" w:beforeLines="50" w:line="360" w:lineRule="auto"/>
              <w:jc w:val="center"/>
              <w:rPr>
                <w:rFonts w:hint="eastAsia" w:ascii="仿宋" w:hAnsi="仿宋" w:eastAsia="仿宋" w:cs="仿宋"/>
                <w:sz w:val="24"/>
                <w:szCs w:val="24"/>
              </w:rPr>
            </w:pPr>
          </w:p>
        </w:tc>
        <w:tc>
          <w:tcPr>
            <w:tcW w:w="660" w:type="dxa"/>
            <w:tcBorders>
              <w:left w:val="single" w:color="auto" w:sz="4" w:space="0"/>
              <w:right w:val="single" w:color="auto" w:sz="4" w:space="0"/>
            </w:tcBorders>
          </w:tcPr>
          <w:p w14:paraId="555CA6F1">
            <w:pPr>
              <w:spacing w:before="156" w:beforeLines="50" w:line="360" w:lineRule="auto"/>
              <w:jc w:val="center"/>
              <w:rPr>
                <w:rFonts w:hint="eastAsia" w:ascii="仿宋" w:hAnsi="仿宋" w:eastAsia="仿宋" w:cs="仿宋"/>
                <w:sz w:val="24"/>
                <w:szCs w:val="24"/>
              </w:rPr>
            </w:pPr>
          </w:p>
        </w:tc>
        <w:tc>
          <w:tcPr>
            <w:tcW w:w="1125" w:type="dxa"/>
            <w:tcBorders>
              <w:left w:val="single" w:color="auto" w:sz="4" w:space="0"/>
            </w:tcBorders>
          </w:tcPr>
          <w:p w14:paraId="13350A9C">
            <w:pPr>
              <w:spacing w:before="156" w:beforeLines="50" w:line="360" w:lineRule="auto"/>
              <w:jc w:val="center"/>
              <w:rPr>
                <w:rFonts w:hint="eastAsia" w:ascii="仿宋" w:hAnsi="仿宋" w:eastAsia="仿宋" w:cs="仿宋"/>
                <w:sz w:val="24"/>
                <w:szCs w:val="24"/>
              </w:rPr>
            </w:pPr>
          </w:p>
        </w:tc>
        <w:tc>
          <w:tcPr>
            <w:tcW w:w="1080" w:type="dxa"/>
            <w:tcBorders>
              <w:right w:val="single" w:color="auto" w:sz="4" w:space="0"/>
            </w:tcBorders>
          </w:tcPr>
          <w:p w14:paraId="59E10495">
            <w:pPr>
              <w:spacing w:before="156" w:beforeLines="50" w:line="360" w:lineRule="auto"/>
              <w:jc w:val="center"/>
              <w:rPr>
                <w:rFonts w:hint="eastAsia" w:ascii="仿宋" w:hAnsi="仿宋" w:eastAsia="仿宋" w:cs="仿宋"/>
                <w:sz w:val="24"/>
                <w:szCs w:val="24"/>
              </w:rPr>
            </w:pPr>
          </w:p>
        </w:tc>
        <w:tc>
          <w:tcPr>
            <w:tcW w:w="623" w:type="dxa"/>
            <w:tcBorders>
              <w:right w:val="single" w:color="auto" w:sz="4" w:space="0"/>
            </w:tcBorders>
          </w:tcPr>
          <w:p w14:paraId="629B6194">
            <w:pPr>
              <w:spacing w:before="156" w:beforeLines="50" w:line="360" w:lineRule="auto"/>
              <w:jc w:val="center"/>
              <w:rPr>
                <w:rFonts w:hint="eastAsia" w:ascii="仿宋" w:hAnsi="仿宋" w:eastAsia="仿宋" w:cs="仿宋"/>
                <w:sz w:val="24"/>
                <w:szCs w:val="24"/>
              </w:rPr>
            </w:pPr>
          </w:p>
        </w:tc>
      </w:tr>
      <w:tr w14:paraId="5B1D9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B238174">
            <w:pPr>
              <w:spacing w:before="156" w:beforeLines="50" w:line="360" w:lineRule="auto"/>
              <w:jc w:val="center"/>
              <w:rPr>
                <w:rFonts w:hint="eastAsia" w:ascii="仿宋" w:hAnsi="仿宋" w:eastAsia="仿宋" w:cs="仿宋"/>
                <w:sz w:val="24"/>
                <w:szCs w:val="24"/>
              </w:rPr>
            </w:pPr>
          </w:p>
        </w:tc>
        <w:tc>
          <w:tcPr>
            <w:tcW w:w="610" w:type="dxa"/>
          </w:tcPr>
          <w:p w14:paraId="6DCFF753">
            <w:pPr>
              <w:spacing w:before="156" w:beforeLines="50" w:line="360" w:lineRule="auto"/>
              <w:jc w:val="center"/>
              <w:rPr>
                <w:rFonts w:hint="eastAsia" w:ascii="仿宋" w:hAnsi="仿宋" w:eastAsia="仿宋" w:cs="仿宋"/>
                <w:sz w:val="24"/>
                <w:szCs w:val="24"/>
              </w:rPr>
            </w:pPr>
          </w:p>
        </w:tc>
        <w:tc>
          <w:tcPr>
            <w:tcW w:w="2196" w:type="dxa"/>
            <w:tcBorders>
              <w:right w:val="single" w:color="auto" w:sz="4" w:space="0"/>
            </w:tcBorders>
          </w:tcPr>
          <w:p w14:paraId="1A41A204">
            <w:pPr>
              <w:spacing w:before="156" w:beforeLines="50" w:line="360" w:lineRule="auto"/>
              <w:jc w:val="center"/>
              <w:rPr>
                <w:rFonts w:hint="eastAsia" w:ascii="仿宋" w:hAnsi="仿宋" w:eastAsia="仿宋" w:cs="仿宋"/>
                <w:sz w:val="24"/>
                <w:szCs w:val="24"/>
              </w:rPr>
            </w:pPr>
          </w:p>
        </w:tc>
        <w:tc>
          <w:tcPr>
            <w:tcW w:w="1989" w:type="dxa"/>
            <w:tcBorders>
              <w:left w:val="single" w:color="auto" w:sz="4" w:space="0"/>
            </w:tcBorders>
          </w:tcPr>
          <w:p w14:paraId="67A8A5BF">
            <w:pPr>
              <w:spacing w:before="156" w:beforeLines="50" w:line="360" w:lineRule="auto"/>
              <w:jc w:val="center"/>
              <w:rPr>
                <w:rFonts w:hint="eastAsia" w:ascii="仿宋" w:hAnsi="仿宋" w:eastAsia="仿宋" w:cs="仿宋"/>
                <w:sz w:val="24"/>
                <w:szCs w:val="24"/>
              </w:rPr>
            </w:pPr>
          </w:p>
        </w:tc>
        <w:tc>
          <w:tcPr>
            <w:tcW w:w="585" w:type="dxa"/>
            <w:tcBorders>
              <w:right w:val="single" w:color="auto" w:sz="4" w:space="0"/>
            </w:tcBorders>
          </w:tcPr>
          <w:p w14:paraId="58AA95CD">
            <w:pPr>
              <w:spacing w:before="156" w:beforeLines="50" w:line="360" w:lineRule="auto"/>
              <w:jc w:val="center"/>
              <w:rPr>
                <w:rFonts w:hint="eastAsia" w:ascii="仿宋" w:hAnsi="仿宋" w:eastAsia="仿宋" w:cs="仿宋"/>
                <w:sz w:val="24"/>
                <w:szCs w:val="24"/>
              </w:rPr>
            </w:pPr>
          </w:p>
        </w:tc>
        <w:tc>
          <w:tcPr>
            <w:tcW w:w="660" w:type="dxa"/>
            <w:tcBorders>
              <w:left w:val="single" w:color="auto" w:sz="4" w:space="0"/>
              <w:right w:val="single" w:color="auto" w:sz="4" w:space="0"/>
            </w:tcBorders>
          </w:tcPr>
          <w:p w14:paraId="1510E228">
            <w:pPr>
              <w:spacing w:before="156" w:beforeLines="50" w:line="360" w:lineRule="auto"/>
              <w:jc w:val="center"/>
              <w:rPr>
                <w:rFonts w:hint="eastAsia" w:ascii="仿宋" w:hAnsi="仿宋" w:eastAsia="仿宋" w:cs="仿宋"/>
                <w:sz w:val="24"/>
                <w:szCs w:val="24"/>
              </w:rPr>
            </w:pPr>
          </w:p>
        </w:tc>
        <w:tc>
          <w:tcPr>
            <w:tcW w:w="1125" w:type="dxa"/>
            <w:tcBorders>
              <w:left w:val="single" w:color="auto" w:sz="4" w:space="0"/>
            </w:tcBorders>
          </w:tcPr>
          <w:p w14:paraId="182718B7">
            <w:pPr>
              <w:spacing w:before="156" w:beforeLines="50" w:line="360" w:lineRule="auto"/>
              <w:jc w:val="center"/>
              <w:rPr>
                <w:rFonts w:hint="eastAsia" w:ascii="仿宋" w:hAnsi="仿宋" w:eastAsia="仿宋" w:cs="仿宋"/>
                <w:sz w:val="24"/>
                <w:szCs w:val="24"/>
              </w:rPr>
            </w:pPr>
          </w:p>
        </w:tc>
        <w:tc>
          <w:tcPr>
            <w:tcW w:w="1080" w:type="dxa"/>
            <w:tcBorders>
              <w:right w:val="single" w:color="auto" w:sz="4" w:space="0"/>
            </w:tcBorders>
          </w:tcPr>
          <w:p w14:paraId="0578BBB9">
            <w:pPr>
              <w:spacing w:before="156" w:beforeLines="50" w:line="360" w:lineRule="auto"/>
              <w:jc w:val="center"/>
              <w:rPr>
                <w:rFonts w:hint="eastAsia" w:ascii="仿宋" w:hAnsi="仿宋" w:eastAsia="仿宋" w:cs="仿宋"/>
                <w:sz w:val="24"/>
                <w:szCs w:val="24"/>
              </w:rPr>
            </w:pPr>
          </w:p>
        </w:tc>
        <w:tc>
          <w:tcPr>
            <w:tcW w:w="623" w:type="dxa"/>
            <w:tcBorders>
              <w:right w:val="single" w:color="auto" w:sz="4" w:space="0"/>
            </w:tcBorders>
          </w:tcPr>
          <w:p w14:paraId="6E60D7B8">
            <w:pPr>
              <w:spacing w:before="156" w:beforeLines="50" w:line="360" w:lineRule="auto"/>
              <w:jc w:val="center"/>
              <w:rPr>
                <w:rFonts w:hint="eastAsia" w:ascii="仿宋" w:hAnsi="仿宋" w:eastAsia="仿宋" w:cs="仿宋"/>
                <w:sz w:val="24"/>
                <w:szCs w:val="24"/>
              </w:rPr>
            </w:pPr>
          </w:p>
        </w:tc>
      </w:tr>
      <w:tr w14:paraId="3906D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4E5E8D2">
            <w:pPr>
              <w:spacing w:before="156" w:beforeLines="50" w:line="360" w:lineRule="auto"/>
              <w:jc w:val="center"/>
              <w:rPr>
                <w:rFonts w:hint="eastAsia" w:ascii="仿宋" w:hAnsi="仿宋" w:eastAsia="仿宋" w:cs="仿宋"/>
                <w:sz w:val="24"/>
                <w:szCs w:val="24"/>
              </w:rPr>
            </w:pPr>
          </w:p>
        </w:tc>
        <w:tc>
          <w:tcPr>
            <w:tcW w:w="610" w:type="dxa"/>
          </w:tcPr>
          <w:p w14:paraId="72885769">
            <w:pPr>
              <w:spacing w:before="156" w:beforeLines="50" w:line="360" w:lineRule="auto"/>
              <w:jc w:val="center"/>
              <w:rPr>
                <w:rFonts w:hint="eastAsia" w:ascii="仿宋" w:hAnsi="仿宋" w:eastAsia="仿宋" w:cs="仿宋"/>
                <w:sz w:val="24"/>
                <w:szCs w:val="24"/>
              </w:rPr>
            </w:pPr>
          </w:p>
        </w:tc>
        <w:tc>
          <w:tcPr>
            <w:tcW w:w="2196" w:type="dxa"/>
            <w:tcBorders>
              <w:right w:val="single" w:color="auto" w:sz="4" w:space="0"/>
            </w:tcBorders>
          </w:tcPr>
          <w:p w14:paraId="105CA8E5">
            <w:pPr>
              <w:spacing w:before="156" w:beforeLines="50" w:line="360" w:lineRule="auto"/>
              <w:jc w:val="center"/>
              <w:rPr>
                <w:rFonts w:hint="eastAsia" w:ascii="仿宋" w:hAnsi="仿宋" w:eastAsia="仿宋" w:cs="仿宋"/>
                <w:sz w:val="24"/>
                <w:szCs w:val="24"/>
              </w:rPr>
            </w:pPr>
          </w:p>
        </w:tc>
        <w:tc>
          <w:tcPr>
            <w:tcW w:w="1989" w:type="dxa"/>
            <w:tcBorders>
              <w:left w:val="single" w:color="auto" w:sz="4" w:space="0"/>
            </w:tcBorders>
          </w:tcPr>
          <w:p w14:paraId="5BB3966D">
            <w:pPr>
              <w:spacing w:before="156" w:beforeLines="50" w:line="360" w:lineRule="auto"/>
              <w:jc w:val="center"/>
              <w:rPr>
                <w:rFonts w:hint="eastAsia" w:ascii="仿宋" w:hAnsi="仿宋" w:eastAsia="仿宋" w:cs="仿宋"/>
                <w:sz w:val="24"/>
                <w:szCs w:val="24"/>
              </w:rPr>
            </w:pPr>
          </w:p>
        </w:tc>
        <w:tc>
          <w:tcPr>
            <w:tcW w:w="585" w:type="dxa"/>
            <w:tcBorders>
              <w:right w:val="single" w:color="auto" w:sz="4" w:space="0"/>
            </w:tcBorders>
          </w:tcPr>
          <w:p w14:paraId="78190F30">
            <w:pPr>
              <w:spacing w:before="156" w:beforeLines="50" w:line="360" w:lineRule="auto"/>
              <w:jc w:val="center"/>
              <w:rPr>
                <w:rFonts w:hint="eastAsia" w:ascii="仿宋" w:hAnsi="仿宋" w:eastAsia="仿宋" w:cs="仿宋"/>
                <w:sz w:val="24"/>
                <w:szCs w:val="24"/>
              </w:rPr>
            </w:pPr>
          </w:p>
        </w:tc>
        <w:tc>
          <w:tcPr>
            <w:tcW w:w="660" w:type="dxa"/>
            <w:tcBorders>
              <w:left w:val="single" w:color="auto" w:sz="4" w:space="0"/>
              <w:right w:val="single" w:color="auto" w:sz="4" w:space="0"/>
            </w:tcBorders>
          </w:tcPr>
          <w:p w14:paraId="48B9ADFD">
            <w:pPr>
              <w:spacing w:before="156" w:beforeLines="50" w:line="360" w:lineRule="auto"/>
              <w:jc w:val="center"/>
              <w:rPr>
                <w:rFonts w:hint="eastAsia" w:ascii="仿宋" w:hAnsi="仿宋" w:eastAsia="仿宋" w:cs="仿宋"/>
                <w:sz w:val="24"/>
                <w:szCs w:val="24"/>
              </w:rPr>
            </w:pPr>
          </w:p>
        </w:tc>
        <w:tc>
          <w:tcPr>
            <w:tcW w:w="1125" w:type="dxa"/>
            <w:tcBorders>
              <w:left w:val="single" w:color="auto" w:sz="4" w:space="0"/>
            </w:tcBorders>
          </w:tcPr>
          <w:p w14:paraId="1D1DE7FA">
            <w:pPr>
              <w:spacing w:before="156" w:beforeLines="50" w:line="360" w:lineRule="auto"/>
              <w:jc w:val="center"/>
              <w:rPr>
                <w:rFonts w:hint="eastAsia" w:ascii="仿宋" w:hAnsi="仿宋" w:eastAsia="仿宋" w:cs="仿宋"/>
                <w:sz w:val="24"/>
                <w:szCs w:val="24"/>
              </w:rPr>
            </w:pPr>
          </w:p>
        </w:tc>
        <w:tc>
          <w:tcPr>
            <w:tcW w:w="1080" w:type="dxa"/>
            <w:tcBorders>
              <w:right w:val="single" w:color="auto" w:sz="4" w:space="0"/>
            </w:tcBorders>
          </w:tcPr>
          <w:p w14:paraId="62CCA674">
            <w:pPr>
              <w:spacing w:before="156" w:beforeLines="50" w:line="360" w:lineRule="auto"/>
              <w:jc w:val="center"/>
              <w:rPr>
                <w:rFonts w:hint="eastAsia" w:ascii="仿宋" w:hAnsi="仿宋" w:eastAsia="仿宋" w:cs="仿宋"/>
                <w:sz w:val="24"/>
                <w:szCs w:val="24"/>
              </w:rPr>
            </w:pPr>
          </w:p>
        </w:tc>
        <w:tc>
          <w:tcPr>
            <w:tcW w:w="623" w:type="dxa"/>
            <w:tcBorders>
              <w:right w:val="single" w:color="auto" w:sz="4" w:space="0"/>
            </w:tcBorders>
          </w:tcPr>
          <w:p w14:paraId="5BCE4CCB">
            <w:pPr>
              <w:spacing w:before="156" w:beforeLines="50" w:line="360" w:lineRule="auto"/>
              <w:jc w:val="center"/>
              <w:rPr>
                <w:rFonts w:hint="eastAsia" w:ascii="仿宋" w:hAnsi="仿宋" w:eastAsia="仿宋" w:cs="仿宋"/>
                <w:sz w:val="24"/>
                <w:szCs w:val="24"/>
              </w:rPr>
            </w:pPr>
          </w:p>
        </w:tc>
      </w:tr>
      <w:tr w14:paraId="25EEF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290C645E">
            <w:pPr>
              <w:spacing w:before="156" w:beforeLines="50" w:line="360" w:lineRule="auto"/>
              <w:jc w:val="center"/>
              <w:rPr>
                <w:rFonts w:hint="eastAsia" w:ascii="仿宋" w:hAnsi="仿宋" w:eastAsia="仿宋" w:cs="仿宋"/>
                <w:sz w:val="24"/>
                <w:szCs w:val="24"/>
              </w:rPr>
            </w:pPr>
          </w:p>
        </w:tc>
        <w:tc>
          <w:tcPr>
            <w:tcW w:w="610" w:type="dxa"/>
          </w:tcPr>
          <w:p w14:paraId="3FB734F1">
            <w:pPr>
              <w:spacing w:before="156" w:beforeLines="50" w:line="360" w:lineRule="auto"/>
              <w:jc w:val="center"/>
              <w:rPr>
                <w:rFonts w:hint="eastAsia" w:ascii="仿宋" w:hAnsi="仿宋" w:eastAsia="仿宋" w:cs="仿宋"/>
                <w:sz w:val="24"/>
                <w:szCs w:val="24"/>
              </w:rPr>
            </w:pPr>
          </w:p>
        </w:tc>
        <w:tc>
          <w:tcPr>
            <w:tcW w:w="2196" w:type="dxa"/>
            <w:tcBorders>
              <w:right w:val="single" w:color="auto" w:sz="4" w:space="0"/>
            </w:tcBorders>
          </w:tcPr>
          <w:p w14:paraId="27E2FFA3">
            <w:pPr>
              <w:spacing w:before="156" w:beforeLines="50" w:line="360" w:lineRule="auto"/>
              <w:jc w:val="center"/>
              <w:rPr>
                <w:rFonts w:hint="eastAsia" w:ascii="仿宋" w:hAnsi="仿宋" w:eastAsia="仿宋" w:cs="仿宋"/>
                <w:sz w:val="24"/>
                <w:szCs w:val="24"/>
              </w:rPr>
            </w:pPr>
          </w:p>
        </w:tc>
        <w:tc>
          <w:tcPr>
            <w:tcW w:w="1989" w:type="dxa"/>
            <w:tcBorders>
              <w:left w:val="single" w:color="auto" w:sz="4" w:space="0"/>
            </w:tcBorders>
          </w:tcPr>
          <w:p w14:paraId="7BE6BFD1">
            <w:pPr>
              <w:spacing w:before="156" w:beforeLines="50" w:line="360" w:lineRule="auto"/>
              <w:jc w:val="center"/>
              <w:rPr>
                <w:rFonts w:hint="eastAsia" w:ascii="仿宋" w:hAnsi="仿宋" w:eastAsia="仿宋" w:cs="仿宋"/>
                <w:sz w:val="24"/>
                <w:szCs w:val="24"/>
              </w:rPr>
            </w:pPr>
          </w:p>
        </w:tc>
        <w:tc>
          <w:tcPr>
            <w:tcW w:w="585" w:type="dxa"/>
            <w:tcBorders>
              <w:right w:val="single" w:color="auto" w:sz="4" w:space="0"/>
            </w:tcBorders>
          </w:tcPr>
          <w:p w14:paraId="20439192">
            <w:pPr>
              <w:spacing w:before="156" w:beforeLines="50" w:line="360" w:lineRule="auto"/>
              <w:jc w:val="center"/>
              <w:rPr>
                <w:rFonts w:hint="eastAsia" w:ascii="仿宋" w:hAnsi="仿宋" w:eastAsia="仿宋" w:cs="仿宋"/>
                <w:sz w:val="24"/>
                <w:szCs w:val="24"/>
              </w:rPr>
            </w:pPr>
          </w:p>
        </w:tc>
        <w:tc>
          <w:tcPr>
            <w:tcW w:w="660" w:type="dxa"/>
            <w:tcBorders>
              <w:left w:val="single" w:color="auto" w:sz="4" w:space="0"/>
              <w:right w:val="single" w:color="auto" w:sz="4" w:space="0"/>
            </w:tcBorders>
          </w:tcPr>
          <w:p w14:paraId="02F147E2">
            <w:pPr>
              <w:spacing w:before="156" w:beforeLines="50" w:line="360" w:lineRule="auto"/>
              <w:jc w:val="center"/>
              <w:rPr>
                <w:rFonts w:hint="eastAsia" w:ascii="仿宋" w:hAnsi="仿宋" w:eastAsia="仿宋" w:cs="仿宋"/>
                <w:sz w:val="24"/>
                <w:szCs w:val="24"/>
              </w:rPr>
            </w:pPr>
          </w:p>
        </w:tc>
        <w:tc>
          <w:tcPr>
            <w:tcW w:w="1125" w:type="dxa"/>
            <w:tcBorders>
              <w:left w:val="single" w:color="auto" w:sz="4" w:space="0"/>
            </w:tcBorders>
          </w:tcPr>
          <w:p w14:paraId="60E03469">
            <w:pPr>
              <w:spacing w:before="156" w:beforeLines="50" w:line="360" w:lineRule="auto"/>
              <w:jc w:val="center"/>
              <w:rPr>
                <w:rFonts w:hint="eastAsia" w:ascii="仿宋" w:hAnsi="仿宋" w:eastAsia="仿宋" w:cs="仿宋"/>
                <w:sz w:val="24"/>
                <w:szCs w:val="24"/>
              </w:rPr>
            </w:pPr>
          </w:p>
        </w:tc>
        <w:tc>
          <w:tcPr>
            <w:tcW w:w="1080" w:type="dxa"/>
            <w:tcBorders>
              <w:right w:val="single" w:color="auto" w:sz="4" w:space="0"/>
            </w:tcBorders>
          </w:tcPr>
          <w:p w14:paraId="450360D9">
            <w:pPr>
              <w:spacing w:before="156" w:beforeLines="50" w:line="360" w:lineRule="auto"/>
              <w:jc w:val="center"/>
              <w:rPr>
                <w:rFonts w:hint="eastAsia" w:ascii="仿宋" w:hAnsi="仿宋" w:eastAsia="仿宋" w:cs="仿宋"/>
                <w:sz w:val="24"/>
                <w:szCs w:val="24"/>
              </w:rPr>
            </w:pPr>
          </w:p>
        </w:tc>
        <w:tc>
          <w:tcPr>
            <w:tcW w:w="623" w:type="dxa"/>
            <w:tcBorders>
              <w:right w:val="single" w:color="auto" w:sz="4" w:space="0"/>
            </w:tcBorders>
          </w:tcPr>
          <w:p w14:paraId="1F9A21FE">
            <w:pPr>
              <w:spacing w:before="156" w:beforeLines="50" w:line="360" w:lineRule="auto"/>
              <w:jc w:val="center"/>
              <w:rPr>
                <w:rFonts w:hint="eastAsia" w:ascii="仿宋" w:hAnsi="仿宋" w:eastAsia="仿宋" w:cs="仿宋"/>
                <w:sz w:val="24"/>
                <w:szCs w:val="24"/>
              </w:rPr>
            </w:pPr>
          </w:p>
        </w:tc>
      </w:tr>
    </w:tbl>
    <w:p w14:paraId="2BC784C5">
      <w:pPr>
        <w:widowControl w:val="0"/>
        <w:spacing w:before="156" w:beforeLines="50" w:line="360" w:lineRule="auto"/>
        <w:ind w:firstLine="361" w:firstLineChars="150"/>
        <w:jc w:val="both"/>
        <w:outlineLvl w:val="1"/>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第四条 合同价款</w:t>
      </w:r>
      <w:bookmarkEnd w:id="2"/>
      <w:bookmarkEnd w:id="3"/>
    </w:p>
    <w:p w14:paraId="6CF003A8">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11" w:name="_Toc30597"/>
      <w:bookmarkStart w:id="12" w:name="_Toc12510"/>
      <w:r>
        <w:rPr>
          <w:rFonts w:hint="eastAsia" w:ascii="仿宋" w:hAnsi="仿宋" w:eastAsia="仿宋" w:cs="仿宋"/>
          <w:kern w:val="2"/>
          <w:sz w:val="24"/>
          <w:szCs w:val="24"/>
          <w:lang w:val="en-US" w:eastAsia="zh-CN" w:bidi="ar-SA"/>
        </w:rPr>
        <w:t>1.合同总价：人民币（大写）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元，（￥</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w:t>
      </w:r>
      <w:bookmarkEnd w:id="11"/>
      <w:bookmarkEnd w:id="12"/>
    </w:p>
    <w:p w14:paraId="5A406BC5">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13" w:name="_Toc6195"/>
      <w:bookmarkStart w:id="14" w:name="_Toc22145"/>
      <w:r>
        <w:rPr>
          <w:rFonts w:hint="eastAsia" w:ascii="仿宋" w:hAnsi="仿宋" w:eastAsia="仿宋" w:cs="仿宋"/>
          <w:kern w:val="2"/>
          <w:sz w:val="24"/>
          <w:szCs w:val="24"/>
          <w:lang w:val="en-US" w:eastAsia="zh-CN" w:bidi="ar-SA"/>
        </w:rPr>
        <w:t>2.本合同总价是货物（产品）设计、材料、制造、警式改装、挂牌费、车身外装潢、检测、验收合格交付使用之前及保修期内保修服务与备用物件等其他有关各项的含税费用。</w:t>
      </w:r>
      <w:bookmarkEnd w:id="13"/>
      <w:bookmarkEnd w:id="14"/>
    </w:p>
    <w:p w14:paraId="5D60C968">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15" w:name="_Toc27556"/>
      <w:bookmarkStart w:id="16" w:name="_Toc5874"/>
      <w:r>
        <w:rPr>
          <w:rFonts w:hint="eastAsia" w:ascii="仿宋" w:hAnsi="仿宋" w:eastAsia="仿宋" w:cs="仿宋"/>
          <w:kern w:val="2"/>
          <w:sz w:val="24"/>
          <w:szCs w:val="24"/>
          <w:lang w:val="en-US" w:eastAsia="zh-CN" w:bidi="ar-SA"/>
        </w:rPr>
        <w:t>3.本合同总价还包含乙方应当提供的伴随服务和售后服务费用。</w:t>
      </w:r>
      <w:bookmarkEnd w:id="15"/>
      <w:bookmarkEnd w:id="16"/>
    </w:p>
    <w:p w14:paraId="0535CDDD">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17" w:name="_Toc26798"/>
      <w:bookmarkStart w:id="18" w:name="_Toc23843"/>
      <w:r>
        <w:rPr>
          <w:rFonts w:hint="eastAsia" w:ascii="仿宋" w:hAnsi="仿宋" w:eastAsia="仿宋" w:cs="仿宋"/>
          <w:kern w:val="2"/>
          <w:sz w:val="24"/>
          <w:szCs w:val="24"/>
          <w:lang w:val="en-US" w:eastAsia="zh-CN" w:bidi="ar-SA"/>
        </w:rPr>
        <w:t>4.本合同执行期间合同总价不变，甲方无须另向乙方支付本合同规定之外的其他任何费用。</w:t>
      </w:r>
      <w:bookmarkEnd w:id="17"/>
      <w:bookmarkEnd w:id="18"/>
    </w:p>
    <w:p w14:paraId="18C1EB57">
      <w:pPr>
        <w:widowControl w:val="0"/>
        <w:spacing w:before="156" w:beforeLines="50" w:line="360" w:lineRule="auto"/>
        <w:ind w:firstLine="361" w:firstLineChars="150"/>
        <w:jc w:val="both"/>
        <w:outlineLvl w:val="1"/>
        <w:rPr>
          <w:rFonts w:hint="eastAsia" w:ascii="仿宋" w:hAnsi="仿宋" w:eastAsia="仿宋" w:cs="仿宋"/>
          <w:b/>
          <w:kern w:val="2"/>
          <w:sz w:val="24"/>
          <w:szCs w:val="24"/>
          <w:lang w:val="en-US" w:eastAsia="zh-CN" w:bidi="ar-SA"/>
        </w:rPr>
      </w:pPr>
      <w:bookmarkStart w:id="19" w:name="_Toc21749"/>
      <w:bookmarkStart w:id="20" w:name="_Toc4203"/>
      <w:r>
        <w:rPr>
          <w:rFonts w:hint="eastAsia" w:ascii="仿宋" w:hAnsi="仿宋" w:eastAsia="仿宋" w:cs="仿宋"/>
          <w:b/>
          <w:kern w:val="2"/>
          <w:sz w:val="24"/>
          <w:szCs w:val="24"/>
          <w:lang w:val="en-US" w:eastAsia="zh-CN" w:bidi="ar-SA"/>
        </w:rPr>
        <w:t>第五条 货款支付</w:t>
      </w:r>
      <w:bookmarkEnd w:id="19"/>
      <w:bookmarkEnd w:id="20"/>
    </w:p>
    <w:p w14:paraId="586EAF31">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1.付款条件说明：预付款，合同签订，达到付款条件起10日内，支付合同总金额的45.00%；</w:t>
      </w:r>
    </w:p>
    <w:p w14:paraId="18A15266">
      <w:pPr>
        <w:widowControl w:val="0"/>
        <w:spacing w:line="360" w:lineRule="auto"/>
        <w:ind w:firstLine="2040" w:firstLineChars="850"/>
        <w:jc w:val="both"/>
        <w:rPr>
          <w:rFonts w:hint="eastAsia" w:ascii="仿宋" w:hAnsi="仿宋" w:eastAsia="仿宋" w:cs="仿宋"/>
          <w:b/>
          <w:bCs/>
          <w:kern w:val="2"/>
          <w:sz w:val="24"/>
          <w:szCs w:val="24"/>
          <w:highlight w:val="green"/>
          <w:lang w:val="en-US" w:eastAsia="zh-CN" w:bidi="ar-SA"/>
        </w:rPr>
      </w:pPr>
      <w:r>
        <w:rPr>
          <w:rFonts w:hint="eastAsia" w:ascii="仿宋" w:hAnsi="仿宋" w:eastAsia="仿宋" w:cs="仿宋"/>
          <w:kern w:val="2"/>
          <w:sz w:val="24"/>
          <w:szCs w:val="24"/>
          <w:lang w:val="en-US" w:eastAsia="zh-CN" w:bidi="ar-SA"/>
        </w:rPr>
        <w:t>进度款，车辆验收合格，达到付款条件起10日内，支付合同总金额的55.00%。</w:t>
      </w:r>
    </w:p>
    <w:p w14:paraId="37994573">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2.乙方须向甲方出具合法有效的完税发票，甲方进行支付结算。</w:t>
      </w:r>
    </w:p>
    <w:p w14:paraId="7CC119A8">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3.结算方式：银行转账。</w:t>
      </w:r>
    </w:p>
    <w:p w14:paraId="6CD4A47F">
      <w:pPr>
        <w:widowControl w:val="0"/>
        <w:spacing w:before="156" w:beforeLines="50" w:after="156" w:afterLines="50" w:line="360" w:lineRule="auto"/>
        <w:ind w:firstLine="400" w:firstLineChars="166"/>
        <w:jc w:val="both"/>
        <w:outlineLvl w:val="1"/>
        <w:rPr>
          <w:rFonts w:hint="eastAsia" w:ascii="仿宋" w:hAnsi="仿宋" w:eastAsia="仿宋" w:cs="仿宋"/>
          <w:b/>
          <w:kern w:val="2"/>
          <w:sz w:val="24"/>
          <w:szCs w:val="24"/>
          <w:lang w:val="en-US" w:eastAsia="zh-CN" w:bidi="ar-SA"/>
        </w:rPr>
      </w:pPr>
      <w:bookmarkStart w:id="21" w:name="_Toc28117"/>
      <w:bookmarkStart w:id="22" w:name="_Toc11136"/>
      <w:r>
        <w:rPr>
          <w:rFonts w:hint="eastAsia" w:ascii="仿宋" w:hAnsi="仿宋" w:eastAsia="仿宋" w:cs="仿宋"/>
          <w:b/>
          <w:kern w:val="2"/>
          <w:sz w:val="24"/>
          <w:szCs w:val="24"/>
          <w:lang w:val="en-US" w:eastAsia="zh-CN" w:bidi="ar-SA"/>
        </w:rPr>
        <w:t>第六条 交货时间与地点</w:t>
      </w:r>
      <w:bookmarkEnd w:id="21"/>
      <w:bookmarkEnd w:id="22"/>
    </w:p>
    <w:p w14:paraId="5F0DC964">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1.交货时间（交货期）：                </w:t>
      </w:r>
      <w:r>
        <w:rPr>
          <w:rFonts w:hint="eastAsia" w:ascii="仿宋" w:hAnsi="仿宋" w:eastAsia="仿宋" w:cs="仿宋"/>
          <w:kern w:val="2"/>
          <w:sz w:val="24"/>
          <w:szCs w:val="24"/>
          <w:lang w:val="zh-CN" w:eastAsia="zh-CN" w:bidi="ar-SA"/>
        </w:rPr>
        <w:t>。</w:t>
      </w:r>
    </w:p>
    <w:p w14:paraId="07541FE1">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2.交货地点和方式：供应商运负责运送到采购人指定地点。</w:t>
      </w:r>
    </w:p>
    <w:p w14:paraId="5FFEBC55">
      <w:pPr>
        <w:widowControl w:val="0"/>
        <w:spacing w:before="156" w:beforeLines="50" w:after="156" w:afterLines="50" w:line="360" w:lineRule="auto"/>
        <w:ind w:firstLine="400" w:firstLineChars="166"/>
        <w:jc w:val="both"/>
        <w:outlineLvl w:val="1"/>
        <w:rPr>
          <w:rFonts w:hint="eastAsia" w:ascii="仿宋" w:hAnsi="仿宋" w:eastAsia="仿宋" w:cs="仿宋"/>
          <w:b/>
          <w:kern w:val="2"/>
          <w:sz w:val="24"/>
          <w:szCs w:val="24"/>
          <w:lang w:val="en-US" w:eastAsia="zh-CN" w:bidi="ar-SA"/>
        </w:rPr>
      </w:pPr>
      <w:bookmarkStart w:id="23" w:name="_Toc1061"/>
      <w:bookmarkStart w:id="24" w:name="_Toc22096"/>
      <w:r>
        <w:rPr>
          <w:rFonts w:hint="eastAsia" w:ascii="仿宋" w:hAnsi="仿宋" w:eastAsia="仿宋" w:cs="仿宋"/>
          <w:b/>
          <w:kern w:val="2"/>
          <w:sz w:val="24"/>
          <w:szCs w:val="24"/>
          <w:lang w:val="en-US" w:eastAsia="zh-CN" w:bidi="ar-SA"/>
        </w:rPr>
        <w:t>第七条 质量保证</w:t>
      </w:r>
      <w:bookmarkEnd w:id="23"/>
      <w:bookmarkEnd w:id="24"/>
    </w:p>
    <w:p w14:paraId="5E6B8A24">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25" w:name="_Toc28731"/>
      <w:bookmarkStart w:id="26" w:name="_Toc20794"/>
      <w:r>
        <w:rPr>
          <w:rFonts w:hint="eastAsia" w:ascii="仿宋" w:hAnsi="仿宋" w:eastAsia="仿宋" w:cs="仿宋"/>
          <w:kern w:val="2"/>
          <w:sz w:val="24"/>
          <w:szCs w:val="24"/>
          <w:lang w:val="en-US" w:eastAsia="zh-CN" w:bidi="ar-SA"/>
        </w:rPr>
        <w:t>1、供应商提供的车辆及配件必须保证质量可靠，为市场最新或主流产品，进货渠道正常，配置合理齐全，应全面满足竞争性谈判文件的要求，竞争性谈判文件未明确要求的内容，供应商须按招标产品主流标准配置或以采购人的补充要求为准。所供产品质量应严格按国家最新发布的规范标准执行，如发生质量问题由供应商承担全部责任。</w:t>
      </w:r>
    </w:p>
    <w:p w14:paraId="1B01C0A8">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2、采购人使用产品过程中因产品质量、产品缺陷及安装质量等造成人身伤亡、财产损失的，由供应商负责解决并承担全部责任。</w:t>
      </w:r>
    </w:p>
    <w:p w14:paraId="0E2F4553">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3、供应商应提供可承担维修职能的公司、全资分公司或办事处，并驻守多名维护技术人员，并提供地点、联系人（常驻工程师）及联系电话（服务热线），随时解答各种疑问（需提供相关证明材料）。</w:t>
      </w:r>
    </w:p>
    <w:p w14:paraId="0F09CB1F">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4、服务方式:现场服务，质保期内维修费用含在合同总价中（中标价格），提供终身维修。</w:t>
      </w:r>
    </w:p>
    <w:p w14:paraId="58A4A74F">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5、质保期内:对用户的维护维修要求保证在2小时内做出响应。接到用户维修要求后，售后服务技术人员24小时内到达维修现场，但不可抗力因素（自然及环境因素）除外。</w:t>
      </w:r>
    </w:p>
    <w:p w14:paraId="50BA6E92">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6、对于存在质量问题或者短少的产品，供应商应在接到采购人的通知2个日历日内负责修复，调换、重新制作或补齐。</w:t>
      </w:r>
    </w:p>
    <w:p w14:paraId="47A1D207">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024FF39">
      <w:pPr>
        <w:widowControl w:val="0"/>
        <w:spacing w:line="360" w:lineRule="auto"/>
        <w:ind w:firstLine="482"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b/>
          <w:kern w:val="2"/>
          <w:sz w:val="24"/>
          <w:szCs w:val="24"/>
          <w:lang w:val="en-US" w:eastAsia="zh-CN" w:bidi="ar-SA"/>
        </w:rPr>
        <w:t xml:space="preserve">第八条 </w:t>
      </w:r>
      <w:bookmarkEnd w:id="25"/>
      <w:bookmarkEnd w:id="26"/>
      <w:bookmarkStart w:id="27" w:name="_Toc19836"/>
      <w:bookmarkStart w:id="28" w:name="_Toc31343"/>
      <w:r>
        <w:rPr>
          <w:rFonts w:hint="eastAsia" w:ascii="仿宋" w:hAnsi="仿宋" w:eastAsia="仿宋" w:cs="仿宋"/>
          <w:b/>
          <w:kern w:val="2"/>
          <w:sz w:val="24"/>
          <w:szCs w:val="24"/>
          <w:lang w:val="en-US" w:eastAsia="zh-CN" w:bidi="ar-SA"/>
        </w:rPr>
        <w:t xml:space="preserve"> 验收</w:t>
      </w:r>
      <w:bookmarkEnd w:id="27"/>
      <w:bookmarkEnd w:id="28"/>
    </w:p>
    <w:p w14:paraId="06463223">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29" w:name="_Toc4278"/>
      <w:bookmarkStart w:id="30" w:name="_Toc5101"/>
      <w:r>
        <w:rPr>
          <w:rFonts w:hint="eastAsia" w:ascii="仿宋" w:hAnsi="仿宋" w:eastAsia="仿宋" w:cs="仿宋"/>
          <w:kern w:val="2"/>
          <w:sz w:val="24"/>
          <w:szCs w:val="24"/>
          <w:lang w:val="en-US" w:eastAsia="zh-CN" w:bidi="ar-SA"/>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w:t>
      </w:r>
    </w:p>
    <w:p w14:paraId="1908D4EA">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所验产品的指标、性能参数最终验收达不到竞争性谈判文件要求和谈判响应文件承诺的，或在使用中发现采购人不能容忍的缺陷等，将视为产品验收不合格，供应商应在采购人要求的时间内无条件免费更换或退货。</w:t>
      </w:r>
    </w:p>
    <w:p w14:paraId="565F3697">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2、若发现供应商有弄虚作假的，在投标阶段故意或随意夸大产品技术性能，供应商应无条件退货，本合同解除，供应商赔偿采购人相应的损失。</w:t>
      </w:r>
    </w:p>
    <w:p w14:paraId="55243C7F">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3、验收标准：按竞争性谈判文件、谈判响应文件及澄清函等技术指标进行验收。各项指标均应符合验收标准及要求。</w:t>
      </w:r>
    </w:p>
    <w:p w14:paraId="5BDAFB16">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4、验收合格后，填写验收单，双方签字生效。</w:t>
      </w:r>
    </w:p>
    <w:p w14:paraId="1E9E9696">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5、验收依据：</w:t>
      </w:r>
    </w:p>
    <w:p w14:paraId="7AC2DCB5">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a)合同文本；</w:t>
      </w:r>
    </w:p>
    <w:p w14:paraId="750AF162">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b)谈判响应文件及澄清函、竞争性谈判文件；</w:t>
      </w:r>
    </w:p>
    <w:p w14:paraId="2978539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c)国家和行业制定的相应的标准和规范；</w:t>
      </w:r>
    </w:p>
    <w:p w14:paraId="732E4CC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d)验收清单（注明各部件的品名、数量、规格型号和原产地或生产厂家）。</w:t>
      </w:r>
    </w:p>
    <w:p w14:paraId="54AC67CA">
      <w:pPr>
        <w:widowControl w:val="0"/>
        <w:spacing w:before="156" w:beforeLines="50" w:after="156" w:afterLines="50" w:line="360" w:lineRule="auto"/>
        <w:ind w:firstLine="400" w:firstLineChars="166"/>
        <w:jc w:val="both"/>
        <w:outlineLvl w:val="1"/>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 xml:space="preserve">第九条 </w:t>
      </w:r>
      <w:bookmarkEnd w:id="29"/>
      <w:bookmarkEnd w:id="30"/>
      <w:r>
        <w:rPr>
          <w:rFonts w:hint="eastAsia" w:ascii="仿宋" w:hAnsi="仿宋" w:eastAsia="仿宋" w:cs="仿宋"/>
          <w:b/>
          <w:kern w:val="2"/>
          <w:sz w:val="24"/>
          <w:szCs w:val="24"/>
          <w:lang w:val="en-US" w:eastAsia="zh-CN" w:bidi="ar-SA"/>
        </w:rPr>
        <w:t>技术支持</w:t>
      </w:r>
    </w:p>
    <w:p w14:paraId="3F545693">
      <w:pPr>
        <w:widowControl w:val="0"/>
        <w:spacing w:line="360" w:lineRule="auto"/>
        <w:ind w:firstLine="600" w:firstLineChars="250"/>
        <w:jc w:val="both"/>
        <w:rPr>
          <w:rFonts w:hint="eastAsia" w:ascii="仿宋" w:hAnsi="仿宋" w:eastAsia="仿宋" w:cs="仿宋"/>
          <w:kern w:val="2"/>
          <w:sz w:val="24"/>
          <w:szCs w:val="24"/>
          <w:lang w:val="en-US" w:eastAsia="zh-CN" w:bidi="ar-SA"/>
        </w:rPr>
      </w:pPr>
      <w:bookmarkStart w:id="31" w:name="_Toc24432"/>
      <w:bookmarkStart w:id="32" w:name="_Toc10753"/>
      <w:r>
        <w:rPr>
          <w:rFonts w:hint="eastAsia" w:ascii="仿宋" w:hAnsi="仿宋" w:eastAsia="仿宋" w:cs="仿宋"/>
          <w:kern w:val="2"/>
          <w:sz w:val="24"/>
          <w:szCs w:val="24"/>
          <w:lang w:val="en-US" w:eastAsia="zh-CN" w:bidi="ar-SA"/>
        </w:rPr>
        <w:t>1、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2629C2B1">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2、供应商在项目实施过程中，质量保障人员、资源不足或者执行不力，给项目质量带来的风险超出采购人认定的允许范围时，采购人可终止本项目的合作并进行索赔。</w:t>
      </w:r>
    </w:p>
    <w:p w14:paraId="3E4B79B4">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第十条  技术资料要求</w:t>
      </w:r>
    </w:p>
    <w:p w14:paraId="57CF6A4A">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供应商应向采购人提供全套中文技术资料一套，其费用包括在谈判价格中：</w:t>
      </w:r>
    </w:p>
    <w:p w14:paraId="53630DCF">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1、完整的产品操作使用手册、说明书和维护、修理技术文件、保修卡等；</w:t>
      </w:r>
    </w:p>
    <w:p w14:paraId="578F8C0F">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2、制造厂的检验、测试报告、产品检验合格证书，质量保证书等文件验收时须一并提供；</w:t>
      </w:r>
    </w:p>
    <w:p w14:paraId="35D8947D">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3、产品验收标准；</w:t>
      </w:r>
    </w:p>
    <w:p w14:paraId="767BCCF3">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4、整体验收后提供验收报告；</w:t>
      </w:r>
    </w:p>
    <w:p w14:paraId="4C9AA796">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5、合同中要求的其他文件资料。</w:t>
      </w:r>
    </w:p>
    <w:p w14:paraId="506D17FD">
      <w:pPr>
        <w:widowControl w:val="0"/>
        <w:spacing w:before="156" w:beforeLines="50" w:after="156" w:afterLines="50" w:line="360" w:lineRule="auto"/>
        <w:ind w:firstLine="241" w:firstLineChars="100"/>
        <w:jc w:val="both"/>
        <w:outlineLvl w:val="1"/>
        <w:rPr>
          <w:rFonts w:hint="eastAsia" w:ascii="仿宋" w:hAnsi="仿宋" w:eastAsia="仿宋" w:cs="仿宋"/>
          <w:kern w:val="2"/>
          <w:sz w:val="24"/>
          <w:szCs w:val="24"/>
          <w:lang w:val="en-US" w:eastAsia="zh-CN" w:bidi="ar-SA"/>
        </w:rPr>
      </w:pPr>
      <w:r>
        <w:rPr>
          <w:rFonts w:hint="eastAsia" w:ascii="仿宋" w:hAnsi="仿宋" w:eastAsia="仿宋" w:cs="仿宋"/>
          <w:b/>
          <w:kern w:val="2"/>
          <w:sz w:val="24"/>
          <w:szCs w:val="24"/>
          <w:lang w:val="en-US" w:eastAsia="zh-CN" w:bidi="ar-SA"/>
        </w:rPr>
        <w:t>第十一条 违约责任</w:t>
      </w:r>
      <w:bookmarkEnd w:id="31"/>
      <w:bookmarkEnd w:id="32"/>
    </w:p>
    <w:p w14:paraId="787DF04A">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1.甲方违约责任</w:t>
      </w:r>
    </w:p>
    <w:p w14:paraId="1E242B98">
      <w:pPr>
        <w:widowControl w:val="0"/>
        <w:spacing w:line="360" w:lineRule="auto"/>
        <w:ind w:firstLine="410" w:firstLineChars="171"/>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（1）甲方无正当理由拒收货物的，甲方应偿付合同总价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%的违约金；</w:t>
      </w:r>
    </w:p>
    <w:p w14:paraId="175B57E6">
      <w:pPr>
        <w:widowControl w:val="0"/>
        <w:spacing w:line="360" w:lineRule="auto"/>
        <w:ind w:firstLine="410" w:firstLineChars="171"/>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（2）甲方逾期支付货款的，除应及时付足货款外，应向乙方每天支付欠款总额</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xml:space="preserve"> ‰的滞纳金；但累计滞纳金总额不超过欠款总额的</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w:t>
      </w:r>
    </w:p>
    <w:p w14:paraId="4C072365">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2.乙方违约责任</w:t>
      </w:r>
    </w:p>
    <w:p w14:paraId="437D437E">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（1）如乙方不能交付货物或逾期交付货物的，每逾期1天，乙方向甲方偿付逾期交货部分货款总额的</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‰的滞纳金。如乙方逾期交货达</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天，甲方有权解除合同，解除合同的通知自到达乙方时生效；</w:t>
      </w:r>
    </w:p>
    <w:p w14:paraId="59E22D38">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（2）乙方所交付的货物品种、型号、规格不符合合同规定的，甲方有权拒收。甲方拒收的，乙方应向甲方支付货款总额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%的违约金；</w:t>
      </w:r>
    </w:p>
    <w:p w14:paraId="560B7E95">
      <w:pPr>
        <w:widowControl w:val="0"/>
        <w:spacing w:line="360" w:lineRule="auto"/>
        <w:ind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天内无条件更换合格的货物，如逾期不能更换合格的货物，甲方有权终止本合同，乙方应另向甲方支付货款总额的</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%的违约金；</w:t>
      </w:r>
    </w:p>
    <w:p w14:paraId="7A4C7C22">
      <w:pPr>
        <w:widowControl w:val="0"/>
        <w:spacing w:line="360" w:lineRule="auto"/>
        <w:ind w:firstLine="480" w:firstLineChars="200"/>
        <w:jc w:val="both"/>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23FDF2D">
      <w:pPr>
        <w:widowControl w:val="0"/>
        <w:spacing w:line="360" w:lineRule="auto"/>
        <w:ind w:firstLine="480" w:firstLineChars="200"/>
        <w:jc w:val="both"/>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（6）乙方未按本合同的规定和“服务承诺”提供伴随服务/售后服务的，应按合同总价款的</w:t>
      </w:r>
      <w:r>
        <w:rPr>
          <w:rFonts w:hint="eastAsia" w:ascii="仿宋" w:hAnsi="仿宋" w:eastAsia="仿宋" w:cs="仿宋"/>
          <w:kern w:val="0"/>
          <w:sz w:val="24"/>
          <w:szCs w:val="24"/>
          <w:u w:val="single"/>
          <w:lang w:val="en-US" w:eastAsia="zh-CN" w:bidi="ar-SA"/>
        </w:rPr>
        <w:t xml:space="preserve">  </w:t>
      </w:r>
      <w:r>
        <w:rPr>
          <w:rFonts w:hint="eastAsia" w:ascii="仿宋" w:hAnsi="仿宋" w:eastAsia="仿宋" w:cs="仿宋"/>
          <w:kern w:val="0"/>
          <w:sz w:val="24"/>
          <w:szCs w:val="24"/>
          <w:lang w:val="en-US" w:eastAsia="zh-CN" w:bidi="ar-SA"/>
        </w:rPr>
        <w:t>%向甲方承担违约责任；</w:t>
      </w:r>
    </w:p>
    <w:p w14:paraId="3A4BC507">
      <w:pPr>
        <w:widowControl/>
        <w:spacing w:before="156" w:beforeLines="50" w:after="156" w:afterLines="50" w:line="360" w:lineRule="auto"/>
        <w:ind w:firstLine="361" w:firstLineChars="150"/>
        <w:jc w:val="left"/>
        <w:outlineLvl w:val="1"/>
        <w:rPr>
          <w:rFonts w:hint="eastAsia" w:ascii="仿宋" w:hAnsi="仿宋" w:eastAsia="仿宋" w:cs="仿宋"/>
          <w:kern w:val="0"/>
          <w:sz w:val="24"/>
          <w:szCs w:val="24"/>
        </w:rPr>
      </w:pPr>
      <w:bookmarkStart w:id="33" w:name="_Toc12233"/>
      <w:bookmarkStart w:id="34" w:name="_Toc31342"/>
      <w:r>
        <w:rPr>
          <w:rFonts w:hint="eastAsia" w:ascii="仿宋" w:hAnsi="仿宋" w:eastAsia="仿宋" w:cs="仿宋"/>
          <w:b/>
          <w:sz w:val="24"/>
          <w:szCs w:val="24"/>
        </w:rPr>
        <w:t xml:space="preserve">第十二条 </w:t>
      </w:r>
      <w:r>
        <w:rPr>
          <w:rFonts w:hint="eastAsia" w:ascii="仿宋" w:hAnsi="仿宋" w:eastAsia="仿宋" w:cs="仿宋"/>
          <w:b/>
          <w:kern w:val="0"/>
          <w:sz w:val="24"/>
          <w:szCs w:val="24"/>
        </w:rPr>
        <w:t>合同的变更和终止</w:t>
      </w:r>
      <w:bookmarkEnd w:id="33"/>
      <w:bookmarkEnd w:id="34"/>
    </w:p>
    <w:p w14:paraId="3AA11452">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除《中华人民共和国政府采购法》第49条、第50条第二款规定的情形外，本合同一经签订，甲乙双方不得擅自变更、中止或终止合同。</w:t>
      </w:r>
    </w:p>
    <w:p w14:paraId="58E05214">
      <w:pPr>
        <w:widowControl/>
        <w:spacing w:before="156" w:beforeLines="50" w:after="156" w:afterLines="50" w:line="360" w:lineRule="auto"/>
        <w:ind w:firstLine="361" w:firstLineChars="150"/>
        <w:jc w:val="left"/>
        <w:outlineLvl w:val="1"/>
        <w:rPr>
          <w:rFonts w:hint="eastAsia" w:ascii="仿宋" w:hAnsi="仿宋" w:eastAsia="仿宋" w:cs="仿宋"/>
          <w:b/>
          <w:kern w:val="0"/>
          <w:sz w:val="24"/>
          <w:szCs w:val="24"/>
        </w:rPr>
      </w:pPr>
      <w:bookmarkStart w:id="35" w:name="_Toc26531"/>
      <w:bookmarkStart w:id="36" w:name="_Toc31201"/>
      <w:r>
        <w:rPr>
          <w:rFonts w:hint="eastAsia" w:ascii="仿宋" w:hAnsi="仿宋" w:eastAsia="仿宋" w:cs="仿宋"/>
          <w:b/>
          <w:kern w:val="0"/>
          <w:sz w:val="24"/>
          <w:szCs w:val="24"/>
        </w:rPr>
        <w:t>第十三条 争议的解决</w:t>
      </w:r>
      <w:bookmarkEnd w:id="35"/>
      <w:bookmarkEnd w:id="36"/>
    </w:p>
    <w:p w14:paraId="69A9EE14">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1.因货物的质量问题发生争议，由质量技术监督部门或其指定的质量鉴定机构进行质量鉴定。货物符合标准的，鉴定费由甲方承担；货物不符合质量标准的，鉴定费由乙方承担。</w:t>
      </w:r>
    </w:p>
    <w:p w14:paraId="13D4A6A8">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2.因履行本合同引起的或与本合同有关的争议，甲、乙双方应首先通过友好协商解决，如果协商不成，则采取以下第</w:t>
      </w:r>
      <w:r>
        <w:rPr>
          <w:rFonts w:hint="eastAsia" w:ascii="仿宋" w:hAnsi="仿宋" w:eastAsia="仿宋" w:cs="仿宋"/>
          <w:kern w:val="0"/>
          <w:sz w:val="24"/>
          <w:szCs w:val="24"/>
          <w:u w:val="single"/>
        </w:rPr>
        <w:t xml:space="preserve">  2  </w:t>
      </w:r>
      <w:r>
        <w:rPr>
          <w:rFonts w:hint="eastAsia" w:ascii="仿宋" w:hAnsi="仿宋" w:eastAsia="仿宋" w:cs="仿宋"/>
          <w:kern w:val="0"/>
          <w:sz w:val="24"/>
          <w:szCs w:val="24"/>
        </w:rPr>
        <w:t>种方式解决争议：</w:t>
      </w:r>
    </w:p>
    <w:p w14:paraId="0D3A6B17">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（1）向甲方所在地有管辖权的人民法院提起诉讼；</w:t>
      </w:r>
    </w:p>
    <w:p w14:paraId="7085810A">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（2）向</w:t>
      </w:r>
      <w:r>
        <w:rPr>
          <w:rFonts w:hint="eastAsia" w:ascii="仿宋" w:hAnsi="仿宋" w:eastAsia="仿宋" w:cs="仿宋"/>
          <w:kern w:val="0"/>
          <w:sz w:val="24"/>
          <w:szCs w:val="24"/>
          <w:u w:val="single"/>
        </w:rPr>
        <w:t xml:space="preserve">  西安  </w:t>
      </w:r>
      <w:r>
        <w:rPr>
          <w:rFonts w:hint="eastAsia" w:ascii="仿宋" w:hAnsi="仿宋" w:eastAsia="仿宋" w:cs="仿宋"/>
          <w:kern w:val="0"/>
          <w:sz w:val="24"/>
          <w:szCs w:val="24"/>
        </w:rPr>
        <w:t>仲裁委员会按其仲裁规则申请仲裁。</w:t>
      </w:r>
    </w:p>
    <w:p w14:paraId="2E352410">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3.在仲裁期间，本合同应继续履行。</w:t>
      </w:r>
    </w:p>
    <w:p w14:paraId="47BCA279">
      <w:pPr>
        <w:widowControl w:val="0"/>
        <w:numPr>
          <w:ilvl w:val="0"/>
          <w:numId w:val="1"/>
        </w:numPr>
        <w:jc w:val="left"/>
        <w:rPr>
          <w:rFonts w:hint="eastAsia" w:ascii="仿宋" w:hAnsi="仿宋" w:eastAsia="仿宋" w:cs="仿宋"/>
          <w:b/>
          <w:kern w:val="0"/>
          <w:sz w:val="24"/>
          <w:szCs w:val="24"/>
          <w:lang w:val="en-US" w:eastAsia="zh-CN" w:bidi="ar-SA"/>
        </w:rPr>
      </w:pPr>
      <w:bookmarkStart w:id="37" w:name="_Toc6947"/>
      <w:bookmarkStart w:id="38" w:name="_Toc10122"/>
      <w:r>
        <w:rPr>
          <w:rFonts w:hint="eastAsia" w:ascii="仿宋" w:hAnsi="仿宋" w:eastAsia="仿宋" w:cs="仿宋"/>
          <w:b/>
          <w:kern w:val="0"/>
          <w:sz w:val="24"/>
          <w:szCs w:val="24"/>
          <w:lang w:val="en-US" w:eastAsia="zh-CN" w:bidi="ar-SA"/>
        </w:rPr>
        <w:t>合同生效及其他</w:t>
      </w:r>
      <w:bookmarkEnd w:id="37"/>
      <w:bookmarkEnd w:id="38"/>
    </w:p>
    <w:p w14:paraId="4ACE5D9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1.如有未尽事宜，由双方依法订立补充合同。</w:t>
      </w:r>
    </w:p>
    <w:p w14:paraId="7B8DB556">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2.本合同自签订之日起生效。</w:t>
      </w:r>
    </w:p>
    <w:p w14:paraId="42DE080C">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3.本合同一式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份，具有同等法律效力，其中，甲方</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份，乙方</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4C03A17F">
      <w:pPr>
        <w:rPr>
          <w:rFonts w:hint="eastAsia" w:ascii="仿宋" w:hAnsi="仿宋" w:eastAsia="仿宋" w:cs="仿宋"/>
          <w:sz w:val="24"/>
          <w:szCs w:val="24"/>
        </w:rPr>
      </w:pPr>
      <w:r>
        <w:rPr>
          <w:rFonts w:hint="eastAsia" w:ascii="仿宋" w:hAnsi="仿宋" w:eastAsia="仿宋" w:cs="仿宋"/>
          <w:sz w:val="24"/>
          <w:szCs w:val="24"/>
        </w:rPr>
        <w:t>（以下无正文）</w:t>
      </w:r>
    </w:p>
    <w:p w14:paraId="62AFB1D4">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甲方：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（盖章）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乙方：   （盖章）</w:t>
      </w:r>
    </w:p>
    <w:p w14:paraId="642DC41A">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负责人/委托代理人：                 法定代表人/委托代理人：</w:t>
      </w:r>
    </w:p>
    <w:p w14:paraId="07AFDF65">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    址：                          地    址：</w:t>
      </w:r>
    </w:p>
    <w:p w14:paraId="12EEF8D9">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开户银行：                          开户银行：</w:t>
      </w:r>
    </w:p>
    <w:p w14:paraId="296DC863">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    号：                          账    号：</w:t>
      </w:r>
    </w:p>
    <w:p w14:paraId="403D53C5">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    话：                          电    话：</w:t>
      </w:r>
    </w:p>
    <w:p w14:paraId="7D711832">
      <w:pPr>
        <w:spacing w:before="156" w:beforeLines="50" w:after="156"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    真：                          传    真：</w:t>
      </w:r>
    </w:p>
    <w:p w14:paraId="71D38D11">
      <w:pPr>
        <w:spacing w:before="156" w:beforeLines="50" w:after="156" w:afterLines="50" w:line="360" w:lineRule="auto"/>
        <w:rPr>
          <w:rFonts w:hint="eastAsia" w:ascii="仿宋" w:hAnsi="仿宋" w:eastAsia="仿宋" w:cs="仿宋"/>
          <w:sz w:val="24"/>
          <w:szCs w:val="24"/>
        </w:rPr>
      </w:pPr>
    </w:p>
    <w:p w14:paraId="52B60EF7">
      <w:pPr>
        <w:spacing w:before="156" w:beforeLines="50" w:after="156" w:afterLines="50" w:line="360" w:lineRule="auto"/>
        <w:rPr>
          <w:rFonts w:hint="eastAsia" w:ascii="仿宋" w:hAnsi="仿宋" w:eastAsia="仿宋" w:cs="仿宋"/>
          <w:sz w:val="24"/>
          <w:szCs w:val="24"/>
        </w:rPr>
      </w:pPr>
    </w:p>
    <w:p w14:paraId="5DF2EF04">
      <w:pPr>
        <w:spacing w:before="156" w:beforeLines="50" w:after="156" w:afterLines="50"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签约日期：    年  月  日            签约日期：    年  月  日</w:t>
      </w:r>
    </w:p>
    <w:p w14:paraId="17178428">
      <w:bookmarkStart w:id="39" w:name="_GoBack"/>
      <w:bookmarkEnd w:id="39"/>
    </w:p>
    <w:sectPr>
      <w:footerReference r:id="rId3" w:type="default"/>
      <w:pgSz w:w="11906" w:h="16838"/>
      <w:pgMar w:top="1440" w:right="1080" w:bottom="1440" w:left="108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49004">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C9119C">
                          <w:pPr>
                            <w:widowControl w:val="0"/>
                            <w:tabs>
                              <w:tab w:val="center" w:pos="4153"/>
                              <w:tab w:val="right" w:pos="8306"/>
                            </w:tabs>
                            <w:snapToGrid w:val="0"/>
                            <w:jc w:val="left"/>
                            <w:rPr>
                              <w:rFonts w:ascii="Calibri" w:hAnsi="Calibri" w:eastAsia="宋体" w:cs="Times New Roman"/>
                              <w:kern w:val="2"/>
                              <w:sz w:val="24"/>
                              <w:szCs w:val="40"/>
                              <w:lang w:val="en-US" w:eastAsia="zh-CN" w:bidi="ar-SA"/>
                            </w:rPr>
                          </w:pPr>
                          <w:r>
                            <w:rPr>
                              <w:rFonts w:ascii="Calibri" w:hAnsi="Calibri" w:eastAsia="宋体" w:cs="Times New Roman"/>
                              <w:kern w:val="2"/>
                              <w:sz w:val="24"/>
                              <w:szCs w:val="40"/>
                              <w:lang w:val="en-US" w:eastAsia="zh-CN" w:bidi="ar-SA"/>
                            </w:rPr>
                            <w:fldChar w:fldCharType="begin"/>
                          </w:r>
                          <w:r>
                            <w:rPr>
                              <w:rFonts w:ascii="Calibri" w:hAnsi="Calibri" w:eastAsia="宋体" w:cs="Times New Roman"/>
                              <w:kern w:val="2"/>
                              <w:sz w:val="24"/>
                              <w:szCs w:val="40"/>
                              <w:lang w:val="en-US" w:eastAsia="zh-CN" w:bidi="ar-SA"/>
                            </w:rPr>
                            <w:instrText xml:space="preserve"> PAGE  \* MERGEFORMAT </w:instrText>
                          </w:r>
                          <w:r>
                            <w:rPr>
                              <w:rFonts w:ascii="Calibri" w:hAnsi="Calibri" w:eastAsia="宋体" w:cs="Times New Roman"/>
                              <w:kern w:val="2"/>
                              <w:sz w:val="24"/>
                              <w:szCs w:val="40"/>
                              <w:lang w:val="en-US" w:eastAsia="zh-CN" w:bidi="ar-SA"/>
                            </w:rPr>
                            <w:fldChar w:fldCharType="separate"/>
                          </w:r>
                          <w:r>
                            <w:rPr>
                              <w:rFonts w:ascii="Calibri" w:hAnsi="Calibri" w:eastAsia="宋体" w:cs="Times New Roman"/>
                              <w:kern w:val="2"/>
                              <w:sz w:val="24"/>
                              <w:szCs w:val="40"/>
                              <w:lang w:val="en-US" w:eastAsia="zh-CN" w:bidi="ar-SA"/>
                            </w:rPr>
                            <w:t>2</w:t>
                          </w:r>
                          <w:r>
                            <w:rPr>
                              <w:rFonts w:ascii="Calibri" w:hAnsi="Calibri" w:eastAsia="宋体" w:cs="Times New Roman"/>
                              <w:kern w:val="2"/>
                              <w:sz w:val="24"/>
                              <w:szCs w:val="40"/>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3C9119C">
                    <w:pPr>
                      <w:widowControl w:val="0"/>
                      <w:tabs>
                        <w:tab w:val="center" w:pos="4153"/>
                        <w:tab w:val="right" w:pos="8306"/>
                      </w:tabs>
                      <w:snapToGrid w:val="0"/>
                      <w:jc w:val="left"/>
                      <w:rPr>
                        <w:rFonts w:ascii="Calibri" w:hAnsi="Calibri" w:eastAsia="宋体" w:cs="Times New Roman"/>
                        <w:kern w:val="2"/>
                        <w:sz w:val="24"/>
                        <w:szCs w:val="40"/>
                        <w:lang w:val="en-US" w:eastAsia="zh-CN" w:bidi="ar-SA"/>
                      </w:rPr>
                    </w:pPr>
                    <w:r>
                      <w:rPr>
                        <w:rFonts w:ascii="Calibri" w:hAnsi="Calibri" w:eastAsia="宋体" w:cs="Times New Roman"/>
                        <w:kern w:val="2"/>
                        <w:sz w:val="24"/>
                        <w:szCs w:val="40"/>
                        <w:lang w:val="en-US" w:eastAsia="zh-CN" w:bidi="ar-SA"/>
                      </w:rPr>
                      <w:fldChar w:fldCharType="begin"/>
                    </w:r>
                    <w:r>
                      <w:rPr>
                        <w:rFonts w:ascii="Calibri" w:hAnsi="Calibri" w:eastAsia="宋体" w:cs="Times New Roman"/>
                        <w:kern w:val="2"/>
                        <w:sz w:val="24"/>
                        <w:szCs w:val="40"/>
                        <w:lang w:val="en-US" w:eastAsia="zh-CN" w:bidi="ar-SA"/>
                      </w:rPr>
                      <w:instrText xml:space="preserve"> PAGE  \* MERGEFORMAT </w:instrText>
                    </w:r>
                    <w:r>
                      <w:rPr>
                        <w:rFonts w:ascii="Calibri" w:hAnsi="Calibri" w:eastAsia="宋体" w:cs="Times New Roman"/>
                        <w:kern w:val="2"/>
                        <w:sz w:val="24"/>
                        <w:szCs w:val="40"/>
                        <w:lang w:val="en-US" w:eastAsia="zh-CN" w:bidi="ar-SA"/>
                      </w:rPr>
                      <w:fldChar w:fldCharType="separate"/>
                    </w:r>
                    <w:r>
                      <w:rPr>
                        <w:rFonts w:ascii="Calibri" w:hAnsi="Calibri" w:eastAsia="宋体" w:cs="Times New Roman"/>
                        <w:kern w:val="2"/>
                        <w:sz w:val="24"/>
                        <w:szCs w:val="40"/>
                        <w:lang w:val="en-US" w:eastAsia="zh-CN" w:bidi="ar-SA"/>
                      </w:rPr>
                      <w:t>2</w:t>
                    </w:r>
                    <w:r>
                      <w:rPr>
                        <w:rFonts w:ascii="Calibri" w:hAnsi="Calibri" w:eastAsia="宋体" w:cs="Times New Roman"/>
                        <w:kern w:val="2"/>
                        <w:sz w:val="24"/>
                        <w:szCs w:val="40"/>
                        <w:lang w:val="en-US" w:eastAsia="zh-CN" w:bidi="ar-S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0D9B3"/>
    <w:multiLevelType w:val="singleLevel"/>
    <w:tmpl w:val="C890D9B3"/>
    <w:lvl w:ilvl="0" w:tentative="0">
      <w:start w:val="1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F38A2"/>
    <w:rsid w:val="2A8F3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2026-06-12T10:44:00Z</dcterms:created>
  <dc:creator>七月</dc:creator>
  <cp:lastModifiedBy>七月</cp:lastModifiedBy>
  <dcterms:modified xsi:type="dcterms:W3CDTF">2026-06-12T10:45:04Z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C468C2880D364E16B7A2CA2D3D85E8AD_11</vt:lpwstr>
  </property>
  <property fmtid="{D5CDD505-2E9C-101B-9397-08002B2CF9AE}" pid="4" name="KSOTemplateDocerSaveRecord">
    <vt:lpwstr>eyJoZGlkIjoiNTMxYTg2NGM2MjNhNDRkZTZhMDI0ODMxYTUwMTQ3MjAiLCJ1c2VySWQiOiI1NDE4NTI1OTcifQ==</vt:lpwstr>
  </property>
</Properties>
</file>