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E43BF">
      <w:pPr>
        <w:pStyle w:val="16"/>
        <w:jc w:val="center"/>
        <w:outlineLvl w:val="1"/>
      </w:pPr>
      <w:r>
        <w:rPr>
          <w:rFonts w:ascii="仿宋_GB2312" w:hAnsi="仿宋_GB2312" w:eastAsia="仿宋_GB2312" w:cs="仿宋_GB2312"/>
          <w:b/>
          <w:sz w:val="36"/>
        </w:rPr>
        <w:t>第三章 磋商项目技术、服务、商务及其他要求</w:t>
      </w:r>
    </w:p>
    <w:p w14:paraId="6F84639C">
      <w:pPr>
        <w:pStyle w:val="16"/>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8687FD0">
      <w:pPr>
        <w:pStyle w:val="16"/>
        <w:outlineLvl w:val="2"/>
      </w:pPr>
      <w:r>
        <w:rPr>
          <w:rFonts w:ascii="仿宋_GB2312" w:hAnsi="仿宋_GB2312" w:eastAsia="仿宋_GB2312" w:cs="仿宋_GB2312"/>
          <w:b/>
          <w:sz w:val="28"/>
        </w:rPr>
        <w:t>3.1采购项目概况</w:t>
      </w:r>
    </w:p>
    <w:p w14:paraId="43A826C0">
      <w:pPr>
        <w:pStyle w:val="16"/>
        <w:ind w:firstLine="480"/>
      </w:pPr>
      <w:r>
        <w:rPr>
          <w:rFonts w:ascii="仿宋_GB2312" w:hAnsi="仿宋_GB2312" w:eastAsia="仿宋_GB2312" w:cs="仿宋_GB2312"/>
        </w:rPr>
        <w:t>西北妇女儿童医院运营管理决策支持服务项目，1项，具体内容详见服务要求。</w:t>
      </w:r>
    </w:p>
    <w:p w14:paraId="4525A04E">
      <w:pPr>
        <w:pStyle w:val="16"/>
        <w:outlineLvl w:val="2"/>
      </w:pPr>
      <w:r>
        <w:rPr>
          <w:rFonts w:ascii="仿宋_GB2312" w:hAnsi="仿宋_GB2312" w:eastAsia="仿宋_GB2312" w:cs="仿宋_GB2312"/>
          <w:b/>
          <w:sz w:val="28"/>
        </w:rPr>
        <w:t>3.2服务内容及服务要求</w:t>
      </w:r>
    </w:p>
    <w:p w14:paraId="7078E0CC">
      <w:pPr>
        <w:pStyle w:val="16"/>
        <w:outlineLvl w:val="3"/>
      </w:pPr>
      <w:r>
        <w:rPr>
          <w:rFonts w:ascii="仿宋_GB2312" w:hAnsi="仿宋_GB2312" w:eastAsia="仿宋_GB2312" w:cs="仿宋_GB2312"/>
          <w:b/>
          <w:sz w:val="24"/>
        </w:rPr>
        <w:t>3.2.1服务内容</w:t>
      </w:r>
    </w:p>
    <w:p w14:paraId="49019E3E">
      <w:pPr>
        <w:pStyle w:val="16"/>
      </w:pPr>
      <w:r>
        <w:rPr>
          <w:rFonts w:ascii="仿宋_GB2312" w:hAnsi="仿宋_GB2312" w:eastAsia="仿宋_GB2312" w:cs="仿宋_GB2312"/>
        </w:rPr>
        <w:t>采购包1：</w:t>
      </w:r>
    </w:p>
    <w:p w14:paraId="1024F980">
      <w:pPr>
        <w:pStyle w:val="16"/>
      </w:pPr>
      <w:r>
        <w:rPr>
          <w:rFonts w:ascii="仿宋_GB2312" w:hAnsi="仿宋_GB2312" w:eastAsia="仿宋_GB2312" w:cs="仿宋_GB2312"/>
        </w:rPr>
        <w:t>采购包预算金额（元）: 900,000.00</w:t>
      </w:r>
    </w:p>
    <w:p w14:paraId="29C9E6DE">
      <w:pPr>
        <w:pStyle w:val="16"/>
      </w:pPr>
      <w:r>
        <w:rPr>
          <w:rFonts w:ascii="仿宋_GB2312" w:hAnsi="仿宋_GB2312" w:eastAsia="仿宋_GB2312" w:cs="仿宋_GB2312"/>
        </w:rPr>
        <w:t>采购包最高限价（元）: 900,000.00</w:t>
      </w:r>
    </w:p>
    <w:p w14:paraId="74DF758C">
      <w:pPr>
        <w:pStyle w:val="16"/>
      </w:pPr>
      <w:r>
        <w:rPr>
          <w:rFonts w:ascii="仿宋_GB2312" w:hAnsi="仿宋_GB2312" w:eastAsia="仿宋_GB2312" w:cs="仿宋_GB2312"/>
        </w:rPr>
        <w:t>供应商报价不允许超过标的金额</w:t>
      </w:r>
    </w:p>
    <w:p w14:paraId="2F4E5877">
      <w:pPr>
        <w:pStyle w:val="16"/>
      </w:pPr>
      <w:r>
        <w:rPr>
          <w:rFonts w:ascii="仿宋_GB2312" w:hAnsi="仿宋_GB2312" w:eastAsia="仿宋_GB2312" w:cs="仿宋_GB2312"/>
        </w:rPr>
        <w:t>（招单价的）供应商报价不允许超过标的单价</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0B70F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A1A438F">
            <w:pPr>
              <w:pStyle w:val="16"/>
            </w:pPr>
            <w:r>
              <w:rPr>
                <w:rFonts w:ascii="仿宋_GB2312" w:hAnsi="仿宋_GB2312" w:eastAsia="仿宋_GB2312" w:cs="仿宋_GB2312"/>
              </w:rPr>
              <w:t>序号</w:t>
            </w:r>
          </w:p>
        </w:tc>
        <w:tc>
          <w:tcPr>
            <w:tcW w:w="755" w:type="dxa"/>
          </w:tcPr>
          <w:p w14:paraId="27E67343">
            <w:pPr>
              <w:pStyle w:val="16"/>
            </w:pPr>
            <w:r>
              <w:rPr>
                <w:rFonts w:ascii="仿宋_GB2312" w:hAnsi="仿宋_GB2312" w:eastAsia="仿宋_GB2312" w:cs="仿宋_GB2312"/>
              </w:rPr>
              <w:t>标的名称</w:t>
            </w:r>
          </w:p>
        </w:tc>
        <w:tc>
          <w:tcPr>
            <w:tcW w:w="755" w:type="dxa"/>
          </w:tcPr>
          <w:p w14:paraId="67EDF52C">
            <w:pPr>
              <w:pStyle w:val="16"/>
            </w:pPr>
            <w:r>
              <w:rPr>
                <w:rFonts w:ascii="仿宋_GB2312" w:hAnsi="仿宋_GB2312" w:eastAsia="仿宋_GB2312" w:cs="仿宋_GB2312"/>
              </w:rPr>
              <w:t>数量</w:t>
            </w:r>
          </w:p>
        </w:tc>
        <w:tc>
          <w:tcPr>
            <w:tcW w:w="755" w:type="dxa"/>
          </w:tcPr>
          <w:p w14:paraId="0225B13A">
            <w:pPr>
              <w:pStyle w:val="16"/>
            </w:pPr>
            <w:r>
              <w:rPr>
                <w:rFonts w:ascii="仿宋_GB2312" w:hAnsi="仿宋_GB2312" w:eastAsia="仿宋_GB2312" w:cs="仿宋_GB2312"/>
              </w:rPr>
              <w:t>标的金额 （元）</w:t>
            </w:r>
          </w:p>
        </w:tc>
        <w:tc>
          <w:tcPr>
            <w:tcW w:w="755" w:type="dxa"/>
          </w:tcPr>
          <w:p w14:paraId="768A9480">
            <w:pPr>
              <w:pStyle w:val="16"/>
            </w:pPr>
            <w:r>
              <w:rPr>
                <w:rFonts w:ascii="仿宋_GB2312" w:hAnsi="仿宋_GB2312" w:eastAsia="仿宋_GB2312" w:cs="仿宋_GB2312"/>
              </w:rPr>
              <w:t>计量单位</w:t>
            </w:r>
          </w:p>
        </w:tc>
        <w:tc>
          <w:tcPr>
            <w:tcW w:w="755" w:type="dxa"/>
          </w:tcPr>
          <w:p w14:paraId="08E9A654">
            <w:pPr>
              <w:pStyle w:val="16"/>
            </w:pPr>
            <w:r>
              <w:rPr>
                <w:rFonts w:ascii="仿宋_GB2312" w:hAnsi="仿宋_GB2312" w:eastAsia="仿宋_GB2312" w:cs="仿宋_GB2312"/>
              </w:rPr>
              <w:t>所属行业</w:t>
            </w:r>
          </w:p>
        </w:tc>
        <w:tc>
          <w:tcPr>
            <w:tcW w:w="755" w:type="dxa"/>
          </w:tcPr>
          <w:p w14:paraId="343AECD7">
            <w:pPr>
              <w:pStyle w:val="16"/>
            </w:pPr>
            <w:r>
              <w:rPr>
                <w:rFonts w:ascii="仿宋_GB2312" w:hAnsi="仿宋_GB2312" w:eastAsia="仿宋_GB2312" w:cs="仿宋_GB2312"/>
              </w:rPr>
              <w:t>是否核心产品</w:t>
            </w:r>
          </w:p>
        </w:tc>
        <w:tc>
          <w:tcPr>
            <w:tcW w:w="755" w:type="dxa"/>
          </w:tcPr>
          <w:p w14:paraId="7CC4B3EF">
            <w:pPr>
              <w:pStyle w:val="16"/>
            </w:pPr>
            <w:r>
              <w:rPr>
                <w:rFonts w:ascii="仿宋_GB2312" w:hAnsi="仿宋_GB2312" w:eastAsia="仿宋_GB2312" w:cs="仿宋_GB2312"/>
              </w:rPr>
              <w:t>是否允许进口产品</w:t>
            </w:r>
          </w:p>
        </w:tc>
        <w:tc>
          <w:tcPr>
            <w:tcW w:w="755" w:type="dxa"/>
          </w:tcPr>
          <w:p w14:paraId="29CF2DBB">
            <w:pPr>
              <w:pStyle w:val="16"/>
            </w:pPr>
            <w:r>
              <w:rPr>
                <w:rFonts w:ascii="仿宋_GB2312" w:hAnsi="仿宋_GB2312" w:eastAsia="仿宋_GB2312" w:cs="仿宋_GB2312"/>
              </w:rPr>
              <w:t>是否属于节能产品</w:t>
            </w:r>
          </w:p>
        </w:tc>
        <w:tc>
          <w:tcPr>
            <w:tcW w:w="755" w:type="dxa"/>
          </w:tcPr>
          <w:p w14:paraId="74A33A1C">
            <w:pPr>
              <w:pStyle w:val="16"/>
            </w:pPr>
            <w:r>
              <w:rPr>
                <w:rFonts w:ascii="仿宋_GB2312" w:hAnsi="仿宋_GB2312" w:eastAsia="仿宋_GB2312" w:cs="仿宋_GB2312"/>
              </w:rPr>
              <w:t>是否属于环境标志产品</w:t>
            </w:r>
          </w:p>
        </w:tc>
        <w:tc>
          <w:tcPr>
            <w:tcW w:w="755" w:type="dxa"/>
          </w:tcPr>
          <w:p w14:paraId="1488B49A">
            <w:pPr>
              <w:pStyle w:val="16"/>
            </w:pPr>
            <w:r>
              <w:rPr>
                <w:rFonts w:ascii="仿宋_GB2312" w:hAnsi="仿宋_GB2312" w:eastAsia="仿宋_GB2312" w:cs="仿宋_GB2312"/>
              </w:rPr>
              <w:t>是否实施本国产品政策</w:t>
            </w:r>
          </w:p>
        </w:tc>
      </w:tr>
      <w:tr w14:paraId="656A4D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81B75A6">
            <w:pPr>
              <w:pStyle w:val="16"/>
            </w:pPr>
            <w:r>
              <w:rPr>
                <w:rFonts w:ascii="仿宋_GB2312" w:hAnsi="仿宋_GB2312" w:eastAsia="仿宋_GB2312" w:cs="仿宋_GB2312"/>
              </w:rPr>
              <w:t>1</w:t>
            </w:r>
          </w:p>
        </w:tc>
        <w:tc>
          <w:tcPr>
            <w:tcW w:w="755" w:type="dxa"/>
          </w:tcPr>
          <w:p w14:paraId="7B61DE02">
            <w:pPr>
              <w:pStyle w:val="16"/>
            </w:pPr>
            <w:r>
              <w:rPr>
                <w:rFonts w:ascii="仿宋_GB2312" w:hAnsi="仿宋_GB2312" w:eastAsia="仿宋_GB2312" w:cs="仿宋_GB2312"/>
              </w:rPr>
              <w:t>运营管理决策支持服务</w:t>
            </w:r>
          </w:p>
        </w:tc>
        <w:tc>
          <w:tcPr>
            <w:tcW w:w="755" w:type="dxa"/>
          </w:tcPr>
          <w:p w14:paraId="1C4ABEA7">
            <w:pPr>
              <w:pStyle w:val="16"/>
              <w:jc w:val="right"/>
            </w:pPr>
            <w:r>
              <w:rPr>
                <w:rFonts w:ascii="仿宋_GB2312" w:hAnsi="仿宋_GB2312" w:eastAsia="仿宋_GB2312" w:cs="仿宋_GB2312"/>
              </w:rPr>
              <w:t>1.00</w:t>
            </w:r>
          </w:p>
        </w:tc>
        <w:tc>
          <w:tcPr>
            <w:tcW w:w="755" w:type="dxa"/>
          </w:tcPr>
          <w:p w14:paraId="2D5B1698">
            <w:pPr>
              <w:pStyle w:val="16"/>
              <w:jc w:val="right"/>
            </w:pPr>
            <w:r>
              <w:rPr>
                <w:rFonts w:ascii="仿宋_GB2312" w:hAnsi="仿宋_GB2312" w:eastAsia="仿宋_GB2312" w:cs="仿宋_GB2312"/>
              </w:rPr>
              <w:t>900,000.00</w:t>
            </w:r>
          </w:p>
        </w:tc>
        <w:tc>
          <w:tcPr>
            <w:tcW w:w="755" w:type="dxa"/>
          </w:tcPr>
          <w:p w14:paraId="6DA0B803">
            <w:pPr>
              <w:pStyle w:val="16"/>
            </w:pPr>
            <w:r>
              <w:rPr>
                <w:rFonts w:ascii="仿宋_GB2312" w:hAnsi="仿宋_GB2312" w:eastAsia="仿宋_GB2312" w:cs="仿宋_GB2312"/>
              </w:rPr>
              <w:t>项</w:t>
            </w:r>
          </w:p>
        </w:tc>
        <w:tc>
          <w:tcPr>
            <w:tcW w:w="755" w:type="dxa"/>
          </w:tcPr>
          <w:p w14:paraId="0ACA0AE2">
            <w:pPr>
              <w:pStyle w:val="16"/>
            </w:pPr>
            <w:r>
              <w:rPr>
                <w:rFonts w:ascii="仿宋_GB2312" w:hAnsi="仿宋_GB2312" w:eastAsia="仿宋_GB2312" w:cs="仿宋_GB2312"/>
              </w:rPr>
              <w:t>软件和信息技术服务业</w:t>
            </w:r>
          </w:p>
        </w:tc>
        <w:tc>
          <w:tcPr>
            <w:tcW w:w="755" w:type="dxa"/>
          </w:tcPr>
          <w:p w14:paraId="7F5AB7AB">
            <w:pPr>
              <w:pStyle w:val="16"/>
            </w:pPr>
            <w:r>
              <w:rPr>
                <w:rFonts w:ascii="仿宋_GB2312" w:hAnsi="仿宋_GB2312" w:eastAsia="仿宋_GB2312" w:cs="仿宋_GB2312"/>
              </w:rPr>
              <w:t>否</w:t>
            </w:r>
          </w:p>
        </w:tc>
        <w:tc>
          <w:tcPr>
            <w:tcW w:w="755" w:type="dxa"/>
          </w:tcPr>
          <w:p w14:paraId="05254299">
            <w:pPr>
              <w:pStyle w:val="16"/>
            </w:pPr>
            <w:r>
              <w:rPr>
                <w:rFonts w:ascii="仿宋_GB2312" w:hAnsi="仿宋_GB2312" w:eastAsia="仿宋_GB2312" w:cs="仿宋_GB2312"/>
              </w:rPr>
              <w:t>否</w:t>
            </w:r>
          </w:p>
        </w:tc>
        <w:tc>
          <w:tcPr>
            <w:tcW w:w="755" w:type="dxa"/>
          </w:tcPr>
          <w:p w14:paraId="1CB652D7">
            <w:pPr>
              <w:pStyle w:val="16"/>
            </w:pPr>
            <w:r>
              <w:rPr>
                <w:rFonts w:ascii="仿宋_GB2312" w:hAnsi="仿宋_GB2312" w:eastAsia="仿宋_GB2312" w:cs="仿宋_GB2312"/>
              </w:rPr>
              <w:t>否</w:t>
            </w:r>
          </w:p>
        </w:tc>
        <w:tc>
          <w:tcPr>
            <w:tcW w:w="755" w:type="dxa"/>
          </w:tcPr>
          <w:p w14:paraId="3BEEE9F3">
            <w:pPr>
              <w:pStyle w:val="16"/>
            </w:pPr>
            <w:r>
              <w:rPr>
                <w:rFonts w:ascii="仿宋_GB2312" w:hAnsi="仿宋_GB2312" w:eastAsia="仿宋_GB2312" w:cs="仿宋_GB2312"/>
              </w:rPr>
              <w:t>否</w:t>
            </w:r>
          </w:p>
        </w:tc>
        <w:tc>
          <w:tcPr>
            <w:tcW w:w="755" w:type="dxa"/>
          </w:tcPr>
          <w:p w14:paraId="5FEFE891">
            <w:pPr>
              <w:pStyle w:val="16"/>
            </w:pPr>
            <w:r>
              <w:rPr>
                <w:rFonts w:ascii="仿宋_GB2312" w:hAnsi="仿宋_GB2312" w:eastAsia="仿宋_GB2312" w:cs="仿宋_GB2312"/>
              </w:rPr>
              <w:t>否</w:t>
            </w:r>
          </w:p>
        </w:tc>
      </w:tr>
    </w:tbl>
    <w:p w14:paraId="18996ACF">
      <w:pPr>
        <w:pStyle w:val="16"/>
        <w:outlineLvl w:val="2"/>
      </w:pPr>
      <w:r>
        <w:rPr>
          <w:rFonts w:ascii="仿宋_GB2312" w:hAnsi="仿宋_GB2312" w:eastAsia="仿宋_GB2312" w:cs="仿宋_GB2312"/>
          <w:b/>
          <w:sz w:val="28"/>
        </w:rPr>
        <w:t>3.2.2服务要求</w:t>
      </w:r>
    </w:p>
    <w:p w14:paraId="732FAE63">
      <w:pPr>
        <w:pStyle w:val="16"/>
      </w:pPr>
      <w:r>
        <w:rPr>
          <w:rFonts w:ascii="仿宋_GB2312" w:hAnsi="仿宋_GB2312" w:eastAsia="仿宋_GB2312" w:cs="仿宋_GB2312"/>
        </w:rPr>
        <w:t>采购包1：</w:t>
      </w:r>
    </w:p>
    <w:p w14:paraId="32588BAB">
      <w:pPr>
        <w:pStyle w:val="16"/>
      </w:pPr>
      <w:r>
        <w:rPr>
          <w:rFonts w:ascii="仿宋_GB2312" w:hAnsi="仿宋_GB2312" w:eastAsia="仿宋_GB2312" w:cs="仿宋_GB2312"/>
        </w:rPr>
        <w:t>标的名称：运营管理决策支持服务</w:t>
      </w:r>
    </w:p>
    <w:tbl>
      <w:tblPr>
        <w:tblStyle w:val="1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7ACC8C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3E9E321">
            <w:pPr>
              <w:pStyle w:val="16"/>
            </w:pPr>
            <w:r>
              <w:rPr>
                <w:rFonts w:ascii="仿宋_GB2312" w:hAnsi="仿宋_GB2312" w:eastAsia="仿宋_GB2312" w:cs="仿宋_GB2312"/>
              </w:rPr>
              <w:t xml:space="preserve"> 序号</w:t>
            </w:r>
          </w:p>
        </w:tc>
        <w:tc>
          <w:tcPr>
            <w:tcW w:w="2769" w:type="dxa"/>
          </w:tcPr>
          <w:p w14:paraId="7115D6C8">
            <w:pPr>
              <w:pStyle w:val="16"/>
            </w:pPr>
            <w:r>
              <w:rPr>
                <w:rFonts w:ascii="仿宋_GB2312" w:hAnsi="仿宋_GB2312" w:eastAsia="仿宋_GB2312" w:cs="仿宋_GB2312"/>
              </w:rPr>
              <w:t xml:space="preserve"> 参数性质</w:t>
            </w:r>
          </w:p>
        </w:tc>
        <w:tc>
          <w:tcPr>
            <w:tcW w:w="2769" w:type="dxa"/>
          </w:tcPr>
          <w:p w14:paraId="1806FDBD">
            <w:pPr>
              <w:pStyle w:val="16"/>
            </w:pPr>
            <w:r>
              <w:rPr>
                <w:rFonts w:ascii="仿宋_GB2312" w:hAnsi="仿宋_GB2312" w:eastAsia="仿宋_GB2312" w:cs="仿宋_GB2312"/>
              </w:rPr>
              <w:t xml:space="preserve"> 技术参数与性能指标</w:t>
            </w:r>
          </w:p>
        </w:tc>
      </w:tr>
      <w:tr w14:paraId="5DBC60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C75476A">
            <w:pPr>
              <w:pStyle w:val="16"/>
            </w:pPr>
            <w:r>
              <w:rPr>
                <w:rFonts w:ascii="仿宋_GB2312" w:hAnsi="仿宋_GB2312" w:eastAsia="仿宋_GB2312" w:cs="仿宋_GB2312"/>
              </w:rPr>
              <w:t>1</w:t>
            </w:r>
          </w:p>
        </w:tc>
        <w:tc>
          <w:tcPr>
            <w:tcW w:w="2769" w:type="dxa"/>
          </w:tcPr>
          <w:p w14:paraId="5C624906"/>
        </w:tc>
        <w:tc>
          <w:tcPr>
            <w:tcW w:w="2769" w:type="dxa"/>
          </w:tcPr>
          <w:p w14:paraId="784217B8">
            <w:pPr>
              <w:pStyle w:val="16"/>
              <w:jc w:val="both"/>
            </w:pPr>
            <w:r>
              <w:rPr>
                <w:rFonts w:ascii="仿宋_GB2312" w:hAnsi="仿宋_GB2312" w:eastAsia="仿宋_GB2312" w:cs="仿宋_GB2312"/>
                <w:sz w:val="20"/>
              </w:rPr>
              <w:t>技术参数：</w:t>
            </w:r>
          </w:p>
          <w:tbl>
            <w:tblPr>
              <w:tblStyle w:val="1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410"/>
              <w:gridCol w:w="1593"/>
            </w:tblGrid>
            <w:tr w14:paraId="5B4916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6" w:type="dxa"/>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480FEB4">
                  <w:pPr>
                    <w:pStyle w:val="16"/>
                    <w:jc w:val="center"/>
                  </w:pPr>
                  <w:r>
                    <w:rPr>
                      <w:rFonts w:ascii="仿宋_GB2312" w:hAnsi="仿宋_GB2312" w:eastAsia="仿宋_GB2312" w:cs="仿宋_GB2312"/>
                      <w:sz w:val="20"/>
                    </w:rPr>
                    <w:t>西北妇女儿童医院运营管理决策支持服务项目服务内容</w:t>
                  </w:r>
                </w:p>
              </w:tc>
            </w:tr>
            <w:tr w14:paraId="24DB04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F4939C">
                  <w:pPr>
                    <w:pStyle w:val="16"/>
                    <w:jc w:val="center"/>
                  </w:pPr>
                  <w:r>
                    <w:rPr>
                      <w:rFonts w:ascii="仿宋_GB2312" w:hAnsi="仿宋_GB2312" w:eastAsia="仿宋_GB2312" w:cs="仿宋_GB2312"/>
                      <w:sz w:val="20"/>
                    </w:rPr>
                    <w:t>项目名称</w:t>
                  </w:r>
                </w:p>
              </w:tc>
              <w:tc>
                <w:tcPr>
                  <w:tcW w:w="2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1C03E2D">
                  <w:pPr>
                    <w:pStyle w:val="16"/>
                    <w:jc w:val="center"/>
                  </w:pPr>
                  <w:r>
                    <w:rPr>
                      <w:rFonts w:ascii="仿宋_GB2312" w:hAnsi="仿宋_GB2312" w:eastAsia="仿宋_GB2312" w:cs="仿宋_GB2312"/>
                      <w:sz w:val="20"/>
                    </w:rPr>
                    <w:t>服务分类</w:t>
                  </w:r>
                </w:p>
              </w:tc>
              <w:tc>
                <w:tcPr>
                  <w:tcW w:w="207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E83E263">
                  <w:pPr>
                    <w:pStyle w:val="16"/>
                    <w:jc w:val="center"/>
                  </w:pPr>
                  <w:r>
                    <w:rPr>
                      <w:rFonts w:ascii="仿宋_GB2312" w:hAnsi="仿宋_GB2312" w:eastAsia="仿宋_GB2312" w:cs="仿宋_GB2312"/>
                      <w:sz w:val="20"/>
                    </w:rPr>
                    <w:t>服务内容描述</w:t>
                  </w:r>
                </w:p>
              </w:tc>
            </w:tr>
            <w:tr w14:paraId="490A76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5E7EAD2C">
                  <w:pPr>
                    <w:pStyle w:val="16"/>
                    <w:jc w:val="center"/>
                  </w:pPr>
                  <w:r>
                    <w:rPr>
                      <w:rFonts w:ascii="仿宋_GB2312" w:hAnsi="仿宋_GB2312" w:eastAsia="仿宋_GB2312" w:cs="仿宋_GB2312"/>
                      <w:sz w:val="20"/>
                    </w:rPr>
                    <w:t>医院运营管理决策支持服务项目</w:t>
                  </w:r>
                </w:p>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67112C9">
                  <w:pPr>
                    <w:pStyle w:val="16"/>
                    <w:jc w:val="center"/>
                  </w:pPr>
                  <w:r>
                    <w:rPr>
                      <w:rFonts w:ascii="仿宋_GB2312" w:hAnsi="仿宋_GB2312" w:eastAsia="仿宋_GB2312" w:cs="仿宋_GB2312"/>
                      <w:sz w:val="20"/>
                    </w:rPr>
                    <w:t>基础</w:t>
                  </w:r>
                </w:p>
                <w:p w14:paraId="2B4E1F8E">
                  <w:pPr>
                    <w:pStyle w:val="16"/>
                    <w:jc w:val="center"/>
                  </w:pPr>
                  <w:r>
                    <w:rPr>
                      <w:rFonts w:ascii="仿宋_GB2312" w:hAnsi="仿宋_GB2312" w:eastAsia="仿宋_GB2312" w:cs="仿宋_GB2312"/>
                      <w:sz w:val="20"/>
                    </w:rPr>
                    <w:t>数据服务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282C0D">
                  <w:pPr>
                    <w:pStyle w:val="16"/>
                    <w:jc w:val="left"/>
                  </w:pPr>
                  <w:r>
                    <w:rPr>
                      <w:rFonts w:ascii="仿宋_GB2312" w:hAnsi="仿宋_GB2312" w:eastAsia="仿宋_GB2312" w:cs="仿宋_GB2312"/>
                      <w:sz w:val="20"/>
                    </w:rPr>
                    <w:t>根据采购人信息化现状，选择合适的方案对接采购人基础数据，进行数据采集标准设计、数据对接、数据交换、数据采集监控等工作，包括每个月对接病案数据、门诊数据、财务数据、医保结算清单、交易明细等相关医疗数据，同时更新科室对照关系和床位信息，检查数据的口径和标准是否合规。</w:t>
                  </w:r>
                </w:p>
              </w:tc>
            </w:tr>
            <w:tr w14:paraId="2C469E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3599A16"/>
              </w:tc>
              <w:tc>
                <w:tcPr>
                  <w:tcW w:w="238" w:type="dxa"/>
                  <w:vMerge w:val="continue"/>
                  <w:tcBorders>
                    <w:top w:val="nil"/>
                    <w:left w:val="nil"/>
                    <w:bottom w:val="single" w:color="000000" w:sz="4" w:space="0"/>
                    <w:right w:val="single" w:color="000000" w:sz="4" w:space="0"/>
                  </w:tcBorders>
                </w:tcPr>
                <w:p w14:paraId="1EA85E11"/>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071B40">
                  <w:pPr>
                    <w:pStyle w:val="16"/>
                    <w:jc w:val="left"/>
                  </w:pPr>
                  <w:r>
                    <w:rPr>
                      <w:rFonts w:ascii="仿宋_GB2312" w:hAnsi="仿宋_GB2312" w:eastAsia="仿宋_GB2312" w:cs="仿宋_GB2312"/>
                      <w:sz w:val="20"/>
                    </w:rPr>
                    <w:t>每月对采集的相关医疗数据进行数据处理工作，包括数据清洗管理，从规范性、完整性等进行数据质控，对清洗后的数据进行异常处理。最终对清洗后的数据进行数据质量评估。</w:t>
                  </w:r>
                </w:p>
              </w:tc>
            </w:tr>
            <w:tr w14:paraId="7AECAA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FDBD5AD"/>
              </w:tc>
              <w:tc>
                <w:tcPr>
                  <w:tcW w:w="238" w:type="dxa"/>
                  <w:vMerge w:val="continue"/>
                  <w:tcBorders>
                    <w:top w:val="nil"/>
                    <w:left w:val="nil"/>
                    <w:bottom w:val="single" w:color="000000" w:sz="4" w:space="0"/>
                    <w:right w:val="single" w:color="000000" w:sz="4" w:space="0"/>
                  </w:tcBorders>
                </w:tcPr>
                <w:p w14:paraId="49E850C4"/>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21A27">
                  <w:pPr>
                    <w:pStyle w:val="16"/>
                    <w:jc w:val="left"/>
                  </w:pPr>
                  <w:r>
                    <w:rPr>
                      <w:rFonts w:ascii="仿宋_GB2312" w:hAnsi="仿宋_GB2312" w:eastAsia="仿宋_GB2312" w:cs="仿宋_GB2312"/>
                      <w:sz w:val="24"/>
                    </w:rPr>
                    <w:t>★</w:t>
                  </w:r>
                  <w:r>
                    <w:rPr>
                      <w:rFonts w:ascii="仿宋_GB2312" w:hAnsi="仿宋_GB2312" w:eastAsia="仿宋_GB2312" w:cs="仿宋_GB2312"/>
                      <w:sz w:val="20"/>
                    </w:rPr>
                    <w:t>分别将病案首页、门诊数据、医保数据和财务等运营数据格式统一为标准格式，根据标准化规范，对数据进行转换和映射，确保不同数据源的数据能够统一。对标准化后的数据进行验证，确保数据符合标准化规范。</w:t>
                  </w:r>
                </w:p>
              </w:tc>
            </w:tr>
            <w:tr w14:paraId="4A971E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B79C86A"/>
              </w:tc>
              <w:tc>
                <w:tcPr>
                  <w:tcW w:w="238" w:type="dxa"/>
                  <w:vMerge w:val="continue"/>
                  <w:tcBorders>
                    <w:top w:val="nil"/>
                    <w:left w:val="nil"/>
                    <w:bottom w:val="single" w:color="000000" w:sz="4" w:space="0"/>
                    <w:right w:val="single" w:color="000000" w:sz="4" w:space="0"/>
                  </w:tcBorders>
                </w:tcPr>
                <w:p w14:paraId="4D954FFB"/>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B2E1C4">
                  <w:pPr>
                    <w:pStyle w:val="16"/>
                    <w:jc w:val="left"/>
                  </w:pPr>
                  <w:r>
                    <w:rPr>
                      <w:rFonts w:ascii="仿宋_GB2312" w:hAnsi="仿宋_GB2312" w:eastAsia="仿宋_GB2312" w:cs="仿宋_GB2312"/>
                      <w:sz w:val="20"/>
                    </w:rPr>
                    <w:t>根据国家技术规范，参照当地目录形成规则，形成医院病种目录库。</w:t>
                  </w:r>
                </w:p>
              </w:tc>
            </w:tr>
            <w:tr w14:paraId="25A3E8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1A28200E"/>
              </w:tc>
              <w:tc>
                <w:tcPr>
                  <w:tcW w:w="238" w:type="dxa"/>
                  <w:vMerge w:val="continue"/>
                  <w:tcBorders>
                    <w:top w:val="nil"/>
                    <w:left w:val="nil"/>
                    <w:bottom w:val="single" w:color="000000" w:sz="4" w:space="0"/>
                    <w:right w:val="single" w:color="000000" w:sz="4" w:space="0"/>
                  </w:tcBorders>
                </w:tcPr>
                <w:p w14:paraId="6997620D"/>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88BB23">
                  <w:pPr>
                    <w:pStyle w:val="16"/>
                    <w:jc w:val="left"/>
                  </w:pPr>
                  <w:r>
                    <w:rPr>
                      <w:rFonts w:ascii="仿宋_GB2312" w:hAnsi="仿宋_GB2312" w:eastAsia="仿宋_GB2312" w:cs="仿宋_GB2312"/>
                      <w:sz w:val="20"/>
                    </w:rPr>
                    <w:t>通过建立病案分组的流程管理，完成采购人每个月病案数据入组工作。</w:t>
                  </w:r>
                </w:p>
              </w:tc>
            </w:tr>
            <w:tr w14:paraId="68FA49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6006148"/>
              </w:tc>
              <w:tc>
                <w:tcPr>
                  <w:tcW w:w="238" w:type="dxa"/>
                  <w:vMerge w:val="continue"/>
                  <w:tcBorders>
                    <w:top w:val="nil"/>
                    <w:left w:val="nil"/>
                    <w:bottom w:val="single" w:color="000000" w:sz="4" w:space="0"/>
                    <w:right w:val="single" w:color="000000" w:sz="4" w:space="0"/>
                  </w:tcBorders>
                </w:tcPr>
                <w:p w14:paraId="27D07A9E"/>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3157F9">
                  <w:pPr>
                    <w:pStyle w:val="16"/>
                    <w:jc w:val="left"/>
                  </w:pPr>
                  <w:r>
                    <w:rPr>
                      <w:rFonts w:ascii="仿宋_GB2312" w:hAnsi="仿宋_GB2312" w:eastAsia="仿宋_GB2312" w:cs="仿宋_GB2312"/>
                      <w:sz w:val="20"/>
                    </w:rPr>
                    <w:t>通过大数据方法计算形成医院的费用控制、床位利用和成本控制等管理标准等，支持不同应用场景。</w:t>
                  </w:r>
                </w:p>
              </w:tc>
            </w:tr>
            <w:tr w14:paraId="5493C6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61FCACD8"/>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7C1882B">
                  <w:pPr>
                    <w:pStyle w:val="16"/>
                    <w:jc w:val="center"/>
                  </w:pPr>
                  <w:r>
                    <w:rPr>
                      <w:rFonts w:ascii="仿宋_GB2312" w:hAnsi="仿宋_GB2312" w:eastAsia="仿宋_GB2312" w:cs="仿宋_GB2312"/>
                      <w:sz w:val="20"/>
                    </w:rPr>
                    <w:t>全面预算</w:t>
                  </w:r>
                </w:p>
                <w:p w14:paraId="27F2826D">
                  <w:pPr>
                    <w:pStyle w:val="16"/>
                    <w:jc w:val="center"/>
                  </w:pPr>
                  <w:r>
                    <w:rPr>
                      <w:rFonts w:ascii="仿宋_GB2312" w:hAnsi="仿宋_GB2312" w:eastAsia="仿宋_GB2312" w:cs="仿宋_GB2312"/>
                      <w:sz w:val="20"/>
                    </w:rPr>
                    <w:t>数据服务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823E4">
                  <w:pPr>
                    <w:pStyle w:val="16"/>
                    <w:jc w:val="left"/>
                  </w:pPr>
                  <w:r>
                    <w:rPr>
                      <w:rFonts w:ascii="仿宋_GB2312" w:hAnsi="仿宋_GB2312" w:eastAsia="仿宋_GB2312" w:cs="仿宋_GB2312"/>
                      <w:sz w:val="20"/>
                    </w:rPr>
                    <w:t>要协助采购人根据战略定位和发展目标，确定医务、财务、医保等归口管理部门当年预算指标，提供必选指标和可选指标选择服务；对不同预算指标进行基于往期趋势测算全院当年的预算编制，进而形成全院当年预算值建议。</w:t>
                  </w:r>
                </w:p>
              </w:tc>
            </w:tr>
            <w:tr w14:paraId="658325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38602F4"/>
              </w:tc>
              <w:tc>
                <w:tcPr>
                  <w:tcW w:w="238" w:type="dxa"/>
                  <w:vMerge w:val="continue"/>
                  <w:tcBorders>
                    <w:top w:val="nil"/>
                    <w:left w:val="nil"/>
                    <w:bottom w:val="single" w:color="000000" w:sz="4" w:space="0"/>
                    <w:right w:val="single" w:color="000000" w:sz="4" w:space="0"/>
                  </w:tcBorders>
                </w:tcPr>
                <w:p w14:paraId="5D9BB46E"/>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3CA5DB">
                  <w:pPr>
                    <w:pStyle w:val="16"/>
                    <w:jc w:val="left"/>
                  </w:pPr>
                  <w:r>
                    <w:rPr>
                      <w:rFonts w:ascii="仿宋_GB2312" w:hAnsi="仿宋_GB2312" w:eastAsia="仿宋_GB2312" w:cs="仿宋_GB2312"/>
                      <w:sz w:val="20"/>
                    </w:rPr>
                    <w:t>支持将采购人的每个预算指标目标值分解到各预算责任科室，做为预算编制过程中一下的初始值，也作为各预算科室预算一上的建议值；利用数据工具，完成一上汇总、二下分解、二上汇总的预算编制流程，并最终形成全院和科室的预算终值，完成全院预算编制工作。</w:t>
                  </w:r>
                </w:p>
              </w:tc>
            </w:tr>
            <w:tr w14:paraId="27C279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69A36536"/>
              </w:tc>
              <w:tc>
                <w:tcPr>
                  <w:tcW w:w="238" w:type="dxa"/>
                  <w:vMerge w:val="continue"/>
                  <w:tcBorders>
                    <w:top w:val="nil"/>
                    <w:left w:val="nil"/>
                    <w:bottom w:val="single" w:color="000000" w:sz="4" w:space="0"/>
                    <w:right w:val="single" w:color="000000" w:sz="4" w:space="0"/>
                  </w:tcBorders>
                </w:tcPr>
                <w:p w14:paraId="730996CC"/>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9C384">
                  <w:pPr>
                    <w:pStyle w:val="16"/>
                    <w:jc w:val="left"/>
                  </w:pPr>
                  <w:r>
                    <w:rPr>
                      <w:rFonts w:ascii="仿宋_GB2312" w:hAnsi="仿宋_GB2312" w:eastAsia="仿宋_GB2312" w:cs="仿宋_GB2312"/>
                      <w:sz w:val="20"/>
                    </w:rPr>
                    <w:t>需提供关键项目预算解读，需同步提供预算依据报告。</w:t>
                  </w:r>
                </w:p>
              </w:tc>
            </w:tr>
            <w:tr w14:paraId="3A31E9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E46D4C9"/>
              </w:tc>
              <w:tc>
                <w:tcPr>
                  <w:tcW w:w="238" w:type="dxa"/>
                  <w:vMerge w:val="continue"/>
                  <w:tcBorders>
                    <w:top w:val="nil"/>
                    <w:left w:val="nil"/>
                    <w:bottom w:val="single" w:color="000000" w:sz="4" w:space="0"/>
                    <w:right w:val="single" w:color="000000" w:sz="4" w:space="0"/>
                  </w:tcBorders>
                </w:tcPr>
                <w:p w14:paraId="3962107F"/>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5C484">
                  <w:pPr>
                    <w:pStyle w:val="16"/>
                    <w:jc w:val="left"/>
                  </w:pPr>
                  <w:r>
                    <w:rPr>
                      <w:rFonts w:ascii="仿宋_GB2312" w:hAnsi="仿宋_GB2312" w:eastAsia="仿宋_GB2312" w:cs="仿宋_GB2312"/>
                      <w:sz w:val="20"/>
                    </w:rPr>
                    <w:t>需每月通过数据分析将预算指标的实际执行值与预算值进行比较分析，为分析偏离找成因。</w:t>
                  </w:r>
                </w:p>
              </w:tc>
            </w:tr>
            <w:tr w14:paraId="54AAB5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6051BD11"/>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0475ABE">
                  <w:pPr>
                    <w:pStyle w:val="16"/>
                    <w:jc w:val="center"/>
                  </w:pPr>
                  <w:r>
                    <w:rPr>
                      <w:rFonts w:ascii="仿宋_GB2312" w:hAnsi="仿宋_GB2312" w:eastAsia="仿宋_GB2312" w:cs="仿宋_GB2312"/>
                      <w:sz w:val="20"/>
                    </w:rPr>
                    <w:t>概览</w:t>
                  </w:r>
                </w:p>
                <w:p w14:paraId="1E52810D">
                  <w:pPr>
                    <w:pStyle w:val="16"/>
                    <w:jc w:val="center"/>
                  </w:pPr>
                  <w:r>
                    <w:rPr>
                      <w:rFonts w:ascii="仿宋_GB2312" w:hAnsi="仿宋_GB2312" w:eastAsia="仿宋_GB2312" w:cs="仿宋_GB2312"/>
                      <w:sz w:val="20"/>
                    </w:rPr>
                    <w:t>分析服务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BFB8D">
                  <w:pPr>
                    <w:pStyle w:val="16"/>
                    <w:jc w:val="left"/>
                  </w:pPr>
                  <w:r>
                    <w:rPr>
                      <w:rFonts w:ascii="仿宋_GB2312" w:hAnsi="仿宋_GB2312" w:eastAsia="仿宋_GB2312" w:cs="仿宋_GB2312"/>
                      <w:sz w:val="24"/>
                    </w:rPr>
                    <w:t>★</w:t>
                  </w:r>
                  <w:r>
                    <w:rPr>
                      <w:rFonts w:ascii="仿宋_GB2312" w:hAnsi="仿宋_GB2312" w:eastAsia="仿宋_GB2312" w:cs="仿宋_GB2312"/>
                      <w:sz w:val="20"/>
                    </w:rPr>
                    <w:t>支持根据分析时间和分析对象，从能效、医疗收入、医疗成本和医保支付等维度，对核心指标进行统一分析，为采购人运营管理提供宏观层面数据分析。</w:t>
                  </w:r>
                </w:p>
              </w:tc>
            </w:tr>
            <w:tr w14:paraId="14FA0E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6CC4405C"/>
              </w:tc>
              <w:tc>
                <w:tcPr>
                  <w:tcW w:w="238" w:type="dxa"/>
                  <w:vMerge w:val="continue"/>
                  <w:tcBorders>
                    <w:top w:val="nil"/>
                    <w:left w:val="nil"/>
                    <w:bottom w:val="single" w:color="000000" w:sz="4" w:space="0"/>
                    <w:right w:val="single" w:color="000000" w:sz="4" w:space="0"/>
                  </w:tcBorders>
                </w:tcPr>
                <w:p w14:paraId="5F9A9FCF"/>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DE6B0">
                  <w:pPr>
                    <w:pStyle w:val="16"/>
                    <w:jc w:val="left"/>
                  </w:pPr>
                  <w:r>
                    <w:rPr>
                      <w:rFonts w:ascii="仿宋_GB2312" w:hAnsi="仿宋_GB2312" w:eastAsia="仿宋_GB2312" w:cs="仿宋_GB2312"/>
                      <w:sz w:val="20"/>
                    </w:rPr>
                    <w:t>▲支持提供不同地区、同类型医院对标数据，从工作量、费用、医师工作效率等指标维度与本院数据进行对标。</w:t>
                  </w:r>
                </w:p>
              </w:tc>
            </w:tr>
            <w:tr w14:paraId="1980FE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B4327F5"/>
              </w:tc>
              <w:tc>
                <w:tcPr>
                  <w:tcW w:w="238" w:type="dxa"/>
                  <w:vMerge w:val="continue"/>
                  <w:tcBorders>
                    <w:top w:val="nil"/>
                    <w:left w:val="nil"/>
                    <w:bottom w:val="single" w:color="000000" w:sz="4" w:space="0"/>
                    <w:right w:val="single" w:color="000000" w:sz="4" w:space="0"/>
                  </w:tcBorders>
                </w:tcPr>
                <w:p w14:paraId="5F09D381"/>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AD8E5D">
                  <w:pPr>
                    <w:pStyle w:val="16"/>
                    <w:jc w:val="left"/>
                  </w:pPr>
                  <w:r>
                    <w:rPr>
                      <w:rFonts w:ascii="仿宋_GB2312" w:hAnsi="仿宋_GB2312" w:eastAsia="仿宋_GB2312" w:cs="仿宋_GB2312"/>
                      <w:sz w:val="20"/>
                    </w:rPr>
                    <w:t>●业务概览分析需要围绕对住院和门诊能效进行总体分析评价，分析核心指标当月实际情况和同比变化趋势，以及累计月份情况，分析指标需要包含门诊量、出院量、分娩量、CMI，各项手术占比和手术操作率、平均住院日、床位使用率等核心指标，并支持对全院进行定性评价。</w:t>
                  </w:r>
                </w:p>
              </w:tc>
            </w:tr>
            <w:tr w14:paraId="060551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13F24085"/>
              </w:tc>
              <w:tc>
                <w:tcPr>
                  <w:tcW w:w="238" w:type="dxa"/>
                  <w:vMerge w:val="continue"/>
                  <w:tcBorders>
                    <w:top w:val="nil"/>
                    <w:left w:val="nil"/>
                    <w:bottom w:val="single" w:color="000000" w:sz="4" w:space="0"/>
                    <w:right w:val="single" w:color="000000" w:sz="4" w:space="0"/>
                  </w:tcBorders>
                </w:tcPr>
                <w:p w14:paraId="2526F09D"/>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7C6F1">
                  <w:pPr>
                    <w:pStyle w:val="16"/>
                    <w:jc w:val="left"/>
                  </w:pPr>
                  <w:r>
                    <w:rPr>
                      <w:rFonts w:ascii="仿宋_GB2312" w:hAnsi="仿宋_GB2312" w:eastAsia="仿宋_GB2312" w:cs="仿宋_GB2312"/>
                      <w:sz w:val="20"/>
                    </w:rPr>
                    <w:t>●财务概览需支持分析相关指标同比变化趋势，指标需包含总收入、住院医疗收入和门诊医疗收入等指标和收入结构（药品、耗材、检查检验和医疗服务）。支持对全院科室进行优良中差评价。</w:t>
                  </w:r>
                </w:p>
              </w:tc>
            </w:tr>
            <w:tr w14:paraId="745369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04FD0B7C"/>
              </w:tc>
              <w:tc>
                <w:tcPr>
                  <w:tcW w:w="238" w:type="dxa"/>
                  <w:vMerge w:val="continue"/>
                  <w:tcBorders>
                    <w:top w:val="nil"/>
                    <w:left w:val="nil"/>
                    <w:bottom w:val="single" w:color="000000" w:sz="4" w:space="0"/>
                    <w:right w:val="single" w:color="000000" w:sz="4" w:space="0"/>
                  </w:tcBorders>
                </w:tcPr>
                <w:p w14:paraId="7832163E"/>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A26958">
                  <w:pPr>
                    <w:pStyle w:val="16"/>
                    <w:jc w:val="left"/>
                  </w:pPr>
                  <w:r>
                    <w:rPr>
                      <w:rFonts w:ascii="仿宋_GB2312" w:hAnsi="仿宋_GB2312" w:eastAsia="仿宋_GB2312" w:cs="仿宋_GB2312"/>
                      <w:sz w:val="20"/>
                    </w:rPr>
                    <w:t>医疗成本概览支持对医疗成本核心进行趋势和结构分析，需包含总成本和住院医疗成本等指标以及成本结构。</w:t>
                  </w:r>
                </w:p>
              </w:tc>
            </w:tr>
            <w:tr w14:paraId="0333DE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DD46265"/>
              </w:tc>
              <w:tc>
                <w:tcPr>
                  <w:tcW w:w="238" w:type="dxa"/>
                  <w:vMerge w:val="continue"/>
                  <w:tcBorders>
                    <w:top w:val="nil"/>
                    <w:left w:val="nil"/>
                    <w:bottom w:val="single" w:color="000000" w:sz="4" w:space="0"/>
                    <w:right w:val="single" w:color="000000" w:sz="4" w:space="0"/>
                  </w:tcBorders>
                </w:tcPr>
                <w:p w14:paraId="7F8EACE8"/>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32C42F">
                  <w:pPr>
                    <w:pStyle w:val="16"/>
                    <w:jc w:val="left"/>
                  </w:pPr>
                  <w:r>
                    <w:rPr>
                      <w:rFonts w:ascii="仿宋_GB2312" w:hAnsi="仿宋_GB2312" w:eastAsia="仿宋_GB2312" w:cs="仿宋_GB2312"/>
                      <w:sz w:val="20"/>
                    </w:rPr>
                    <w:t>支持对全院医保初始补偿率进行分析，同时结合医疗收支比分析全院医保结余和收支结余情况。</w:t>
                  </w:r>
                </w:p>
              </w:tc>
            </w:tr>
            <w:tr w14:paraId="10910A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DAAAD81"/>
              </w:tc>
              <w:tc>
                <w:tcPr>
                  <w:tcW w:w="238" w:type="dxa"/>
                  <w:vMerge w:val="continue"/>
                  <w:tcBorders>
                    <w:top w:val="nil"/>
                    <w:left w:val="nil"/>
                    <w:bottom w:val="single" w:color="000000" w:sz="4" w:space="0"/>
                    <w:right w:val="single" w:color="000000" w:sz="4" w:space="0"/>
                  </w:tcBorders>
                </w:tcPr>
                <w:p w14:paraId="377492B8"/>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FFF73F">
                  <w:pPr>
                    <w:pStyle w:val="16"/>
                    <w:jc w:val="left"/>
                  </w:pPr>
                  <w:r>
                    <w:rPr>
                      <w:rFonts w:ascii="仿宋_GB2312" w:hAnsi="仿宋_GB2312" w:eastAsia="仿宋_GB2312" w:cs="仿宋_GB2312"/>
                      <w:sz w:val="20"/>
                    </w:rPr>
                    <w:t>支持对不同维度利用大数据可视化工具进行分析和展示，同时，根据进行梯度分类预警。</w:t>
                  </w:r>
                </w:p>
              </w:tc>
            </w:tr>
            <w:tr w14:paraId="7A8448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2416508A"/>
              </w:tc>
              <w:tc>
                <w:tcPr>
                  <w:tcW w:w="238" w:type="dxa"/>
                  <w:vMerge w:val="continue"/>
                  <w:tcBorders>
                    <w:top w:val="nil"/>
                    <w:left w:val="nil"/>
                    <w:bottom w:val="single" w:color="000000" w:sz="4" w:space="0"/>
                    <w:right w:val="single" w:color="000000" w:sz="4" w:space="0"/>
                  </w:tcBorders>
                </w:tcPr>
                <w:p w14:paraId="761DCA1C"/>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2C1603">
                  <w:pPr>
                    <w:pStyle w:val="16"/>
                    <w:jc w:val="left"/>
                  </w:pPr>
                  <w:r>
                    <w:rPr>
                      <w:rFonts w:ascii="仿宋_GB2312" w:hAnsi="仿宋_GB2312" w:eastAsia="仿宋_GB2312" w:cs="仿宋_GB2312"/>
                      <w:sz w:val="20"/>
                    </w:rPr>
                    <w:t>▲支持对全院运营数据进行运营定性评价，需基于评价体系从功能定位、资源利用、医保分析、经济运营和收入合理性等维度，对运营结果进行分析并评价。</w:t>
                  </w:r>
                </w:p>
              </w:tc>
            </w:tr>
            <w:tr w14:paraId="4F212A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E7E7B10"/>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5056DD3">
                  <w:pPr>
                    <w:pStyle w:val="16"/>
                    <w:jc w:val="center"/>
                  </w:pPr>
                  <w:r>
                    <w:rPr>
                      <w:rFonts w:ascii="仿宋_GB2312" w:hAnsi="仿宋_GB2312" w:eastAsia="仿宋_GB2312" w:cs="仿宋_GB2312"/>
                      <w:sz w:val="20"/>
                    </w:rPr>
                    <w:t>能效管理</w:t>
                  </w:r>
                </w:p>
                <w:p w14:paraId="00F704C5">
                  <w:pPr>
                    <w:pStyle w:val="16"/>
                    <w:jc w:val="center"/>
                  </w:pPr>
                  <w:r>
                    <w:rPr>
                      <w:rFonts w:ascii="仿宋_GB2312" w:hAnsi="仿宋_GB2312" w:eastAsia="仿宋_GB2312" w:cs="仿宋_GB2312"/>
                      <w:sz w:val="20"/>
                    </w:rPr>
                    <w:t>数据服务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6C76E7">
                  <w:pPr>
                    <w:pStyle w:val="16"/>
                    <w:jc w:val="left"/>
                  </w:pPr>
                  <w:r>
                    <w:rPr>
                      <w:rFonts w:ascii="仿宋_GB2312" w:hAnsi="仿宋_GB2312" w:eastAsia="仿宋_GB2312" w:cs="仿宋_GB2312"/>
                      <w:sz w:val="24"/>
                    </w:rPr>
                    <w:t>●</w:t>
                  </w:r>
                  <w:r>
                    <w:rPr>
                      <w:rFonts w:ascii="仿宋_GB2312" w:hAnsi="仿宋_GB2312" w:eastAsia="仿宋_GB2312" w:cs="仿宋_GB2312"/>
                      <w:sz w:val="20"/>
                    </w:rPr>
                    <w:t>需对全院、科室、医生组和病组进行能效分析，分析指标包括CMI、病种占比、出院患者手术占比、四级手术占比、微创手术占比、手术操作率；门诊分析到科室，包括门诊量、复诊率、门住人次比等指标。</w:t>
                  </w:r>
                </w:p>
              </w:tc>
            </w:tr>
            <w:tr w14:paraId="1B0AF7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5C4EA5B"/>
              </w:tc>
              <w:tc>
                <w:tcPr>
                  <w:tcW w:w="238" w:type="dxa"/>
                  <w:vMerge w:val="continue"/>
                  <w:tcBorders>
                    <w:top w:val="nil"/>
                    <w:left w:val="nil"/>
                    <w:bottom w:val="single" w:color="000000" w:sz="4" w:space="0"/>
                    <w:right w:val="single" w:color="000000" w:sz="4" w:space="0"/>
                  </w:tcBorders>
                </w:tcPr>
                <w:p w14:paraId="510D7528"/>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39C7B">
                  <w:pPr>
                    <w:pStyle w:val="16"/>
                    <w:jc w:val="left"/>
                  </w:pPr>
                  <w:r>
                    <w:rPr>
                      <w:rFonts w:ascii="仿宋_GB2312" w:hAnsi="仿宋_GB2312" w:eastAsia="仿宋_GB2312" w:cs="仿宋_GB2312"/>
                      <w:sz w:val="20"/>
                    </w:rPr>
                    <w:t>●支持从能级和效率两个维度分别对住院和门诊进行分析，从全院到科室，颗粒度从粗到细，能够挖掘数据背后反映的真实问题。</w:t>
                  </w:r>
                </w:p>
              </w:tc>
            </w:tr>
            <w:tr w14:paraId="07D9EB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C161B7F"/>
              </w:tc>
              <w:tc>
                <w:tcPr>
                  <w:tcW w:w="238" w:type="dxa"/>
                  <w:vMerge w:val="continue"/>
                  <w:tcBorders>
                    <w:top w:val="nil"/>
                    <w:left w:val="nil"/>
                    <w:bottom w:val="single" w:color="000000" w:sz="4" w:space="0"/>
                    <w:right w:val="single" w:color="000000" w:sz="4" w:space="0"/>
                  </w:tcBorders>
                </w:tcPr>
                <w:p w14:paraId="0452B004"/>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ECD40">
                  <w:pPr>
                    <w:pStyle w:val="16"/>
                    <w:jc w:val="left"/>
                  </w:pPr>
                  <w:r>
                    <w:rPr>
                      <w:rFonts w:ascii="仿宋_GB2312" w:hAnsi="仿宋_GB2312" w:eastAsia="仿宋_GB2312" w:cs="仿宋_GB2312"/>
                      <w:sz w:val="20"/>
                    </w:rPr>
                    <w:t>▲对科室的运营情况进行“优良中差”梯度评价，直观解读分析运营管理中存在的问题。</w:t>
                  </w:r>
                </w:p>
              </w:tc>
            </w:tr>
            <w:tr w14:paraId="44FE80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E57EF33"/>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AA88D90">
                  <w:pPr>
                    <w:pStyle w:val="16"/>
                    <w:jc w:val="center"/>
                  </w:pPr>
                  <w:r>
                    <w:rPr>
                      <w:rFonts w:ascii="仿宋_GB2312" w:hAnsi="仿宋_GB2312" w:eastAsia="仿宋_GB2312" w:cs="仿宋_GB2312"/>
                      <w:sz w:val="20"/>
                    </w:rPr>
                    <w:t>收入</w:t>
                  </w:r>
                </w:p>
                <w:p w14:paraId="7CDBAF28">
                  <w:pPr>
                    <w:pStyle w:val="16"/>
                    <w:jc w:val="center"/>
                  </w:pPr>
                  <w:r>
                    <w:rPr>
                      <w:rFonts w:ascii="仿宋_GB2312" w:hAnsi="仿宋_GB2312" w:eastAsia="仿宋_GB2312" w:cs="仿宋_GB2312"/>
                      <w:sz w:val="20"/>
                    </w:rPr>
                    <w:t>分析服务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2F165C">
                  <w:pPr>
                    <w:pStyle w:val="16"/>
                    <w:jc w:val="left"/>
                  </w:pPr>
                  <w:r>
                    <w:rPr>
                      <w:rFonts w:ascii="仿宋_GB2312" w:hAnsi="仿宋_GB2312" w:eastAsia="仿宋_GB2312" w:cs="仿宋_GB2312"/>
                      <w:sz w:val="20"/>
                    </w:rPr>
                    <w:t>要求在大数据标准体系下，将采购人所有费用进行指数标化，通过病种指数单价、药品指数单价、耗材指数单价等综合考虑学科特点和疾病难易程度后的标化价格，可实现不同学科、不同疾病之间价格合理性的直接对比。</w:t>
                  </w:r>
                </w:p>
              </w:tc>
            </w:tr>
            <w:tr w14:paraId="66C1CE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A311A7E"/>
              </w:tc>
              <w:tc>
                <w:tcPr>
                  <w:tcW w:w="238" w:type="dxa"/>
                  <w:vMerge w:val="continue"/>
                  <w:tcBorders>
                    <w:top w:val="nil"/>
                    <w:left w:val="nil"/>
                    <w:bottom w:val="single" w:color="000000" w:sz="4" w:space="0"/>
                    <w:right w:val="single" w:color="000000" w:sz="4" w:space="0"/>
                  </w:tcBorders>
                </w:tcPr>
                <w:p w14:paraId="3971E536"/>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E619E">
                  <w:pPr>
                    <w:pStyle w:val="16"/>
                    <w:jc w:val="left"/>
                  </w:pPr>
                  <w:r>
                    <w:rPr>
                      <w:rFonts w:ascii="仿宋_GB2312" w:hAnsi="仿宋_GB2312" w:eastAsia="仿宋_GB2312" w:cs="仿宋_GB2312"/>
                      <w:sz w:val="20"/>
                    </w:rPr>
                    <w:t>●需通过对费用结构进行分析，帮助采购人对收入结构进行分析和调整建议，同时，在医保支付方式改革的背景下，对费用结构进行优化，提高医疗服务性收入比重。需从科室、医疗组和病种的维度进行结构性分析，找到费用偏离的具体原因，有针对性地进行不合理费用控制。</w:t>
                  </w:r>
                </w:p>
              </w:tc>
            </w:tr>
            <w:tr w14:paraId="1B4C24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154CB7AC"/>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B055598">
                  <w:pPr>
                    <w:pStyle w:val="16"/>
                    <w:jc w:val="center"/>
                  </w:pPr>
                  <w:r>
                    <w:rPr>
                      <w:rFonts w:ascii="仿宋_GB2312" w:hAnsi="仿宋_GB2312" w:eastAsia="仿宋_GB2312" w:cs="仿宋_GB2312"/>
                      <w:sz w:val="20"/>
                    </w:rPr>
                    <w:t>成本</w:t>
                  </w:r>
                </w:p>
                <w:p w14:paraId="6E93C153">
                  <w:pPr>
                    <w:pStyle w:val="16"/>
                    <w:jc w:val="center"/>
                  </w:pPr>
                  <w:r>
                    <w:rPr>
                      <w:rFonts w:ascii="仿宋_GB2312" w:hAnsi="仿宋_GB2312" w:eastAsia="仿宋_GB2312" w:cs="仿宋_GB2312"/>
                      <w:sz w:val="20"/>
                    </w:rPr>
                    <w:t>分析服务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8610B3">
                  <w:pPr>
                    <w:pStyle w:val="16"/>
                    <w:jc w:val="left"/>
                  </w:pPr>
                  <w:r>
                    <w:rPr>
                      <w:rFonts w:ascii="仿宋_GB2312" w:hAnsi="仿宋_GB2312" w:eastAsia="仿宋_GB2312" w:cs="仿宋_GB2312"/>
                      <w:sz w:val="20"/>
                    </w:rPr>
                    <w:t>●支持对四大类科室临床、医技、医辅、行政为统计单位，分析四大类科室直接成本分布及变动情况，支持从全院到科室下钻分析，从成本大类下钻到成本项目，找到成本管控关键点。</w:t>
                  </w:r>
                </w:p>
              </w:tc>
            </w:tr>
            <w:tr w14:paraId="7BDCE0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2876B149"/>
              </w:tc>
              <w:tc>
                <w:tcPr>
                  <w:tcW w:w="238" w:type="dxa"/>
                  <w:vMerge w:val="continue"/>
                  <w:tcBorders>
                    <w:top w:val="nil"/>
                    <w:left w:val="nil"/>
                    <w:bottom w:val="single" w:color="000000" w:sz="4" w:space="0"/>
                    <w:right w:val="single" w:color="000000" w:sz="4" w:space="0"/>
                  </w:tcBorders>
                </w:tcPr>
                <w:p w14:paraId="532B8E84"/>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DB45AC">
                  <w:pPr>
                    <w:pStyle w:val="16"/>
                    <w:jc w:val="left"/>
                  </w:pPr>
                  <w:r>
                    <w:rPr>
                      <w:rFonts w:ascii="仿宋_GB2312" w:hAnsi="仿宋_GB2312" w:eastAsia="仿宋_GB2312" w:cs="仿宋_GB2312"/>
                      <w:sz w:val="20"/>
                    </w:rPr>
                    <w:t>●从科室维度分析成本相关核心指标，如医疗收支比、医疗成本结构（人员、药品、耗材和其他4项）的占比，以及科室整体直接成本与间接成本情况。</w:t>
                  </w:r>
                </w:p>
              </w:tc>
            </w:tr>
            <w:tr w14:paraId="392601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75FB261"/>
              </w:tc>
              <w:tc>
                <w:tcPr>
                  <w:tcW w:w="238" w:type="dxa"/>
                  <w:vMerge w:val="continue"/>
                  <w:tcBorders>
                    <w:top w:val="nil"/>
                    <w:left w:val="nil"/>
                    <w:bottom w:val="single" w:color="000000" w:sz="4" w:space="0"/>
                    <w:right w:val="single" w:color="000000" w:sz="4" w:space="0"/>
                  </w:tcBorders>
                </w:tcPr>
                <w:p w14:paraId="21F808ED"/>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A1D246">
                  <w:pPr>
                    <w:pStyle w:val="16"/>
                    <w:jc w:val="left"/>
                  </w:pPr>
                  <w:r>
                    <w:rPr>
                      <w:rFonts w:ascii="仿宋_GB2312" w:hAnsi="仿宋_GB2312" w:eastAsia="仿宋_GB2312" w:cs="仿宋_GB2312"/>
                      <w:sz w:val="20"/>
                    </w:rPr>
                    <w:t>支持在科室成本分析下从医生组、病组和手术维度进行医疗成本分析。</w:t>
                  </w:r>
                </w:p>
              </w:tc>
            </w:tr>
            <w:tr w14:paraId="2CE279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ADB7649"/>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9A81CE0">
                  <w:pPr>
                    <w:pStyle w:val="16"/>
                    <w:jc w:val="center"/>
                  </w:pPr>
                  <w:r>
                    <w:rPr>
                      <w:rFonts w:ascii="仿宋_GB2312" w:hAnsi="仿宋_GB2312" w:eastAsia="仿宋_GB2312" w:cs="仿宋_GB2312"/>
                      <w:sz w:val="20"/>
                    </w:rPr>
                    <w:t>床位资源</w:t>
                  </w:r>
                </w:p>
                <w:p w14:paraId="07FDB492">
                  <w:pPr>
                    <w:pStyle w:val="16"/>
                    <w:jc w:val="center"/>
                  </w:pPr>
                  <w:r>
                    <w:rPr>
                      <w:rFonts w:ascii="仿宋_GB2312" w:hAnsi="仿宋_GB2312" w:eastAsia="仿宋_GB2312" w:cs="仿宋_GB2312"/>
                      <w:sz w:val="20"/>
                    </w:rPr>
                    <w:t>分析服务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1EF903">
                  <w:pPr>
                    <w:pStyle w:val="16"/>
                    <w:jc w:val="left"/>
                  </w:pPr>
                  <w:r>
                    <w:rPr>
                      <w:rFonts w:ascii="仿宋_GB2312" w:hAnsi="仿宋_GB2312" w:eastAsia="仿宋_GB2312" w:cs="仿宋_GB2312"/>
                      <w:sz w:val="20"/>
                    </w:rPr>
                    <w:t>分析维度需包含床位能效和床位经济，需从全院、科室、主诊和病组等维度进行分析和评价。</w:t>
                  </w:r>
                </w:p>
              </w:tc>
            </w:tr>
            <w:tr w14:paraId="5E106E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0B42BCB"/>
              </w:tc>
              <w:tc>
                <w:tcPr>
                  <w:tcW w:w="238" w:type="dxa"/>
                  <w:vMerge w:val="continue"/>
                  <w:tcBorders>
                    <w:top w:val="nil"/>
                    <w:left w:val="nil"/>
                    <w:bottom w:val="single" w:color="000000" w:sz="4" w:space="0"/>
                    <w:right w:val="single" w:color="000000" w:sz="4" w:space="0"/>
                  </w:tcBorders>
                </w:tcPr>
                <w:p w14:paraId="09CC0703"/>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6FF8C2">
                  <w:pPr>
                    <w:pStyle w:val="16"/>
                    <w:jc w:val="left"/>
                  </w:pPr>
                  <w:r>
                    <w:rPr>
                      <w:rFonts w:ascii="仿宋_GB2312" w:hAnsi="仿宋_GB2312" w:eastAsia="仿宋_GB2312" w:cs="仿宋_GB2312"/>
                      <w:sz w:val="20"/>
                    </w:rPr>
                    <w:t>床位经济核心指标包括术前平均住院日、术后平均住院日，每床日收入和每床日成本，为科室分析床位资源的经济平衡提供数据支持。</w:t>
                  </w:r>
                </w:p>
              </w:tc>
            </w:tr>
            <w:tr w14:paraId="2877AA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AD3B8B5"/>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6D81C47">
                  <w:pPr>
                    <w:pStyle w:val="16"/>
                    <w:jc w:val="center"/>
                  </w:pPr>
                  <w:r>
                    <w:rPr>
                      <w:rFonts w:ascii="仿宋_GB2312" w:hAnsi="仿宋_GB2312" w:eastAsia="仿宋_GB2312" w:cs="仿宋_GB2312"/>
                      <w:sz w:val="20"/>
                    </w:rPr>
                    <w:t>医保</w:t>
                  </w:r>
                </w:p>
                <w:p w14:paraId="7E4F799C">
                  <w:pPr>
                    <w:pStyle w:val="16"/>
                    <w:jc w:val="center"/>
                  </w:pPr>
                  <w:r>
                    <w:rPr>
                      <w:rFonts w:ascii="仿宋_GB2312" w:hAnsi="仿宋_GB2312" w:eastAsia="仿宋_GB2312" w:cs="仿宋_GB2312"/>
                      <w:sz w:val="20"/>
                    </w:rPr>
                    <w:t>分析服务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6F526">
                  <w:pPr>
                    <w:pStyle w:val="16"/>
                    <w:jc w:val="left"/>
                  </w:pPr>
                  <w:r>
                    <w:rPr>
                      <w:rFonts w:ascii="仿宋_GB2312" w:hAnsi="仿宋_GB2312" w:eastAsia="仿宋_GB2312" w:cs="仿宋_GB2312"/>
                      <w:sz w:val="20"/>
                    </w:rPr>
                    <w:t>支持选择不同医保人群口径（如职保和居保）从宏观角度分析出院病人数、总收入、病组数、医保CMI、收入成本比等核心指标的占比或同比趋势，支持进行科室列表分析。</w:t>
                  </w:r>
                </w:p>
              </w:tc>
            </w:tr>
            <w:tr w14:paraId="4AFEB3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23A82E8E"/>
              </w:tc>
              <w:tc>
                <w:tcPr>
                  <w:tcW w:w="238" w:type="dxa"/>
                  <w:vMerge w:val="continue"/>
                  <w:tcBorders>
                    <w:top w:val="nil"/>
                    <w:left w:val="nil"/>
                    <w:bottom w:val="single" w:color="000000" w:sz="4" w:space="0"/>
                    <w:right w:val="single" w:color="000000" w:sz="4" w:space="0"/>
                  </w:tcBorders>
                </w:tcPr>
                <w:p w14:paraId="1AC0011E"/>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7CC42D">
                  <w:pPr>
                    <w:pStyle w:val="16"/>
                    <w:jc w:val="left"/>
                  </w:pPr>
                  <w:r>
                    <w:rPr>
                      <w:rFonts w:ascii="仿宋_GB2312" w:hAnsi="仿宋_GB2312" w:eastAsia="仿宋_GB2312" w:cs="仿宋_GB2312"/>
                      <w:sz w:val="20"/>
                    </w:rPr>
                    <w:t>以热力图形式分析不同科室情况，同时对于超支付标准的科室级病种弹窗提醒，并分析展示医保相关关联指标</w:t>
                  </w:r>
                </w:p>
              </w:tc>
            </w:tr>
            <w:tr w14:paraId="64D11A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C038B29"/>
              </w:tc>
              <w:tc>
                <w:tcPr>
                  <w:tcW w:w="238" w:type="dxa"/>
                  <w:vMerge w:val="continue"/>
                  <w:tcBorders>
                    <w:top w:val="nil"/>
                    <w:left w:val="nil"/>
                    <w:bottom w:val="single" w:color="000000" w:sz="4" w:space="0"/>
                    <w:right w:val="single" w:color="000000" w:sz="4" w:space="0"/>
                  </w:tcBorders>
                </w:tcPr>
                <w:p w14:paraId="49B1F228"/>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790D6B">
                  <w:pPr>
                    <w:pStyle w:val="16"/>
                    <w:jc w:val="left"/>
                  </w:pPr>
                  <w:r>
                    <w:rPr>
                      <w:rFonts w:ascii="仿宋_GB2312" w:hAnsi="仿宋_GB2312" w:eastAsia="仿宋_GB2312" w:cs="仿宋_GB2312"/>
                      <w:sz w:val="20"/>
                    </w:rPr>
                    <w:t>分析医保人群累计月收入同比趋势和占比，以及单月值环比和占比情况，次均费用趋势和指数费用偏离分析。</w:t>
                  </w:r>
                </w:p>
              </w:tc>
            </w:tr>
            <w:tr w14:paraId="3026C1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298A8E42"/>
              </w:tc>
              <w:tc>
                <w:tcPr>
                  <w:tcW w:w="238" w:type="dxa"/>
                  <w:vMerge w:val="continue"/>
                  <w:tcBorders>
                    <w:top w:val="nil"/>
                    <w:left w:val="nil"/>
                    <w:bottom w:val="single" w:color="000000" w:sz="4" w:space="0"/>
                    <w:right w:val="single" w:color="000000" w:sz="4" w:space="0"/>
                  </w:tcBorders>
                </w:tcPr>
                <w:p w14:paraId="412E102F"/>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9FAD7E">
                  <w:pPr>
                    <w:pStyle w:val="16"/>
                    <w:jc w:val="left"/>
                  </w:pPr>
                  <w:r>
                    <w:rPr>
                      <w:rFonts w:ascii="仿宋_GB2312" w:hAnsi="仿宋_GB2312" w:eastAsia="仿宋_GB2312" w:cs="仿宋_GB2312"/>
                      <w:sz w:val="20"/>
                    </w:rPr>
                    <w:t>需基于全院的成本数据，对全院间接成本进行合理核算至科室和病例，并分析医保人群累计月成本同比趋势和占比，以及成本单月值环比和占比情况，次均成本趋势和指数成本趋势分析，支持与科室列表成本指标分析与可视化柱状图联动。</w:t>
                  </w:r>
                </w:p>
              </w:tc>
            </w:tr>
            <w:tr w14:paraId="023010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65F5529"/>
              </w:tc>
              <w:tc>
                <w:tcPr>
                  <w:tcW w:w="238" w:type="dxa"/>
                  <w:vMerge w:val="continue"/>
                  <w:tcBorders>
                    <w:top w:val="nil"/>
                    <w:left w:val="nil"/>
                    <w:bottom w:val="single" w:color="000000" w:sz="4" w:space="0"/>
                    <w:right w:val="single" w:color="000000" w:sz="4" w:space="0"/>
                  </w:tcBorders>
                </w:tcPr>
                <w:p w14:paraId="0BCBD4C6"/>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55280">
                  <w:pPr>
                    <w:pStyle w:val="16"/>
                    <w:jc w:val="left"/>
                  </w:pPr>
                  <w:r>
                    <w:rPr>
                      <w:rFonts w:ascii="仿宋_GB2312" w:hAnsi="仿宋_GB2312" w:eastAsia="仿宋_GB2312" w:cs="仿宋_GB2312"/>
                      <w:sz w:val="20"/>
                    </w:rPr>
                    <w:t>●需分析全院费用分布情况，分析费用和病例数占比，同时以浮窗形式分析大于均值中高倍率占比和小于均值段低倍率占比情况。同时与科室列表费用分布指标和可视化分析形成联动。同时支持从科室分布、超值项top5和涉及风险项top5进行展示。</w:t>
                  </w:r>
                </w:p>
              </w:tc>
            </w:tr>
            <w:tr w14:paraId="52BBE8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4109F6D"/>
              </w:tc>
              <w:tc>
                <w:tcPr>
                  <w:tcW w:w="238" w:type="dxa"/>
                  <w:vMerge w:val="continue"/>
                  <w:tcBorders>
                    <w:top w:val="nil"/>
                    <w:left w:val="nil"/>
                    <w:bottom w:val="single" w:color="000000" w:sz="4" w:space="0"/>
                    <w:right w:val="single" w:color="000000" w:sz="4" w:space="0"/>
                  </w:tcBorders>
                </w:tcPr>
                <w:p w14:paraId="781BCDCD"/>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28A578">
                  <w:pPr>
                    <w:pStyle w:val="16"/>
                    <w:jc w:val="left"/>
                  </w:pPr>
                  <w:r>
                    <w:rPr>
                      <w:rFonts w:ascii="仿宋_GB2312" w:hAnsi="仿宋_GB2312" w:eastAsia="仿宋_GB2312" w:cs="仿宋_GB2312"/>
                      <w:sz w:val="20"/>
                    </w:rPr>
                    <w:t>需基于大数据建立起来的诊断标准和治疗标准，结合本地收费标准进行分析，从项数偏差、费用偏差分析全院占比情况，分别从诊断、治疗、药品与耗材等维度进行分析。</w:t>
                  </w:r>
                </w:p>
              </w:tc>
            </w:tr>
            <w:tr w14:paraId="52CBC8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A67812A"/>
              </w:tc>
              <w:tc>
                <w:tcPr>
                  <w:tcW w:w="238" w:type="dxa"/>
                  <w:vMerge w:val="continue"/>
                  <w:tcBorders>
                    <w:top w:val="nil"/>
                    <w:left w:val="nil"/>
                    <w:bottom w:val="single" w:color="000000" w:sz="4" w:space="0"/>
                    <w:right w:val="single" w:color="000000" w:sz="4" w:space="0"/>
                  </w:tcBorders>
                </w:tcPr>
                <w:p w14:paraId="47EA2A42"/>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9275D">
                  <w:pPr>
                    <w:pStyle w:val="16"/>
                    <w:jc w:val="left"/>
                  </w:pPr>
                  <w:r>
                    <w:rPr>
                      <w:rFonts w:ascii="仿宋_GB2312" w:hAnsi="仿宋_GB2312" w:eastAsia="仿宋_GB2312" w:cs="仿宋_GB2312"/>
                      <w:sz w:val="20"/>
                    </w:rPr>
                    <w:t>需对科室以MDC病组为切入，以热力图形式分析不同MDC病组在当前分析维度下不同主诊组的相关指标情况，同时以浮窗形式分析和展示病组医保相关关联指标。</w:t>
                  </w:r>
                </w:p>
              </w:tc>
            </w:tr>
            <w:tr w14:paraId="7481E9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3C0E9AE0"/>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041B204C">
                  <w:pPr>
                    <w:pStyle w:val="16"/>
                    <w:jc w:val="center"/>
                  </w:pPr>
                  <w:r>
                    <w:rPr>
                      <w:rFonts w:ascii="仿宋_GB2312" w:hAnsi="仿宋_GB2312" w:eastAsia="仿宋_GB2312" w:cs="仿宋_GB2312"/>
                      <w:sz w:val="20"/>
                    </w:rPr>
                    <w:t>国考分析</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E28028">
                  <w:pPr>
                    <w:pStyle w:val="16"/>
                    <w:jc w:val="left"/>
                  </w:pPr>
                  <w:r>
                    <w:rPr>
                      <w:rFonts w:ascii="仿宋_GB2312" w:hAnsi="仿宋_GB2312" w:eastAsia="仿宋_GB2312" w:cs="仿宋_GB2312"/>
                      <w:sz w:val="24"/>
                    </w:rPr>
                    <w:t>★</w:t>
                  </w:r>
                  <w:r>
                    <w:rPr>
                      <w:rFonts w:ascii="仿宋_GB2312" w:hAnsi="仿宋_GB2312" w:eastAsia="仿宋_GB2312" w:cs="仿宋_GB2312"/>
                      <w:sz w:val="20"/>
                    </w:rPr>
                    <w:t>通过对国考医疗质量维度的监测指标进行达标率分析和预估分评估，了解医疗质量维度国考的运行情况，结合科室列表分析和医疗质量运行解读，为管理者提供决策参考。</w:t>
                  </w:r>
                </w:p>
              </w:tc>
            </w:tr>
            <w:tr w14:paraId="28A01E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BBEFD73"/>
              </w:tc>
              <w:tc>
                <w:tcPr>
                  <w:tcW w:w="238" w:type="dxa"/>
                  <w:vMerge w:val="continue"/>
                  <w:tcBorders>
                    <w:top w:val="nil"/>
                    <w:left w:val="nil"/>
                    <w:bottom w:val="single" w:color="000000" w:sz="4" w:space="0"/>
                    <w:right w:val="single" w:color="000000" w:sz="4" w:space="0"/>
                  </w:tcBorders>
                </w:tcPr>
                <w:p w14:paraId="3C286985"/>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1FDD82">
                  <w:pPr>
                    <w:pStyle w:val="16"/>
                    <w:jc w:val="left"/>
                  </w:pPr>
                  <w:r>
                    <w:rPr>
                      <w:rFonts w:ascii="仿宋_GB2312" w:hAnsi="仿宋_GB2312" w:eastAsia="仿宋_GB2312" w:cs="仿宋_GB2312"/>
                      <w:sz w:val="20"/>
                    </w:rPr>
                    <w:t>对国考运营效率维度的监测指标进行达标率分析和预估分评估，了解运营效率维度国考的运行情况，结合科室列表分析和医疗质量运行解读，为管理者提供决策参考。</w:t>
                  </w:r>
                </w:p>
              </w:tc>
            </w:tr>
            <w:tr w14:paraId="47452C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69C91E03"/>
              </w:tc>
              <w:tc>
                <w:tcPr>
                  <w:tcW w:w="238" w:type="dxa"/>
                  <w:vMerge w:val="continue"/>
                  <w:tcBorders>
                    <w:top w:val="nil"/>
                    <w:left w:val="nil"/>
                    <w:bottom w:val="single" w:color="000000" w:sz="4" w:space="0"/>
                    <w:right w:val="single" w:color="000000" w:sz="4" w:space="0"/>
                  </w:tcBorders>
                </w:tcPr>
                <w:p w14:paraId="6EA5E893"/>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7B8CD">
                  <w:pPr>
                    <w:pStyle w:val="16"/>
                    <w:jc w:val="left"/>
                  </w:pPr>
                  <w:r>
                    <w:rPr>
                      <w:rFonts w:ascii="仿宋_GB2312" w:hAnsi="仿宋_GB2312" w:eastAsia="仿宋_GB2312" w:cs="仿宋_GB2312"/>
                      <w:sz w:val="20"/>
                    </w:rPr>
                    <w:t>●以数字简报的形式，分析全院国考监测指标运营情况，给出引起指标变化的原因，以及需要改进的地方，提供给管理者明确的方向。</w:t>
                  </w:r>
                </w:p>
              </w:tc>
            </w:tr>
            <w:tr w14:paraId="003672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15029DEB"/>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0FF9587">
                  <w:pPr>
                    <w:pStyle w:val="16"/>
                    <w:jc w:val="center"/>
                  </w:pPr>
                  <w:r>
                    <w:rPr>
                      <w:rFonts w:ascii="仿宋_GB2312" w:hAnsi="仿宋_GB2312" w:eastAsia="仿宋_GB2312" w:cs="仿宋_GB2312"/>
                      <w:sz w:val="20"/>
                    </w:rPr>
                    <w:t>数字简报</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EEAC6">
                  <w:pPr>
                    <w:pStyle w:val="16"/>
                    <w:jc w:val="left"/>
                  </w:pPr>
                  <w:r>
                    <w:rPr>
                      <w:rFonts w:ascii="仿宋_GB2312" w:hAnsi="仿宋_GB2312" w:eastAsia="仿宋_GB2312" w:cs="仿宋_GB2312"/>
                      <w:sz w:val="20"/>
                    </w:rPr>
                    <w:t>要求基于月度评价体系，对应全面预算和往期的指标标准，以科室列表比较到指标综合研判分析。月报体系包括院级和所有科室。</w:t>
                  </w:r>
                </w:p>
              </w:tc>
            </w:tr>
            <w:tr w14:paraId="7AC37D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243447E"/>
              </w:tc>
              <w:tc>
                <w:tcPr>
                  <w:tcW w:w="238" w:type="dxa"/>
                  <w:vMerge w:val="continue"/>
                  <w:tcBorders>
                    <w:top w:val="nil"/>
                    <w:left w:val="nil"/>
                    <w:bottom w:val="single" w:color="000000" w:sz="4" w:space="0"/>
                    <w:right w:val="single" w:color="000000" w:sz="4" w:space="0"/>
                  </w:tcBorders>
                </w:tcPr>
                <w:p w14:paraId="40D9676A"/>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3F4AC2">
                  <w:pPr>
                    <w:pStyle w:val="16"/>
                    <w:jc w:val="left"/>
                  </w:pPr>
                  <w:r>
                    <w:rPr>
                      <w:rFonts w:ascii="仿宋_GB2312" w:hAnsi="仿宋_GB2312" w:eastAsia="仿宋_GB2312" w:cs="仿宋_GB2312"/>
                      <w:sz w:val="20"/>
                    </w:rPr>
                    <w:t>▲季度简报是以每个季度划分，统计分析季度运营指标，支持分别对全院和科室级出具相关运营简报。其中，院级季度简报，涵盖了科室运营的综合评价排序，穿透到能级与能效季度分析、床位资源利用季度等量化分析，结合目标同向性予以运营定性评价。</w:t>
                  </w:r>
                </w:p>
              </w:tc>
            </w:tr>
            <w:tr w14:paraId="28EE06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E414966"/>
              </w:tc>
              <w:tc>
                <w:tcPr>
                  <w:tcW w:w="238" w:type="dxa"/>
                  <w:vMerge w:val="continue"/>
                  <w:tcBorders>
                    <w:top w:val="nil"/>
                    <w:left w:val="nil"/>
                    <w:bottom w:val="single" w:color="000000" w:sz="4" w:space="0"/>
                    <w:right w:val="single" w:color="000000" w:sz="4" w:space="0"/>
                  </w:tcBorders>
                </w:tcPr>
                <w:p w14:paraId="0ECCF7F1"/>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1FAA1C">
                  <w:pPr>
                    <w:pStyle w:val="16"/>
                    <w:jc w:val="left"/>
                  </w:pPr>
                  <w:r>
                    <w:rPr>
                      <w:rFonts w:ascii="仿宋_GB2312" w:hAnsi="仿宋_GB2312" w:eastAsia="仿宋_GB2312" w:cs="仿宋_GB2312"/>
                      <w:sz w:val="20"/>
                    </w:rPr>
                    <w:t>要求从院科两级出具半年度简报，数据分析采购人在能效、收支、资源利用效率等情况，协助采购人进行半年度总结运营情况，院级简报包括全院科室运营业绩综合评价、能级与效率分析、经济分析、医保管理分析、床位资源利用分析和综合运营定性评价。</w:t>
                  </w:r>
                </w:p>
              </w:tc>
            </w:tr>
            <w:tr w14:paraId="2310FB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2A4B139D"/>
              </w:tc>
              <w:tc>
                <w:tcPr>
                  <w:tcW w:w="238" w:type="dxa"/>
                  <w:vMerge w:val="continue"/>
                  <w:tcBorders>
                    <w:top w:val="nil"/>
                    <w:left w:val="nil"/>
                    <w:bottom w:val="single" w:color="000000" w:sz="4" w:space="0"/>
                    <w:right w:val="single" w:color="000000" w:sz="4" w:space="0"/>
                  </w:tcBorders>
                </w:tcPr>
                <w:p w14:paraId="6A5171D9"/>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D280C">
                  <w:pPr>
                    <w:pStyle w:val="16"/>
                    <w:jc w:val="left"/>
                  </w:pPr>
                  <w:r>
                    <w:rPr>
                      <w:rFonts w:ascii="仿宋_GB2312" w:hAnsi="仿宋_GB2312" w:eastAsia="仿宋_GB2312" w:cs="仿宋_GB2312"/>
                      <w:sz w:val="20"/>
                    </w:rPr>
                    <w:t>▲年度简报对全年的运营情况做完整的分析，要求从院科两级出具简报，根据年度数据分析全院运营情况，首先对全院的科室进行业绩A、B、C、D四个等级排名，给出全院科室运营业绩综合评价，从能级效率分析、经济分析、医保管理分析、床位资源利用分析到整体运营定性评价。</w:t>
                  </w:r>
                </w:p>
              </w:tc>
            </w:tr>
            <w:tr w14:paraId="4D2098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5FE54955"/>
              </w:tc>
              <w:tc>
                <w:tcPr>
                  <w:tcW w:w="238"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4CD03BB">
                  <w:pPr>
                    <w:pStyle w:val="16"/>
                    <w:jc w:val="center"/>
                  </w:pPr>
                  <w:r>
                    <w:rPr>
                      <w:rFonts w:ascii="仿宋_GB2312" w:hAnsi="仿宋_GB2312" w:eastAsia="仿宋_GB2312" w:cs="仿宋_GB2312"/>
                      <w:sz w:val="20"/>
                    </w:rPr>
                    <w:t>移动端</w:t>
                  </w:r>
                </w:p>
                <w:p w14:paraId="771A9128">
                  <w:pPr>
                    <w:pStyle w:val="16"/>
                    <w:jc w:val="center"/>
                  </w:pPr>
                  <w:r>
                    <w:rPr>
                      <w:rFonts w:ascii="仿宋_GB2312" w:hAnsi="仿宋_GB2312" w:eastAsia="仿宋_GB2312" w:cs="仿宋_GB2312"/>
                      <w:sz w:val="20"/>
                    </w:rPr>
                    <w:t>监测服务</w:t>
                  </w:r>
                </w:p>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F8FB59">
                  <w:pPr>
                    <w:pStyle w:val="16"/>
                    <w:jc w:val="left"/>
                  </w:pPr>
                  <w:r>
                    <w:rPr>
                      <w:rFonts w:ascii="仿宋_GB2312" w:hAnsi="仿宋_GB2312" w:eastAsia="仿宋_GB2312" w:cs="仿宋_GB2312"/>
                      <w:sz w:val="20"/>
                    </w:rPr>
                    <w:t>▲根据数据源可及性和时效性提供数据接口标准，进行移动端的数据对接，支持微信小程序、企业微信、钉钉等不同形式的移动端应用展示，分钟级更新。监测数据包括住院（业务量、收入、亚专科病种、手术、药品和耗材）、门诊（业务量、收入和药品）、医保（医保提示和医保分析）、分析报告（如周报、月报和年报），预警提示（对预算执行情况不好的情况进行预警）等功能。</w:t>
                  </w:r>
                </w:p>
              </w:tc>
            </w:tr>
            <w:tr w14:paraId="56B5A1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7D70F24F"/>
              </w:tc>
              <w:tc>
                <w:tcPr>
                  <w:tcW w:w="238" w:type="dxa"/>
                  <w:vMerge w:val="continue"/>
                  <w:tcBorders>
                    <w:top w:val="nil"/>
                    <w:left w:val="nil"/>
                    <w:bottom w:val="single" w:color="000000" w:sz="4" w:space="0"/>
                    <w:right w:val="single" w:color="000000" w:sz="4" w:space="0"/>
                  </w:tcBorders>
                </w:tcPr>
                <w:p w14:paraId="2BA417F6"/>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CEBC3">
                  <w:pPr>
                    <w:pStyle w:val="16"/>
                    <w:jc w:val="left"/>
                  </w:pPr>
                  <w:r>
                    <w:rPr>
                      <w:rFonts w:ascii="仿宋_GB2312" w:hAnsi="仿宋_GB2312" w:eastAsia="仿宋_GB2312" w:cs="仿宋_GB2312"/>
                      <w:sz w:val="20"/>
                    </w:rPr>
                    <w:t>支持从全院下钻至科室，再下钻至医生组。支持院级掌上运营分析与院级综合运营分析主题保持同源，保证数据一致性，并根据管理权限不同展示不同的数据范围。</w:t>
                  </w:r>
                </w:p>
              </w:tc>
            </w:tr>
            <w:tr w14:paraId="0A3C01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32" w:type="dxa"/>
                  <w:vMerge w:val="continue"/>
                  <w:tcBorders>
                    <w:top w:val="nil"/>
                    <w:left w:val="single" w:color="000000" w:sz="4" w:space="0"/>
                    <w:bottom w:val="nil"/>
                    <w:right w:val="single" w:color="000000" w:sz="4" w:space="0"/>
                  </w:tcBorders>
                </w:tcPr>
                <w:p w14:paraId="4BDBCE0A"/>
              </w:tc>
              <w:tc>
                <w:tcPr>
                  <w:tcW w:w="238" w:type="dxa"/>
                  <w:vMerge w:val="continue"/>
                  <w:tcBorders>
                    <w:top w:val="nil"/>
                    <w:left w:val="nil"/>
                    <w:bottom w:val="single" w:color="000000" w:sz="4" w:space="0"/>
                    <w:right w:val="single" w:color="000000" w:sz="4" w:space="0"/>
                  </w:tcBorders>
                </w:tcPr>
                <w:p w14:paraId="62C1235D"/>
              </w:tc>
              <w:tc>
                <w:tcPr>
                  <w:tcW w:w="20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FB29D4">
                  <w:pPr>
                    <w:pStyle w:val="16"/>
                    <w:jc w:val="left"/>
                  </w:pPr>
                  <w:r>
                    <w:rPr>
                      <w:rFonts w:ascii="仿宋_GB2312" w:hAnsi="仿宋_GB2312" w:eastAsia="仿宋_GB2312" w:cs="仿宋_GB2312"/>
                      <w:sz w:val="20"/>
                    </w:rPr>
                    <w:t>支持“纵向（本科室同比、环比）、横向（科室间排名）、趋势、结构、差异、预警”等不同方法下的运营分析需求。</w:t>
                  </w:r>
                </w:p>
              </w:tc>
            </w:tr>
          </w:tbl>
          <w:p w14:paraId="1D4893EC"/>
        </w:tc>
      </w:tr>
      <w:tr w14:paraId="1AD9D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41FE4B8">
            <w:pPr>
              <w:pStyle w:val="16"/>
            </w:pPr>
            <w:r>
              <w:rPr>
                <w:rFonts w:ascii="仿宋_GB2312" w:hAnsi="仿宋_GB2312" w:eastAsia="仿宋_GB2312" w:cs="仿宋_GB2312"/>
              </w:rPr>
              <w:t>2</w:t>
            </w:r>
          </w:p>
        </w:tc>
        <w:tc>
          <w:tcPr>
            <w:tcW w:w="2769" w:type="dxa"/>
          </w:tcPr>
          <w:p w14:paraId="335386D2"/>
        </w:tc>
        <w:tc>
          <w:tcPr>
            <w:tcW w:w="2769" w:type="dxa"/>
          </w:tcPr>
          <w:p w14:paraId="34D18F9D">
            <w:pPr>
              <w:pStyle w:val="16"/>
            </w:pPr>
            <w:r>
              <w:rPr>
                <w:rFonts w:ascii="仿宋_GB2312" w:hAnsi="仿宋_GB2312" w:eastAsia="仿宋_GB2312" w:cs="仿宋_GB2312"/>
              </w:rPr>
              <w:t>商务要求：</w:t>
            </w:r>
          </w:p>
          <w:p w14:paraId="10779371">
            <w:pPr>
              <w:pStyle w:val="16"/>
            </w:pPr>
            <w:r>
              <w:rPr>
                <w:rFonts w:ascii="仿宋_GB2312" w:hAnsi="仿宋_GB2312" w:eastAsia="仿宋_GB2312" w:cs="仿宋_GB2312"/>
              </w:rPr>
              <w:t>一、采购需求</w:t>
            </w:r>
          </w:p>
          <w:p w14:paraId="3CB81560">
            <w:pPr>
              <w:pStyle w:val="16"/>
            </w:pPr>
            <w:r>
              <w:rPr>
                <w:rFonts w:ascii="仿宋_GB2312" w:hAnsi="仿宋_GB2312" w:eastAsia="仿宋_GB2312" w:cs="仿宋_GB2312"/>
              </w:rPr>
              <w:t>1、项目预算：90万元/年，包含招标文件中提及的所有要求。</w:t>
            </w:r>
          </w:p>
          <w:p w14:paraId="67941B56">
            <w:pPr>
              <w:pStyle w:val="16"/>
            </w:pPr>
            <w:r>
              <w:rPr>
                <w:rFonts w:ascii="仿宋_GB2312" w:hAnsi="仿宋_GB2312" w:eastAsia="仿宋_GB2312" w:cs="仿宋_GB2312"/>
              </w:rPr>
              <w:t>2、实施范围：本项目所有招标采购内容，需覆盖采购人同一法人下的所有院区中所有涉及的业务科室，并且不限制终端使用数量。</w:t>
            </w:r>
          </w:p>
          <w:p w14:paraId="6D40813B">
            <w:pPr>
              <w:pStyle w:val="16"/>
            </w:pPr>
            <w:r>
              <w:rPr>
                <w:rFonts w:ascii="仿宋_GB2312" w:hAnsi="仿宋_GB2312" w:eastAsia="仿宋_GB2312" w:cs="仿宋_GB2312"/>
              </w:rPr>
              <w:t>3、实施及运营方案：合同签订后，供应商需现场详细调研，根据调研报告出具包含但不限于施工计划、倒排工期的工作任务分解计划等内容的实施方案以及包含但不限于推广、宣传、关注度、使用量等内容的运营方案。</w:t>
            </w:r>
          </w:p>
          <w:p w14:paraId="357F1A24">
            <w:pPr>
              <w:pStyle w:val="16"/>
            </w:pPr>
            <w:r>
              <w:rPr>
                <w:rFonts w:ascii="仿宋_GB2312" w:hAnsi="仿宋_GB2312" w:eastAsia="仿宋_GB2312" w:cs="仿宋_GB2312"/>
              </w:rPr>
              <w:t>4、若相关评级对该项目有要求，供应商需配合采购人完成电子病历系统应用水平分级评价、医院信息互联互通标准化成熟度测评、智慧医院评估工作，包括：协助评价/测评/评估标准的解读、数据填报、实证/文审材料准备、现场迎评以及评审后功能整改等技术支持。</w:t>
            </w:r>
          </w:p>
          <w:p w14:paraId="3387EFF9">
            <w:pPr>
              <w:pStyle w:val="16"/>
            </w:pPr>
            <w:r>
              <w:rPr>
                <w:rFonts w:ascii="仿宋_GB2312" w:hAnsi="仿宋_GB2312" w:eastAsia="仿宋_GB2312" w:cs="仿宋_GB2312"/>
              </w:rPr>
              <w:t>5、若对该项目有要求，供应商需提供和协助采购人通过信息安全等级保护测评工作。</w:t>
            </w:r>
          </w:p>
          <w:p w14:paraId="362A5E7D">
            <w:pPr>
              <w:pStyle w:val="16"/>
            </w:pPr>
            <w:r>
              <w:rPr>
                <w:rFonts w:ascii="仿宋_GB2312" w:hAnsi="仿宋_GB2312" w:eastAsia="仿宋_GB2312" w:cs="仿宋_GB2312"/>
              </w:rPr>
              <w:t>6、接口集成：原则上，供应商需与采购人集成平台进行对接，并负责承建软件数据在集成平台数据的补全。所有涉及改造与对接费用需自行进行评估（采购人不额外支付费用）。</w:t>
            </w:r>
          </w:p>
          <w:p w14:paraId="783B2B88">
            <w:pPr>
              <w:pStyle w:val="16"/>
            </w:pPr>
            <w:r>
              <w:rPr>
                <w:rFonts w:ascii="仿宋_GB2312" w:hAnsi="仿宋_GB2312" w:eastAsia="仿宋_GB2312" w:cs="仿宋_GB2312"/>
              </w:rPr>
              <w:t>7、后期湖仓一体化对接：若采购人后续实施湖仓一体化平台及数据治理项目，供应商须免费提供与湖仓平台的双向对接服务，包括：</w:t>
            </w:r>
          </w:p>
          <w:p w14:paraId="66CB0848">
            <w:pPr>
              <w:pStyle w:val="16"/>
            </w:pPr>
            <w:r>
              <w:rPr>
                <w:rFonts w:ascii="仿宋_GB2312" w:hAnsi="仿宋_GB2312" w:eastAsia="仿宋_GB2312" w:cs="仿宋_GB2312"/>
              </w:rPr>
              <w:t>1）数据入湖：将运营平台的结构化/半结构化数据推送至湖仓，支持常见格式（CSV、Parquet、ORC、JSON 等）与增量同步。</w:t>
            </w:r>
          </w:p>
          <w:p w14:paraId="11AF7A8E">
            <w:pPr>
              <w:pStyle w:val="16"/>
            </w:pPr>
            <w:r>
              <w:rPr>
                <w:rFonts w:ascii="仿宋_GB2312" w:hAnsi="仿宋_GB2312" w:eastAsia="仿宋_GB2312" w:cs="仿宋_GB2312"/>
              </w:rPr>
              <w:t>2）数据出湖：可从湖仓平台通过标准接口（RESTful API、JDBC/ODBC、消息队列等）按需获取运营平台所需的数据，并保障数据时效与一致性。</w:t>
            </w:r>
          </w:p>
          <w:p w14:paraId="74787DB4">
            <w:pPr>
              <w:pStyle w:val="16"/>
            </w:pPr>
            <w:r>
              <w:rPr>
                <w:rFonts w:ascii="仿宋_GB2312" w:hAnsi="仿宋_GB2312" w:eastAsia="仿宋_GB2312" w:cs="仿宋_GB2312"/>
              </w:rPr>
              <w:t>3）必要的数据抽取、转换、清洗改造，以及与数据治理体系的兼容调整（元数据、血缘、质量规则等）。</w:t>
            </w:r>
          </w:p>
          <w:p w14:paraId="6C50C0B1">
            <w:pPr>
              <w:pStyle w:val="16"/>
            </w:pPr>
            <w:r>
              <w:rPr>
                <w:rFonts w:ascii="仿宋_GB2312" w:hAnsi="仿宋_GB2312" w:eastAsia="仿宋_GB2312" w:cs="仿宋_GB2312"/>
              </w:rPr>
              <w:t>不得因湖仓平台品牌或更换而产生额外费用。</w:t>
            </w:r>
          </w:p>
          <w:p w14:paraId="41CEC4FE">
            <w:pPr>
              <w:pStyle w:val="16"/>
            </w:pPr>
            <w:r>
              <w:rPr>
                <w:rFonts w:ascii="仿宋_GB2312" w:hAnsi="仿宋_GB2312" w:eastAsia="仿宋_GB2312" w:cs="仿宋_GB2312"/>
              </w:rPr>
              <w:t>8、使用要求：界面友好，操作方便，结果清晰明了。涉及专科的系统需配合采购人系统进行集成，实现功能需求。</w:t>
            </w:r>
          </w:p>
          <w:p w14:paraId="5ABC76B7">
            <w:pPr>
              <w:pStyle w:val="16"/>
            </w:pPr>
            <w:r>
              <w:rPr>
                <w:rFonts w:ascii="仿宋_GB2312" w:hAnsi="仿宋_GB2312" w:eastAsia="仿宋_GB2312" w:cs="仿宋_GB2312"/>
              </w:rPr>
              <w:t>9、须持续跟踪行业新技术，在合同期内如有成熟的新技术应用（包括但不限于人工智能、大数据分析等技术方向）、标杆经验，应免费向采购人提供，使采购人能够持续享受技术进步、经验积累带来的效益提升。同时，供应商须持续提供平台最新版本的安全能力，包括但不限于数据库安全、应用安全、数据加密、权限访问控制、操作日志审计、抗攻击防护等多项安全技术和策略，并确保平台能够被目前主流防病毒软件及安全工具兼容识别。上述新技术及安全技术的部署更新不得另行收费。</w:t>
            </w:r>
          </w:p>
          <w:p w14:paraId="7A449C73">
            <w:pPr>
              <w:pStyle w:val="16"/>
            </w:pPr>
            <w:r>
              <w:rPr>
                <w:rFonts w:ascii="仿宋_GB2312" w:hAnsi="仿宋_GB2312" w:eastAsia="仿宋_GB2312" w:cs="仿宋_GB2312"/>
              </w:rPr>
              <w:t>10、凡国家、省市及医保、卫健、药监等主管部门政策、法规、行业规则发生调整（含信创国产化、医保政策、药品监管、业务规范变更等），供应商须无条件免费完成系统功能改造、适配升级、接口调整及迁移整改等全部工作，不得另行收取任何费用；</w:t>
            </w:r>
          </w:p>
          <w:p w14:paraId="5B80C015">
            <w:pPr>
              <w:pStyle w:val="16"/>
            </w:pPr>
            <w:r>
              <w:rPr>
                <w:rFonts w:ascii="仿宋_GB2312" w:hAnsi="仿宋_GB2312" w:eastAsia="仿宋_GB2312" w:cs="仿宋_GB2312"/>
              </w:rPr>
              <w:t>11、供应商履约过程中所获悉的国家秘密、工作秘密、商业秘密或者其他应当保密的信息，均有保密义务且不受合同有效期所限；软件及软件产生数据的所有权归采购人所有；所有分析成果（报告、模型、图表）版权归采购人所有，禁止将采购人数据用于供应商自身产品训练或其他客户参考。</w:t>
            </w:r>
          </w:p>
          <w:p w14:paraId="7836749D">
            <w:pPr>
              <w:pStyle w:val="16"/>
            </w:pPr>
            <w:r>
              <w:rPr>
                <w:rFonts w:ascii="仿宋_GB2312" w:hAnsi="仿宋_GB2312" w:eastAsia="仿宋_GB2312" w:cs="仿宋_GB2312"/>
              </w:rPr>
              <w:t>二、项目实施团队要求</w:t>
            </w:r>
          </w:p>
          <w:p w14:paraId="606E4038">
            <w:pPr>
              <w:pStyle w:val="16"/>
            </w:pPr>
            <w:r>
              <w:rPr>
                <w:rFonts w:ascii="仿宋_GB2312" w:hAnsi="仿宋_GB2312" w:eastAsia="仿宋_GB2312" w:cs="仿宋_GB2312"/>
              </w:rPr>
              <w:t>1、供应商须为本项目配备：</w:t>
            </w:r>
          </w:p>
          <w:p w14:paraId="5783BCC5">
            <w:pPr>
              <w:pStyle w:val="16"/>
            </w:pPr>
            <w:r>
              <w:rPr>
                <w:rFonts w:ascii="仿宋_GB2312" w:hAnsi="仿宋_GB2312" w:eastAsia="仿宋_GB2312" w:cs="仿宋_GB2312"/>
              </w:rPr>
              <w:t>1）供应商具有合理的项目服务团队，项目经理必须经验丰富，保证项目正常进行。</w:t>
            </w:r>
          </w:p>
          <w:p w14:paraId="1816F7A7">
            <w:pPr>
              <w:pStyle w:val="16"/>
            </w:pPr>
            <w:r>
              <w:rPr>
                <w:rFonts w:ascii="仿宋_GB2312" w:hAnsi="仿宋_GB2312" w:eastAsia="仿宋_GB2312" w:cs="仿宋_GB2312"/>
              </w:rPr>
              <w:t>2）项目经理具有计算机、统计或数量经济学专业背景（包括学历、职称）。</w:t>
            </w:r>
          </w:p>
          <w:p w14:paraId="59E63969">
            <w:pPr>
              <w:pStyle w:val="16"/>
            </w:pPr>
            <w:r>
              <w:rPr>
                <w:rFonts w:ascii="仿宋_GB2312" w:hAnsi="仿宋_GB2312" w:eastAsia="仿宋_GB2312" w:cs="仿宋_GB2312"/>
              </w:rPr>
              <w:t>3）投入本项目的项目组人员配备充足合理，专业技术人员具有与项目相关的专业背景、专业职称及工作经验并能较好地胜任本项目。</w:t>
            </w:r>
          </w:p>
          <w:p w14:paraId="67DEDBF4">
            <w:pPr>
              <w:pStyle w:val="16"/>
            </w:pPr>
            <w:r>
              <w:rPr>
                <w:rFonts w:ascii="仿宋_GB2312" w:hAnsi="仿宋_GB2312" w:eastAsia="仿宋_GB2312" w:cs="仿宋_GB2312"/>
              </w:rPr>
              <w:t>2、一经确定的项目组成员在实施过程中如因供应商单方面需更换，须提供书面说明，经采购人同意后方可进行调换，项目实施过程中，供应商按照项目所处阶段按需委派相应数量的专业工程师参与项目实施，采购人保留要求和建议的权利。</w:t>
            </w:r>
          </w:p>
          <w:p w14:paraId="1341A237">
            <w:pPr>
              <w:pStyle w:val="16"/>
            </w:pPr>
            <w:r>
              <w:rPr>
                <w:rFonts w:ascii="仿宋_GB2312" w:hAnsi="仿宋_GB2312" w:eastAsia="仿宋_GB2312" w:cs="仿宋_GB2312"/>
              </w:rPr>
              <w:t>三、培训</w:t>
            </w:r>
          </w:p>
          <w:p w14:paraId="3555FE39">
            <w:pPr>
              <w:pStyle w:val="16"/>
            </w:pPr>
            <w:r>
              <w:rPr>
                <w:rFonts w:ascii="仿宋_GB2312" w:hAnsi="仿宋_GB2312" w:eastAsia="仿宋_GB2312" w:cs="仿宋_GB2312"/>
              </w:rPr>
              <w:t>1、系统上线后，供应商不但向采购人用户提供系统使用培训，还需提供技术人员培训，以保证采购人工程师能够掌握软件表结构、数据业务流等技术信息。</w:t>
            </w:r>
          </w:p>
          <w:p w14:paraId="4D9199A8">
            <w:pPr>
              <w:pStyle w:val="16"/>
            </w:pPr>
            <w:r>
              <w:rPr>
                <w:rFonts w:ascii="仿宋_GB2312" w:hAnsi="仿宋_GB2312" w:eastAsia="仿宋_GB2312" w:cs="仿宋_GB2312"/>
              </w:rPr>
              <w:t>2、供应商需提供完整的培训方案，能够针对不同的系统使用角色提供不同的培训课程内容和计划。培训的内容、次数和方式由采购人提出。</w:t>
            </w:r>
          </w:p>
          <w:p w14:paraId="0B56B1B0">
            <w:pPr>
              <w:pStyle w:val="16"/>
            </w:pPr>
            <w:r>
              <w:rPr>
                <w:rFonts w:ascii="仿宋_GB2312" w:hAnsi="仿宋_GB2312" w:eastAsia="仿宋_GB2312" w:cs="仿宋_GB2312"/>
              </w:rPr>
              <w:t>3、培训内容包括但不限于：</w:t>
            </w:r>
          </w:p>
          <w:p w14:paraId="36297496">
            <w:pPr>
              <w:pStyle w:val="16"/>
            </w:pPr>
            <w:r>
              <w:rPr>
                <w:rFonts w:ascii="仿宋_GB2312" w:hAnsi="仿宋_GB2312" w:eastAsia="仿宋_GB2312" w:cs="仿宋_GB2312"/>
              </w:rPr>
              <w:t>①系统软件的采购人使用培训，应用软件操作培训；</w:t>
            </w:r>
          </w:p>
          <w:p w14:paraId="769336C0">
            <w:pPr>
              <w:pStyle w:val="16"/>
            </w:pPr>
            <w:r>
              <w:rPr>
                <w:rFonts w:ascii="仿宋_GB2312" w:hAnsi="仿宋_GB2312" w:eastAsia="仿宋_GB2312" w:cs="仿宋_GB2312"/>
              </w:rPr>
              <w:t>②系统管理培训、采购人技术人员维护培训；</w:t>
            </w:r>
          </w:p>
          <w:p w14:paraId="68F2E9C3">
            <w:pPr>
              <w:pStyle w:val="16"/>
            </w:pPr>
            <w:r>
              <w:rPr>
                <w:rFonts w:ascii="仿宋_GB2312" w:hAnsi="仿宋_GB2312" w:eastAsia="仿宋_GB2312" w:cs="仿宋_GB2312"/>
              </w:rPr>
              <w:t>③应用软件操作疑难问题解答；</w:t>
            </w:r>
          </w:p>
          <w:p w14:paraId="6E795E5B">
            <w:pPr>
              <w:pStyle w:val="16"/>
            </w:pPr>
            <w:r>
              <w:rPr>
                <w:rFonts w:ascii="仿宋_GB2312" w:hAnsi="仿宋_GB2312" w:eastAsia="仿宋_GB2312" w:cs="仿宋_GB2312"/>
              </w:rPr>
              <w:t>④项目所需的运营方案培训。</w:t>
            </w:r>
          </w:p>
          <w:p w14:paraId="610D1BDC">
            <w:pPr>
              <w:pStyle w:val="16"/>
            </w:pPr>
            <w:r>
              <w:rPr>
                <w:rFonts w:ascii="仿宋_GB2312" w:hAnsi="仿宋_GB2312" w:eastAsia="仿宋_GB2312" w:cs="仿宋_GB2312"/>
              </w:rPr>
              <w:t>四、售后</w:t>
            </w:r>
          </w:p>
          <w:p w14:paraId="06F0871C">
            <w:pPr>
              <w:pStyle w:val="16"/>
            </w:pPr>
            <w:r>
              <w:rPr>
                <w:rFonts w:ascii="仿宋_GB2312" w:hAnsi="仿宋_GB2312" w:eastAsia="仿宋_GB2312" w:cs="仿宋_GB2312"/>
              </w:rPr>
              <w:t>1)供应商提供每周7天*24小时不间断的电话支持服务，解答采购人在数据工具使用过程中遇到的问题，及时提出解决问题的建议和操作方法；在确认有必要的情况下供应商在得到通知后24小时内到达现场。</w:t>
            </w:r>
          </w:p>
          <w:p w14:paraId="14684B69">
            <w:pPr>
              <w:pStyle w:val="16"/>
            </w:pPr>
            <w:r>
              <w:rPr>
                <w:rFonts w:ascii="仿宋_GB2312" w:hAnsi="仿宋_GB2312" w:eastAsia="仿宋_GB2312" w:cs="仿宋_GB2312"/>
              </w:rPr>
              <w:t>2）响应级别：30分钟电话响应，4小时提供解决方案。如因不可抗力因素不能在规定时间内到达的，双方另行商定。</w:t>
            </w:r>
          </w:p>
          <w:p w14:paraId="311A7724">
            <w:pPr>
              <w:pStyle w:val="16"/>
            </w:pPr>
            <w:r>
              <w:rPr>
                <w:rFonts w:ascii="仿宋_GB2312" w:hAnsi="仿宋_GB2312" w:eastAsia="仿宋_GB2312" w:cs="仿宋_GB2312"/>
              </w:rPr>
              <w:t>3）服务交付物</w:t>
            </w:r>
          </w:p>
          <w:p w14:paraId="73BB51FD">
            <w:pPr>
              <w:pStyle w:val="16"/>
            </w:pPr>
            <w:r>
              <w:rPr>
                <w:rFonts w:ascii="仿宋_GB2312" w:hAnsi="仿宋_GB2312" w:eastAsia="仿宋_GB2312" w:cs="仿宋_GB2312"/>
              </w:rPr>
              <w:t xml:space="preserve">    1.数据工具，本服务是基于数据工具基础上进行的数据分析，在服务期内需免费提供给采购人使用；</w:t>
            </w:r>
          </w:p>
          <w:p w14:paraId="1885377F">
            <w:pPr>
              <w:pStyle w:val="16"/>
            </w:pPr>
            <w:r>
              <w:rPr>
                <w:rFonts w:ascii="仿宋_GB2312" w:hAnsi="仿宋_GB2312" w:eastAsia="仿宋_GB2312" w:cs="仿宋_GB2312"/>
              </w:rPr>
              <w:t xml:space="preserve">    2.数据更新，每月在收到采购人相关运营数据后要求1周左右完成数据工具数据展示、各项数据分析更新；</w:t>
            </w:r>
          </w:p>
          <w:p w14:paraId="59ED0EA9">
            <w:pPr>
              <w:pStyle w:val="16"/>
            </w:pPr>
            <w:r>
              <w:rPr>
                <w:rFonts w:ascii="仿宋_GB2312" w:hAnsi="仿宋_GB2312" w:eastAsia="仿宋_GB2312" w:cs="仿宋_GB2312"/>
              </w:rPr>
              <w:t xml:space="preserve">    3.数字简报，出具医院运营数字简报（月报、季报、年报）；</w:t>
            </w:r>
          </w:p>
          <w:p w14:paraId="1A932380">
            <w:pPr>
              <w:pStyle w:val="16"/>
              <w:ind w:firstLine="400"/>
            </w:pPr>
            <w:r>
              <w:rPr>
                <w:rFonts w:ascii="仿宋_GB2312" w:hAnsi="仿宋_GB2312" w:eastAsia="仿宋_GB2312" w:cs="仿宋_GB2312"/>
              </w:rPr>
              <w:t>4.培训服务，根据项目推进进展，不同阶段需安排相应内容培训服务。</w:t>
            </w:r>
          </w:p>
          <w:p w14:paraId="37B64212">
            <w:pPr>
              <w:pStyle w:val="16"/>
              <w:ind w:firstLine="400"/>
            </w:pPr>
            <w:r>
              <w:rPr>
                <w:rFonts w:ascii="仿宋_GB2312" w:hAnsi="仿宋_GB2312" w:eastAsia="仿宋_GB2312" w:cs="仿宋_GB2312"/>
              </w:rPr>
              <w:t>5.咨询服务，根据采购人需要，提供全维度咨询服务（含操作指导、故障答疑、运营建议、经验借鉴引入、技术咨询等）。</w:t>
            </w:r>
          </w:p>
          <w:p w14:paraId="5FD0B388">
            <w:pPr>
              <w:pStyle w:val="16"/>
            </w:pPr>
            <w:r>
              <w:rPr>
                <w:rFonts w:ascii="仿宋_GB2312" w:hAnsi="仿宋_GB2312" w:eastAsia="仿宋_GB2312" w:cs="仿宋_GB2312"/>
              </w:rPr>
              <w:t>五、其他要求</w:t>
            </w:r>
          </w:p>
          <w:p w14:paraId="30D878CF">
            <w:pPr>
              <w:pStyle w:val="16"/>
            </w:pPr>
            <w:r>
              <w:rPr>
                <w:rFonts w:ascii="仿宋_GB2312" w:hAnsi="仿宋_GB2312" w:eastAsia="仿宋_GB2312" w:cs="仿宋_GB2312"/>
              </w:rPr>
              <w:t>1、供应商须保证采购人在使用该服务时或其任何一部分时，不受第三方侵权指控。</w:t>
            </w:r>
          </w:p>
          <w:p w14:paraId="04C6980D">
            <w:pPr>
              <w:pStyle w:val="16"/>
            </w:pPr>
            <w:r>
              <w:rPr>
                <w:rFonts w:ascii="仿宋_GB2312" w:hAnsi="仿宋_GB2312" w:eastAsia="仿宋_GB2312" w:cs="仿宋_GB2312"/>
              </w:rPr>
              <w:t>2.所投产品须满足但不局限于以下规范要求(提供书面承诺）：</w:t>
            </w:r>
          </w:p>
          <w:p w14:paraId="2C03BF83">
            <w:pPr>
              <w:pStyle w:val="16"/>
            </w:pPr>
            <w:r>
              <w:rPr>
                <w:rFonts w:ascii="仿宋_GB2312" w:hAnsi="仿宋_GB2312" w:eastAsia="仿宋_GB2312" w:cs="仿宋_GB2312"/>
              </w:rPr>
              <w:t>（1）满足及遵循《全国医院信息化建设标准与规范（试行）》（2018年版）相关要求。</w:t>
            </w:r>
          </w:p>
          <w:p w14:paraId="1070965A">
            <w:pPr>
              <w:pStyle w:val="16"/>
            </w:pPr>
            <w:r>
              <w:rPr>
                <w:rFonts w:ascii="仿宋_GB2312" w:hAnsi="仿宋_GB2312" w:eastAsia="仿宋_GB2312" w:cs="仿宋_GB2312"/>
              </w:rPr>
              <w:t>（2）满足及遵循《智慧医疗分级评价方法及标准》（最新版）6级标准相关要求。</w:t>
            </w:r>
          </w:p>
          <w:p w14:paraId="366BC286">
            <w:pPr>
              <w:pStyle w:val="16"/>
            </w:pPr>
            <w:r>
              <w:rPr>
                <w:rFonts w:ascii="仿宋_GB2312" w:hAnsi="仿宋_GB2312" w:eastAsia="仿宋_GB2312" w:cs="仿宋_GB2312"/>
              </w:rPr>
              <w:t>（3）满足及遵循《国家医疗健康信息医院信息互联互通标准化成熟度测评方案》（2020年版）五级乙等相关要求。</w:t>
            </w:r>
          </w:p>
          <w:p w14:paraId="3C894AC2">
            <w:pPr>
              <w:pStyle w:val="16"/>
            </w:pPr>
            <w:r>
              <w:rPr>
                <w:rFonts w:ascii="仿宋_GB2312" w:hAnsi="仿宋_GB2312" w:eastAsia="仿宋_GB2312" w:cs="仿宋_GB2312"/>
              </w:rPr>
              <w:t>（4）满足及遵循《医院智慧服务分级评估标准体系（试行）》（2019年版）五级相关要求。</w:t>
            </w:r>
          </w:p>
          <w:p w14:paraId="3F6B2809">
            <w:pPr>
              <w:pStyle w:val="16"/>
            </w:pPr>
            <w:r>
              <w:rPr>
                <w:rFonts w:ascii="仿宋_GB2312" w:hAnsi="仿宋_GB2312" w:eastAsia="仿宋_GB2312" w:cs="仿宋_GB2312"/>
              </w:rPr>
              <w:t>（5）满足及遵循《医院智慧管理分级评估标准体系（试行）》五级相关要求。</w:t>
            </w:r>
          </w:p>
          <w:p w14:paraId="5AA8D837">
            <w:pPr>
              <w:pStyle w:val="16"/>
            </w:pPr>
            <w:r>
              <w:rPr>
                <w:rFonts w:ascii="仿宋_GB2312" w:hAnsi="仿宋_GB2312" w:eastAsia="仿宋_GB2312" w:cs="仿宋_GB2312"/>
              </w:rPr>
              <w:t>（6）满足及遵循《国务院办公厅关于推动公立医院高质量发展的意见》。</w:t>
            </w:r>
          </w:p>
          <w:p w14:paraId="243AD516">
            <w:pPr>
              <w:pStyle w:val="16"/>
            </w:pPr>
            <w:r>
              <w:rPr>
                <w:rFonts w:ascii="仿宋_GB2312" w:hAnsi="仿宋_GB2312" w:eastAsia="仿宋_GB2312" w:cs="仿宋_GB2312"/>
              </w:rPr>
              <w:t>（7）满足及遵循《国家三级公立医院绩效监测操作手册》（2025版）相关条款。</w:t>
            </w:r>
          </w:p>
          <w:p w14:paraId="58736AE5">
            <w:pPr>
              <w:pStyle w:val="16"/>
            </w:pPr>
            <w:r>
              <w:rPr>
                <w:rFonts w:ascii="仿宋_GB2312" w:hAnsi="仿宋_GB2312" w:eastAsia="仿宋_GB2312" w:cs="仿宋_GB2312"/>
              </w:rPr>
              <w:t>（8）满足及遵循国家卫健委关于进一步改善医疗服务行动计划相关要求。</w:t>
            </w:r>
          </w:p>
          <w:p w14:paraId="59A72698">
            <w:pPr>
              <w:pStyle w:val="16"/>
            </w:pPr>
            <w:r>
              <w:rPr>
                <w:rFonts w:ascii="仿宋_GB2312" w:hAnsi="仿宋_GB2312" w:eastAsia="仿宋_GB2312" w:cs="仿宋_GB2312"/>
              </w:rPr>
              <w:t>（9）满足及遵循《三级医院评审标准实施细则》和《三级妇幼保健院评审标准实施细则》要求。</w:t>
            </w:r>
          </w:p>
          <w:p w14:paraId="7EA5522C">
            <w:pPr>
              <w:pStyle w:val="16"/>
            </w:pPr>
            <w:r>
              <w:rPr>
                <w:rFonts w:ascii="仿宋_GB2312" w:hAnsi="仿宋_GB2312" w:eastAsia="仿宋_GB2312" w:cs="仿宋_GB2312"/>
              </w:rPr>
              <w:t>（10）满足及遵循《陕西省智慧医院建设细则》（2024版）相关要求。</w:t>
            </w:r>
          </w:p>
          <w:p w14:paraId="515BC484">
            <w:pPr>
              <w:pStyle w:val="16"/>
            </w:pPr>
            <w:r>
              <w:rPr>
                <w:rFonts w:ascii="仿宋_GB2312" w:hAnsi="仿宋_GB2312" w:eastAsia="仿宋_GB2312" w:cs="仿宋_GB2312"/>
              </w:rPr>
              <w:t>3.供应商应确保交付软件的安全性，并提供符合行业标准的安全评估报告，须包含但不限于代码安全审计报告、漏洞扫描报告、渗透测试报告等。若涉及APP须提供APP端数据安全与合规性评估报告、APP业务安全及反欺诈测试报告。</w:t>
            </w:r>
          </w:p>
          <w:p w14:paraId="167ECA45">
            <w:pPr>
              <w:pStyle w:val="16"/>
            </w:pPr>
            <w:r>
              <w:rPr>
                <w:rFonts w:ascii="仿宋_GB2312" w:hAnsi="仿宋_GB2312" w:eastAsia="仿宋_GB2312" w:cs="仿宋_GB2312"/>
              </w:rPr>
              <w:t>供应商须对采购人提供或自行提供的系统资产（包括物理/云服务器、网络及存储设备）承担全生命周期的安全管理责任，配置符合等保2.0三级安全防护要求和采购人指定的安全基线，确保业务的持续性与安全性。</w:t>
            </w:r>
          </w:p>
          <w:p w14:paraId="2DCE83EA">
            <w:pPr>
              <w:pStyle w:val="16"/>
            </w:pPr>
            <w:r>
              <w:rPr>
                <w:rFonts w:ascii="仿宋_GB2312" w:hAnsi="仿宋_GB2312" w:eastAsia="仿宋_GB2312" w:cs="仿宋_GB2312"/>
              </w:rPr>
              <w:t>供应商应积极无条件配合采购人开展（包括但不限于物理/云服务器、网络及存储设备、中间件、数据库、操作系统等）的安全审计、安全加固、渗透测试、应急响应等安全工作，并提供必要的权限支持，且在48小时内提交书面整改计划，发生重大安全事件时，供应商应立即响应并协助取证，确保事件快速处置并将影响降到最低。</w:t>
            </w:r>
          </w:p>
          <w:p w14:paraId="5D8AA00B">
            <w:pPr>
              <w:pStyle w:val="16"/>
            </w:pPr>
            <w:r>
              <w:rPr>
                <w:rFonts w:ascii="仿宋_GB2312" w:hAnsi="仿宋_GB2312" w:eastAsia="仿宋_GB2312" w:cs="仿宋_GB2312"/>
                <w:sz w:val="24"/>
              </w:rPr>
              <w:t>4.如供应商拒绝配合安全合规工作或因其行为导致安全事件，采购人有权解除合同，一切损失由供应商承担，并追究法律责任。</w:t>
            </w:r>
          </w:p>
        </w:tc>
      </w:tr>
    </w:tbl>
    <w:p w14:paraId="0FBB8808">
      <w:pPr>
        <w:pStyle w:val="16"/>
        <w:outlineLvl w:val="2"/>
      </w:pPr>
      <w:r>
        <w:rPr>
          <w:rFonts w:ascii="仿宋_GB2312" w:hAnsi="仿宋_GB2312" w:eastAsia="仿宋_GB2312" w:cs="仿宋_GB2312"/>
          <w:b/>
          <w:sz w:val="28"/>
        </w:rPr>
        <w:t>3.2.3人员配置要求</w:t>
      </w:r>
    </w:p>
    <w:p w14:paraId="7A92D833">
      <w:pPr>
        <w:pStyle w:val="16"/>
      </w:pPr>
      <w:r>
        <w:rPr>
          <w:rFonts w:ascii="仿宋_GB2312" w:hAnsi="仿宋_GB2312" w:eastAsia="仿宋_GB2312" w:cs="仿宋_GB2312"/>
        </w:rPr>
        <w:t>采购包1：</w:t>
      </w:r>
    </w:p>
    <w:p w14:paraId="091A4F75">
      <w:pPr>
        <w:pStyle w:val="16"/>
      </w:pPr>
      <w:r>
        <w:rPr>
          <w:rFonts w:ascii="仿宋_GB2312" w:hAnsi="仿宋_GB2312" w:eastAsia="仿宋_GB2312" w:cs="仿宋_GB2312"/>
        </w:rPr>
        <w:t>详见项目实施团队要求</w:t>
      </w:r>
    </w:p>
    <w:p w14:paraId="32D63BF2">
      <w:pPr>
        <w:pStyle w:val="16"/>
        <w:outlineLvl w:val="2"/>
      </w:pPr>
      <w:r>
        <w:rPr>
          <w:rFonts w:ascii="仿宋_GB2312" w:hAnsi="仿宋_GB2312" w:eastAsia="仿宋_GB2312" w:cs="仿宋_GB2312"/>
          <w:b/>
          <w:sz w:val="28"/>
        </w:rPr>
        <w:t>3.2.4设施设备要求</w:t>
      </w:r>
    </w:p>
    <w:p w14:paraId="408A19A2">
      <w:pPr>
        <w:pStyle w:val="16"/>
      </w:pPr>
      <w:r>
        <w:rPr>
          <w:rFonts w:ascii="仿宋_GB2312" w:hAnsi="仿宋_GB2312" w:eastAsia="仿宋_GB2312" w:cs="仿宋_GB2312"/>
        </w:rPr>
        <w:t>采购包1：</w:t>
      </w:r>
    </w:p>
    <w:p w14:paraId="7AD1D004">
      <w:pPr>
        <w:pStyle w:val="16"/>
      </w:pPr>
      <w:r>
        <w:rPr>
          <w:rFonts w:ascii="仿宋_GB2312" w:hAnsi="仿宋_GB2312" w:eastAsia="仿宋_GB2312" w:cs="仿宋_GB2312"/>
        </w:rPr>
        <w:t>/</w:t>
      </w:r>
    </w:p>
    <w:p w14:paraId="118D67C4">
      <w:pPr>
        <w:pStyle w:val="16"/>
        <w:outlineLvl w:val="2"/>
      </w:pPr>
      <w:r>
        <w:rPr>
          <w:rFonts w:ascii="仿宋_GB2312" w:hAnsi="仿宋_GB2312" w:eastAsia="仿宋_GB2312" w:cs="仿宋_GB2312"/>
          <w:b/>
          <w:sz w:val="28"/>
        </w:rPr>
        <w:t>3.2.5其他要求</w:t>
      </w:r>
    </w:p>
    <w:p w14:paraId="13F88D0A">
      <w:pPr>
        <w:pStyle w:val="16"/>
      </w:pPr>
      <w:r>
        <w:rPr>
          <w:rFonts w:ascii="仿宋_GB2312" w:hAnsi="仿宋_GB2312" w:eastAsia="仿宋_GB2312" w:cs="仿宋_GB2312"/>
        </w:rPr>
        <w:t>采购包1：</w:t>
      </w:r>
    </w:p>
    <w:p w14:paraId="1697DDAE">
      <w:pPr>
        <w:pStyle w:val="16"/>
      </w:pPr>
      <w:r>
        <w:rPr>
          <w:rFonts w:ascii="仿宋_GB2312" w:hAnsi="仿宋_GB2312" w:eastAsia="仿宋_GB2312" w:cs="仿宋_GB2312"/>
        </w:rPr>
        <w:t>项目工期：合同签订后，在不超过60天内各投标人自行报项目工期。</w:t>
      </w:r>
    </w:p>
    <w:p w14:paraId="15E162D4">
      <w:pPr>
        <w:pStyle w:val="16"/>
        <w:outlineLvl w:val="2"/>
      </w:pPr>
      <w:r>
        <w:rPr>
          <w:rFonts w:ascii="仿宋_GB2312" w:hAnsi="仿宋_GB2312" w:eastAsia="仿宋_GB2312" w:cs="仿宋_GB2312"/>
          <w:b/>
          <w:sz w:val="28"/>
        </w:rPr>
        <w:t>3.3商务要求</w:t>
      </w:r>
    </w:p>
    <w:p w14:paraId="214026D4">
      <w:pPr>
        <w:pStyle w:val="16"/>
        <w:outlineLvl w:val="3"/>
      </w:pPr>
      <w:r>
        <w:rPr>
          <w:rFonts w:ascii="仿宋_GB2312" w:hAnsi="仿宋_GB2312" w:eastAsia="仿宋_GB2312" w:cs="仿宋_GB2312"/>
          <w:b/>
          <w:sz w:val="24"/>
        </w:rPr>
        <w:t>3.3.1服务期限</w:t>
      </w:r>
    </w:p>
    <w:p w14:paraId="2AD55054">
      <w:pPr>
        <w:pStyle w:val="16"/>
      </w:pPr>
      <w:r>
        <w:rPr>
          <w:rFonts w:ascii="仿宋_GB2312" w:hAnsi="仿宋_GB2312" w:eastAsia="仿宋_GB2312" w:cs="仿宋_GB2312"/>
        </w:rPr>
        <w:t>采购包1：</w:t>
      </w:r>
    </w:p>
    <w:p w14:paraId="01439929">
      <w:pPr>
        <w:pStyle w:val="16"/>
      </w:pPr>
      <w:r>
        <w:rPr>
          <w:rFonts w:ascii="仿宋_GB2312" w:hAnsi="仿宋_GB2312" w:eastAsia="仿宋_GB2312" w:cs="仿宋_GB2312"/>
        </w:rPr>
        <w:t>服务期限：本项目服务期限为一年，合同期满后经甲方考核合格后续签下一年度合同，最多续签两次，总服务期限不超过三年。</w:t>
      </w:r>
    </w:p>
    <w:p w14:paraId="43CF3278">
      <w:pPr>
        <w:pStyle w:val="16"/>
        <w:outlineLvl w:val="3"/>
      </w:pPr>
      <w:r>
        <w:rPr>
          <w:rFonts w:ascii="仿宋_GB2312" w:hAnsi="仿宋_GB2312" w:eastAsia="仿宋_GB2312" w:cs="仿宋_GB2312"/>
          <w:b/>
          <w:sz w:val="24"/>
        </w:rPr>
        <w:t>3.3.2服务地点</w:t>
      </w:r>
    </w:p>
    <w:p w14:paraId="46D52EB4">
      <w:pPr>
        <w:pStyle w:val="16"/>
      </w:pPr>
      <w:r>
        <w:rPr>
          <w:rFonts w:ascii="仿宋_GB2312" w:hAnsi="仿宋_GB2312" w:eastAsia="仿宋_GB2312" w:cs="仿宋_GB2312"/>
        </w:rPr>
        <w:t>采购包1：</w:t>
      </w:r>
    </w:p>
    <w:p w14:paraId="0E75CDE6">
      <w:pPr>
        <w:pStyle w:val="16"/>
      </w:pPr>
      <w:r>
        <w:rPr>
          <w:rFonts w:ascii="仿宋_GB2312" w:hAnsi="仿宋_GB2312" w:eastAsia="仿宋_GB2312" w:cs="仿宋_GB2312"/>
        </w:rPr>
        <w:t>采购人指定地点</w:t>
      </w:r>
    </w:p>
    <w:p w14:paraId="192F8FD9">
      <w:pPr>
        <w:pStyle w:val="16"/>
        <w:outlineLvl w:val="3"/>
      </w:pPr>
      <w:r>
        <w:rPr>
          <w:rFonts w:ascii="仿宋_GB2312" w:hAnsi="仿宋_GB2312" w:eastAsia="仿宋_GB2312" w:cs="仿宋_GB2312"/>
          <w:b/>
          <w:sz w:val="24"/>
        </w:rPr>
        <w:t>3.3.3考核（验收）标准和方法</w:t>
      </w:r>
    </w:p>
    <w:p w14:paraId="68E28451">
      <w:pPr>
        <w:pStyle w:val="16"/>
      </w:pPr>
      <w:r>
        <w:rPr>
          <w:rFonts w:ascii="仿宋_GB2312" w:hAnsi="仿宋_GB2312" w:eastAsia="仿宋_GB2312" w:cs="仿宋_GB2312"/>
        </w:rPr>
        <w:t>采购包1：</w:t>
      </w:r>
    </w:p>
    <w:p w14:paraId="5BE6B870">
      <w:pPr>
        <w:pStyle w:val="16"/>
      </w:pPr>
      <w:r>
        <w:rPr>
          <w:rFonts w:ascii="仿宋_GB2312" w:hAnsi="仿宋_GB2312" w:eastAsia="仿宋_GB2312" w:cs="仿宋_GB2312"/>
        </w:rPr>
        <w:t>1、供应商完成项目建设功能清单中功能模块试运行，由供应商提出试运行验收申请，采购人组织相关人员（必要时组成院外专家组）进行项目验收，出具项目验收报告，开始计算维保期。 2、在项目验收时，供应商须提供但不限于项目实施方案、使用人员签字的培训记录、验收申请、数据字典及表结构说明、用户手册、数据库用户名及密码等资料。</w:t>
      </w:r>
    </w:p>
    <w:p w14:paraId="322BFEC4">
      <w:pPr>
        <w:pStyle w:val="16"/>
        <w:outlineLvl w:val="3"/>
      </w:pPr>
      <w:r>
        <w:rPr>
          <w:rFonts w:ascii="仿宋_GB2312" w:hAnsi="仿宋_GB2312" w:eastAsia="仿宋_GB2312" w:cs="仿宋_GB2312"/>
          <w:b/>
          <w:sz w:val="24"/>
        </w:rPr>
        <w:t>3.3.4支付方式</w:t>
      </w:r>
    </w:p>
    <w:p w14:paraId="6ECFECCE">
      <w:pPr>
        <w:pStyle w:val="16"/>
      </w:pPr>
      <w:r>
        <w:rPr>
          <w:rFonts w:ascii="仿宋_GB2312" w:hAnsi="仿宋_GB2312" w:eastAsia="仿宋_GB2312" w:cs="仿宋_GB2312"/>
        </w:rPr>
        <w:t>采购包1：</w:t>
      </w:r>
    </w:p>
    <w:p w14:paraId="6DF7E888">
      <w:pPr>
        <w:pStyle w:val="16"/>
      </w:pPr>
      <w:r>
        <w:rPr>
          <w:rFonts w:ascii="仿宋_GB2312" w:hAnsi="仿宋_GB2312" w:eastAsia="仿宋_GB2312" w:cs="仿宋_GB2312"/>
        </w:rPr>
        <w:t>分期付款</w:t>
      </w:r>
    </w:p>
    <w:p w14:paraId="0AD73AA5">
      <w:pPr>
        <w:pStyle w:val="16"/>
        <w:outlineLvl w:val="3"/>
      </w:pPr>
      <w:r>
        <w:rPr>
          <w:rFonts w:ascii="仿宋_GB2312" w:hAnsi="仿宋_GB2312" w:eastAsia="仿宋_GB2312" w:cs="仿宋_GB2312"/>
          <w:b/>
          <w:sz w:val="24"/>
        </w:rPr>
        <w:t>3.3.5支付约定</w:t>
      </w:r>
    </w:p>
    <w:p w14:paraId="7CA96A34">
      <w:pPr>
        <w:pStyle w:val="16"/>
      </w:pPr>
      <w:r>
        <w:rPr>
          <w:rFonts w:ascii="仿宋_GB2312" w:hAnsi="仿宋_GB2312" w:eastAsia="仿宋_GB2312" w:cs="仿宋_GB2312"/>
        </w:rPr>
        <w:t>采购包1：</w:t>
      </w:r>
    </w:p>
    <w:p w14:paraId="38B4BE52">
      <w:pPr>
        <w:pStyle w:val="16"/>
        <w:ind w:firstLine="1200"/>
      </w:pPr>
      <w:r>
        <w:rPr>
          <w:rFonts w:ascii="仿宋_GB2312" w:hAnsi="仿宋_GB2312" w:eastAsia="仿宋_GB2312" w:cs="仿宋_GB2312"/>
        </w:rPr>
        <w:t>1、进度款，完成合同及磋商文件规定的全部内容,采购人确认系统上线试运行初步验收后,开始计算项目服务期，付款前，供应商提供符合税法规定的等额增值税发票，达到付款条件起22个工作日内，支付合同总金额的50.0%</w:t>
      </w:r>
    </w:p>
    <w:p w14:paraId="483BD30C">
      <w:pPr>
        <w:pStyle w:val="16"/>
        <w:ind w:firstLine="1200"/>
      </w:pPr>
      <w:r>
        <w:rPr>
          <w:rFonts w:ascii="仿宋_GB2312" w:hAnsi="仿宋_GB2312" w:eastAsia="仿宋_GB2312" w:cs="仿宋_GB2312"/>
        </w:rPr>
        <w:t>2、进度款，服务期结束，达到付款条件起22个工作日内，支付合同总金额的50.0%</w:t>
      </w:r>
    </w:p>
    <w:p w14:paraId="55E7E41A">
      <w:pPr>
        <w:pStyle w:val="16"/>
        <w:outlineLvl w:val="3"/>
      </w:pPr>
      <w:r>
        <w:rPr>
          <w:rFonts w:ascii="仿宋_GB2312" w:hAnsi="仿宋_GB2312" w:eastAsia="仿宋_GB2312" w:cs="仿宋_GB2312"/>
          <w:b/>
          <w:sz w:val="24"/>
        </w:rPr>
        <w:t>3.3.6违约责任及解决争议的方法</w:t>
      </w:r>
    </w:p>
    <w:p w14:paraId="3C2EA9C5">
      <w:pPr>
        <w:pStyle w:val="16"/>
      </w:pPr>
      <w:r>
        <w:rPr>
          <w:rFonts w:ascii="仿宋_GB2312" w:hAnsi="仿宋_GB2312" w:eastAsia="仿宋_GB2312" w:cs="仿宋_GB2312"/>
        </w:rPr>
        <w:t>采购包1：</w:t>
      </w:r>
    </w:p>
    <w:p w14:paraId="42422E22">
      <w:pPr>
        <w:pStyle w:val="16"/>
      </w:pPr>
      <w:r>
        <w:rPr>
          <w:rFonts w:ascii="仿宋_GB2312" w:hAnsi="仿宋_GB2312" w:eastAsia="仿宋_GB2312" w:cs="仿宋_GB2312"/>
        </w:rPr>
        <w:t>（一）按《中华人民共和国民法典》中的相关条款执行。 （二）未按合同要求的提供技术服务不能满足要求，采购人有权终止合同，供应商应按照合同金额的20%向采购人支付违约金。 （三）因供应商原因未按合同、招标文件规定的要求及期限完成上线工作，每逾期一日向甲方支付1%合同金额作为违约金，最多不超过合同金额的20%。 （四）如供应商拒绝配合安全合规工作或因其行为导致安全事件，采购人有权解除合同，一切损失由供应商承担，并追究法律责任。 具体根据采购文件、响应文件以及合同约定</w:t>
      </w:r>
    </w:p>
    <w:p w14:paraId="5AB30C75">
      <w:pPr>
        <w:pStyle w:val="16"/>
        <w:outlineLvl w:val="2"/>
      </w:pPr>
      <w:r>
        <w:rPr>
          <w:rFonts w:ascii="仿宋_GB2312" w:hAnsi="仿宋_GB2312" w:eastAsia="仿宋_GB2312" w:cs="仿宋_GB2312"/>
          <w:b/>
          <w:sz w:val="28"/>
        </w:rPr>
        <w:t>3.4其他要求</w:t>
      </w:r>
    </w:p>
    <w:p w14:paraId="5A7C1A6E">
      <w:pPr>
        <w:pStyle w:val="16"/>
      </w:pPr>
      <w:r>
        <w:rPr>
          <w:rFonts w:ascii="仿宋_GB2312" w:hAnsi="仿宋_GB2312" w:eastAsia="仿宋_GB2312" w:cs="仿宋_GB2312"/>
        </w:rPr>
        <w:t>一、为顺利推进政府采购电子化交易平台应用工作，供应商需要在线提交所有通过电子化交易平台实施的政府采购项目的响应文件，同时，线下提交纸质版响应文件贰份、电子版壹份（U盘一份）。若线上电子响应文件与纸质响应文件不一致的，以线上电子响应文件为准；线下递交文件时间：详见本项目采购公告提交响应文件截止时间；线下递交文件地点：西安市莲湖区高新一路5号正信大厦A座24楼。 二、保证金退还:（1） 未中标单位：招标结束后，将根据所提供信息退还各投标单位保证金，无需亲自前来办理；（2）中标单位：在采购合同签订并按规定交纳代理服务费后五个工作日内退还。（办理退保证金：需提供与甲方签订的合同原件的扫描件一份（pdf格式）发送至此邮箱（945990512@qq.cpm）,发送时务必备注项目名称、项目编号和标段（无标段可不写）； 中标服务费查询请联系财务部：029-89286620转808。 三、保证金提供电子保函的，于开标截止时间前将保函扫描件发送至此邮箱2290417378@qq.com。 四、付款方式（因文件格式原因，付款方式按照以下约定执行） 1、完成合同及磋商文件规定的全部内容,甲方确认系统上线试运行初步验收后,开始计算项目服务期，达到付款条件起 30 日内，支付合同总价的50%。 2、服务期结束，达到付款条件起 30 日内，考评合格后支付合同金额的50%。 3、付款前，乙方提供符合税法规定的等额增值税发票。</w:t>
      </w:r>
    </w:p>
    <w:p w14:paraId="27B08CAC">
      <w:pPr>
        <w:pStyle w:val="16"/>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9"/>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0"/>
      <w:pBdr>
        <w:bottom w:val="single" w:color="auto" w:sz="6" w:space="2"/>
      </w:pBdr>
      <w:jc w:val="left"/>
    </w:pP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25D1695"/>
    <w:rsid w:val="03124449"/>
    <w:rsid w:val="035C6062"/>
    <w:rsid w:val="03E1456A"/>
    <w:rsid w:val="06EF5394"/>
    <w:rsid w:val="095A1470"/>
    <w:rsid w:val="0DBC5E01"/>
    <w:rsid w:val="108E0B4A"/>
    <w:rsid w:val="12120B1B"/>
    <w:rsid w:val="12814146"/>
    <w:rsid w:val="160C74E6"/>
    <w:rsid w:val="179C1CBE"/>
    <w:rsid w:val="1C7F6FB0"/>
    <w:rsid w:val="1E786385"/>
    <w:rsid w:val="1ECA384D"/>
    <w:rsid w:val="21685574"/>
    <w:rsid w:val="22E00E2D"/>
    <w:rsid w:val="25F86AF1"/>
    <w:rsid w:val="37FF2D77"/>
    <w:rsid w:val="3B1038C1"/>
    <w:rsid w:val="3EFA5C6C"/>
    <w:rsid w:val="40F82EF9"/>
    <w:rsid w:val="469F763F"/>
    <w:rsid w:val="49105DC9"/>
    <w:rsid w:val="49B76F52"/>
    <w:rsid w:val="4C977055"/>
    <w:rsid w:val="51150C7F"/>
    <w:rsid w:val="550A1873"/>
    <w:rsid w:val="56A4373E"/>
    <w:rsid w:val="5A612985"/>
    <w:rsid w:val="5D2E4085"/>
    <w:rsid w:val="672226E7"/>
    <w:rsid w:val="68993E8A"/>
    <w:rsid w:val="68FB4800"/>
    <w:rsid w:val="6CCC3552"/>
    <w:rsid w:val="6D415667"/>
    <w:rsid w:val="723956D2"/>
    <w:rsid w:val="728B13DD"/>
    <w:rsid w:val="76D17E0A"/>
    <w:rsid w:val="79DB43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0"/>
    <w:pPr>
      <w:keepNext/>
      <w:keepLines/>
      <w:spacing w:before="340" w:after="330" w:line="576" w:lineRule="auto"/>
      <w:outlineLvl w:val="0"/>
    </w:pPr>
    <w:rPr>
      <w:b/>
      <w:kern w:val="44"/>
      <w:sz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rPr>
      <w:szCs w:val="20"/>
    </w:rPr>
  </w:style>
  <w:style w:type="paragraph" w:styleId="4">
    <w:name w:val="annotation text"/>
    <w:basedOn w:val="1"/>
    <w:qFormat/>
    <w:uiPriority w:val="0"/>
    <w:pPr>
      <w:jc w:val="left"/>
    </w:pPr>
  </w:style>
  <w:style w:type="paragraph" w:styleId="5">
    <w:name w:val="Body Text"/>
    <w:basedOn w:val="1"/>
    <w:next w:val="1"/>
    <w:qFormat/>
    <w:uiPriority w:val="0"/>
    <w:pPr>
      <w:spacing w:after="120"/>
    </w:pPr>
  </w:style>
  <w:style w:type="paragraph" w:styleId="6">
    <w:name w:val="Body Text Indent"/>
    <w:basedOn w:val="1"/>
    <w:next w:val="7"/>
    <w:qFormat/>
    <w:uiPriority w:val="0"/>
    <w:pPr>
      <w:tabs>
        <w:tab w:val="left" w:pos="480"/>
      </w:tabs>
      <w:spacing w:line="540" w:lineRule="exact"/>
      <w:ind w:firstLine="480" w:firstLineChars="200"/>
    </w:pPr>
    <w:rPr>
      <w:sz w:val="24"/>
    </w:rPr>
  </w:style>
  <w:style w:type="paragraph" w:styleId="7">
    <w:name w:val="Body Text First Indent 2"/>
    <w:basedOn w:val="6"/>
    <w:qFormat/>
    <w:uiPriority w:val="0"/>
    <w:pPr>
      <w:spacing w:after="120" w:line="240" w:lineRule="auto"/>
      <w:ind w:left="420" w:leftChars="200" w:firstLine="420"/>
    </w:pPr>
    <w:rPr>
      <w:sz w:val="21"/>
    </w:rPr>
  </w:style>
  <w:style w:type="paragraph" w:styleId="8">
    <w:name w:val="Plain Text"/>
    <w:basedOn w:val="1"/>
    <w:qFormat/>
    <w:uiPriority w:val="99"/>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1">
    <w:name w:val="Normal (Web)"/>
    <w:basedOn w:val="1"/>
    <w:qFormat/>
    <w:uiPriority w:val="0"/>
    <w:pPr>
      <w:widowControl/>
      <w:spacing w:beforeAutospacing="1" w:after="0" w:afterAutospacing="1"/>
      <w:jc w:val="left"/>
    </w:pPr>
    <w:rPr>
      <w:rFonts w:ascii="宋体" w:hAnsi="宋体"/>
      <w:kern w:val="0"/>
      <w:sz w:val="24"/>
      <w:szCs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列出段落1"/>
    <w:basedOn w:val="1"/>
    <w:qFormat/>
    <w:uiPriority w:val="99"/>
    <w:pPr>
      <w:ind w:firstLine="420" w:firstLineChars="200"/>
    </w:pPr>
    <w:rPr>
      <w:rFonts w:ascii="Calibri" w:hAnsi="Calibri" w:cs="Calibri"/>
    </w:rPr>
  </w:style>
  <w:style w:type="paragraph" w:customStyle="1" w:styleId="16">
    <w:name w:val="null3"/>
    <w:autoRedefine/>
    <w:hidden/>
    <w:qFormat/>
    <w:uiPriority w:val="0"/>
    <w:rPr>
      <w:rFonts w:hint="eastAsia" w:asciiTheme="minorHAnsi" w:hAnsiTheme="minorHAnsi" w:eastAsiaTheme="minorEastAsia" w:cstheme="minorBidi"/>
      <w:lang w:val="en-US" w:eastAsia="zh-Hans"/>
    </w:rPr>
  </w:style>
  <w:style w:type="paragraph" w:styleId="17">
    <w:name w:val="List Paragraph"/>
    <w:basedOn w:val="1"/>
    <w:autoRedefine/>
    <w:qFormat/>
    <w:uiPriority w:val="34"/>
    <w:pPr>
      <w:ind w:firstLine="420"/>
    </w:pPr>
  </w:style>
  <w:style w:type="character" w:customStyle="1" w:styleId="18">
    <w:name w:val="font71"/>
    <w:basedOn w:val="14"/>
    <w:autoRedefine/>
    <w:qFormat/>
    <w:uiPriority w:val="0"/>
    <w:rPr>
      <w:rFonts w:hint="eastAsia" w:ascii="宋体" w:hAnsi="宋体" w:eastAsia="宋体" w:cs="宋体"/>
      <w:color w:val="000000"/>
      <w:sz w:val="22"/>
      <w:szCs w:val="22"/>
      <w:u w:val="none"/>
    </w:rPr>
  </w:style>
  <w:style w:type="character" w:customStyle="1" w:styleId="19">
    <w:name w:val="font91"/>
    <w:basedOn w:val="14"/>
    <w:qFormat/>
    <w:uiPriority w:val="0"/>
    <w:rPr>
      <w:rFonts w:ascii="宋体-简" w:hAnsi="宋体-简" w:eastAsia="宋体-简" w:cs="宋体-简"/>
      <w:color w:val="000000"/>
      <w:sz w:val="22"/>
      <w:szCs w:val="22"/>
      <w:u w:val="none"/>
    </w:rPr>
  </w:style>
  <w:style w:type="character" w:customStyle="1" w:styleId="20">
    <w:name w:val="font21"/>
    <w:basedOn w:val="14"/>
    <w:qFormat/>
    <w:uiPriority w:val="0"/>
    <w:rPr>
      <w:rFonts w:hint="eastAsia" w:ascii="宋体" w:hAnsi="宋体" w:eastAsia="宋体" w:cs="宋体"/>
      <w:color w:val="000000"/>
      <w:sz w:val="21"/>
      <w:szCs w:val="21"/>
      <w:u w:val="none"/>
    </w:rPr>
  </w:style>
  <w:style w:type="paragraph" w:customStyle="1" w:styleId="21">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2">
    <w:name w:val="font11"/>
    <w:basedOn w:val="14"/>
    <w:qFormat/>
    <w:uiPriority w:val="0"/>
    <w:rPr>
      <w:rFonts w:hint="eastAsia" w:ascii="宋体" w:hAnsi="宋体" w:eastAsia="宋体" w:cs="宋体"/>
      <w:color w:val="000000"/>
      <w:sz w:val="21"/>
      <w:szCs w:val="21"/>
      <w:u w:val="none"/>
    </w:rPr>
  </w:style>
  <w:style w:type="character" w:customStyle="1" w:styleId="23">
    <w:name w:val="标题 1 Char"/>
    <w:link w:val="2"/>
    <w:qFormat/>
    <w:uiPriority w:val="0"/>
    <w:rPr>
      <w:b/>
      <w:kern w:val="44"/>
      <w:sz w:val="44"/>
    </w:rPr>
  </w:style>
  <w:style w:type="paragraph" w:customStyle="1" w:styleId="24">
    <w:name w:val="Table Text"/>
    <w:basedOn w:val="1"/>
    <w:semiHidden/>
    <w:qFormat/>
    <w:uiPriority w:val="0"/>
    <w:rPr>
      <w:rFonts w:ascii="宋体" w:hAnsi="宋体" w:eastAsia="宋体" w:cs="宋体"/>
      <w:sz w:val="21"/>
      <w:szCs w:val="21"/>
      <w:lang w:val="en-US" w:eastAsia="en-US" w:bidi="ar-SA"/>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列表段落1"/>
    <w:basedOn w:val="1"/>
    <w:qFormat/>
    <w:uiPriority w:val="0"/>
    <w:pPr>
      <w:spacing w:after="0"/>
      <w:ind w:firstLine="420" w:firstLineChars="200"/>
    </w:pPr>
    <w:rPr>
      <w:szCs w:val="21"/>
    </w:rPr>
  </w:style>
  <w:style w:type="paragraph" w:customStyle="1" w:styleId="27">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6671</Words>
  <Characters>7111</Characters>
  <Lines>0</Lines>
  <Paragraphs>0</Paragraphs>
  <TotalTime>0</TotalTime>
  <ScaleCrop>false</ScaleCrop>
  <LinksUpToDate>false</LinksUpToDate>
  <CharactersWithSpaces>7160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安安</cp:lastModifiedBy>
  <dcterms:modified xsi:type="dcterms:W3CDTF">2026-06-02T06:48:40Z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