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版本号：QXZC-JT2026A001.1B120260721001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临平镇寒寨村“千万工程”示范村壮大村集体经济2025年农机购置项目(二次)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QXZC-JT2026A001.1B1</w:t>
      </w:r>
      <w:r>
        <w:br/>
      </w:r>
      <w:r>
        <w:br/>
      </w:r>
      <w:r>
        <w:br/>
      </w:r>
    </w:p>
    <w:p>
      <w:pPr>
        <w:pStyle w:val="null3"/>
        <w:jc w:val="center"/>
        <w:outlineLvl w:val="2"/>
      </w:pPr>
      <w:r>
        <w:rPr>
          <w:rFonts w:ascii="仿宋_GB2312" w:hAnsi="仿宋_GB2312" w:cs="仿宋_GB2312" w:eastAsia="仿宋_GB2312"/>
          <w:sz w:val="28"/>
          <w:b/>
        </w:rPr>
        <w:t>乾县临平镇人民政府</w:t>
      </w:r>
    </w:p>
    <w:p>
      <w:pPr>
        <w:pStyle w:val="null3"/>
        <w:jc w:val="center"/>
        <w:outlineLvl w:val="2"/>
      </w:pPr>
      <w:r>
        <w:rPr>
          <w:rFonts w:ascii="仿宋_GB2312" w:hAnsi="仿宋_GB2312" w:cs="仿宋_GB2312" w:eastAsia="仿宋_GB2312"/>
          <w:sz w:val="28"/>
          <w:b/>
        </w:rPr>
        <w:t>乾县政府采购中心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乾县政府采购中心</w:t>
      </w:r>
      <w:r>
        <w:rPr>
          <w:rFonts w:ascii="仿宋_GB2312" w:hAnsi="仿宋_GB2312" w:cs="仿宋_GB2312" w:eastAsia="仿宋_GB2312"/>
        </w:rPr>
        <w:t>（以下简称“代理机构”）受</w:t>
      </w:r>
      <w:r>
        <w:rPr>
          <w:rFonts w:ascii="仿宋_GB2312" w:hAnsi="仿宋_GB2312" w:cs="仿宋_GB2312" w:eastAsia="仿宋_GB2312"/>
        </w:rPr>
        <w:t>乾县临平镇人民政府</w:t>
      </w:r>
      <w:r>
        <w:rPr>
          <w:rFonts w:ascii="仿宋_GB2312" w:hAnsi="仿宋_GB2312" w:cs="仿宋_GB2312" w:eastAsia="仿宋_GB2312"/>
        </w:rPr>
        <w:t>委托，拟对</w:t>
      </w:r>
      <w:r>
        <w:rPr>
          <w:rFonts w:ascii="仿宋_GB2312" w:hAnsi="仿宋_GB2312" w:cs="仿宋_GB2312" w:eastAsia="仿宋_GB2312"/>
        </w:rPr>
        <w:t>临平镇寒寨村“千万工程”示范村壮大村集体经济2025年农机购置项目(二次)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QXZC-JT2026A001.1B1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临平镇寒寨村“千万工程”示范村壮大村集体经济2025年农机购置项目(二次)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六行自走式玉米收割机（配套3米宽小麦割台）1台、四行自走式玉米收割机1台。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及报告：提供2025年度完整的财务审计报告或开标时间前三个月内基本账户银行出具的资信证明，成立时间至提交投标文件递交截止时间不足一年的，须提供其基本存款账户开户银行近三个月内出具的银行资信证明或自成立以来的财务报表；</w:t>
      </w:r>
    </w:p>
    <w:p>
      <w:pPr>
        <w:pStyle w:val="null3"/>
      </w:pPr>
      <w:r>
        <w:rPr>
          <w:rFonts w:ascii="仿宋_GB2312" w:hAnsi="仿宋_GB2312" w:cs="仿宋_GB2312" w:eastAsia="仿宋_GB2312"/>
        </w:rPr>
        <w:t>3、社会保障资金缴纳证明：提供截止至开标时间前6个月内任意一个月的社保缴纳凭据或社保机构开具的社会保险参保缴纳情况证明；（依法不需要缴纳社会保障资金的投标人应提供相关证明）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4、税收缴纳证明：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p>
      <w:pPr>
        <w:pStyle w:val="null3"/>
      </w:pPr>
      <w:r>
        <w:rPr>
          <w:rFonts w:ascii="仿宋_GB2312" w:hAnsi="仿宋_GB2312" w:cs="仿宋_GB2312" w:eastAsia="仿宋_GB2312"/>
        </w:rPr>
        <w:t>5、书面声明：参加本次政府采购活动前3年内在经营活动中没有重大违纪的书面声明</w:t>
      </w:r>
    </w:p>
    <w:p>
      <w:pPr>
        <w:pStyle w:val="null3"/>
      </w:pPr>
      <w:r>
        <w:rPr>
          <w:rFonts w:ascii="仿宋_GB2312" w:hAnsi="仿宋_GB2312" w:cs="仿宋_GB2312" w:eastAsia="仿宋_GB2312"/>
        </w:rPr>
        <w:t>6、法人身份证明或法定代表人授权书：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p>
      <w:pPr>
        <w:pStyle w:val="null3"/>
      </w:pPr>
      <w:r>
        <w:rPr>
          <w:rFonts w:ascii="仿宋_GB2312" w:hAnsi="仿宋_GB2312" w:cs="仿宋_GB2312" w:eastAsia="仿宋_GB2312"/>
        </w:rPr>
        <w:t>7、信用信息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pPr>
        <w:pStyle w:val="null3"/>
      </w:pPr>
      <w:r>
        <w:rPr>
          <w:rFonts w:ascii="仿宋_GB2312" w:hAnsi="仿宋_GB2312" w:cs="仿宋_GB2312" w:eastAsia="仿宋_GB2312"/>
        </w:rPr>
        <w:t>8、非联合体投标：本项目要求独立法人，不接受联合体投标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乾县临平镇人民政府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临平镇街道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乾县临平镇人民政府经办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17629101920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乾县政府采购中心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乾县财政局南一楼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许先生/王先生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029-35521143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采购包1：726,800.00元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乾县临平镇人民政府</w:t>
      </w:r>
      <w:r>
        <w:rPr>
          <w:rFonts w:ascii="仿宋_GB2312" w:hAnsi="仿宋_GB2312" w:cs="仿宋_GB2312" w:eastAsia="仿宋_GB2312"/>
        </w:rPr>
        <w:t>和</w:t>
      </w:r>
      <w:r>
        <w:rPr>
          <w:rFonts w:ascii="仿宋_GB2312" w:hAnsi="仿宋_GB2312" w:cs="仿宋_GB2312" w:eastAsia="仿宋_GB2312"/>
        </w:rPr>
        <w:t>乾县政府采购中心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乾县临平镇人民政府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乾县政府采购中心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乾县临平镇人民政府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乾县政府采购中心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依据甲方采购需求标准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联系人：许先生/王先生</w:t>
      </w:r>
    </w:p>
    <w:p>
      <w:pPr>
        <w:pStyle w:val="null3"/>
      </w:pPr>
      <w:r>
        <w:rPr>
          <w:rFonts w:ascii="仿宋_GB2312" w:hAnsi="仿宋_GB2312" w:cs="仿宋_GB2312" w:eastAsia="仿宋_GB2312"/>
        </w:rPr>
        <w:t>联系电话：029-35521143</w:t>
      </w:r>
    </w:p>
    <w:p>
      <w:pPr>
        <w:pStyle w:val="null3"/>
      </w:pPr>
      <w:r>
        <w:rPr>
          <w:rFonts w:ascii="仿宋_GB2312" w:hAnsi="仿宋_GB2312" w:cs="仿宋_GB2312" w:eastAsia="仿宋_GB2312"/>
        </w:rPr>
        <w:t>地址：乾县财政局南一楼</w:t>
      </w:r>
    </w:p>
    <w:p>
      <w:pPr>
        <w:pStyle w:val="null3"/>
      </w:pPr>
      <w:r>
        <w:rPr>
          <w:rFonts w:ascii="仿宋_GB2312" w:hAnsi="仿宋_GB2312" w:cs="仿宋_GB2312" w:eastAsia="仿宋_GB2312"/>
        </w:rPr>
        <w:t>邮编：713300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六行自走式玉米收割机（配套3米宽小麦割台）1台、四行自走式玉米收割机1台。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726,800.00</w:t>
      </w:r>
    </w:p>
    <w:p>
      <w:pPr>
        <w:pStyle w:val="null3"/>
      </w:pPr>
      <w:r>
        <w:rPr>
          <w:rFonts w:ascii="仿宋_GB2312" w:hAnsi="仿宋_GB2312" w:cs="仿宋_GB2312" w:eastAsia="仿宋_GB2312"/>
        </w:rPr>
        <w:t>采购包最高限价（元）: 726,800.00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自走式玉米收割2台（含小麦割台1部）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726,800.00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标的名称：自走式玉米收割2台（含小麦割台1部）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22"/>
              <w:gridCol w:w="474"/>
              <w:gridCol w:w="1483"/>
              <w:gridCol w:w="245"/>
              <w:gridCol w:w="229"/>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序号</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设备名称</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rPr>
                    <w:t>规格参数</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rPr>
                    <w:t>数量</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rPr>
                    <w:t>单位</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br/>
                  </w:r>
                  <w:r>
                    <w:rPr>
                      <w:rFonts w:ascii="仿宋_GB2312" w:hAnsi="仿宋_GB2312" w:cs="仿宋_GB2312" w:eastAsia="仿宋_GB2312"/>
                      <w:sz w:val="18"/>
                      <w:color w:val="0D1627"/>
                      <w:shd w:fill="FFFFFF" w:val="clear"/>
                    </w:rPr>
                    <w:t>自走式玉米收获机（</w:t>
                  </w:r>
                  <w:r>
                    <w:rPr>
                      <w:rFonts w:ascii="仿宋_GB2312" w:hAnsi="仿宋_GB2312" w:cs="仿宋_GB2312" w:eastAsia="仿宋_GB2312"/>
                      <w:sz w:val="18"/>
                      <w:color w:val="000000"/>
                    </w:rPr>
                    <w:t>配套3米幅宽小麦割台一组</w:t>
                  </w:r>
                  <w:r>
                    <w:rPr>
                      <w:rFonts w:ascii="仿宋_GB2312" w:hAnsi="仿宋_GB2312" w:cs="仿宋_GB2312" w:eastAsia="仿宋_GB2312"/>
                      <w:sz w:val="18"/>
                      <w:color w:val="0D1627"/>
                      <w:shd w:fill="FFFFFF" w:val="clear"/>
                    </w:rPr>
                    <w:t>）</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shd w:fill="FFFFFF" w:val="clear"/>
                    </w:rPr>
                    <w:t>配套发动机参数：国四</w:t>
                  </w:r>
                  <w:r>
                    <w:rPr>
                      <w:rFonts w:ascii="仿宋_GB2312" w:hAnsi="仿宋_GB2312" w:cs="仿宋_GB2312" w:eastAsia="仿宋_GB2312"/>
                      <w:sz w:val="18"/>
                      <w:color w:val="000000"/>
                    </w:rPr>
                    <w:t>、</w:t>
                  </w:r>
                  <w:r>
                    <w:rPr>
                      <w:rFonts w:ascii="仿宋_GB2312" w:hAnsi="仿宋_GB2312" w:cs="仿宋_GB2312" w:eastAsia="仿宋_GB2312"/>
                      <w:sz w:val="18"/>
                      <w:color w:val="000000"/>
                      <w:shd w:fill="FFFFFF" w:val="clear"/>
                    </w:rPr>
                    <w:t>标定功率(kW)：≥147</w:t>
                  </w:r>
                  <w:r>
                    <w:rPr>
                      <w:rFonts w:ascii="仿宋_GB2312" w:hAnsi="仿宋_GB2312" w:cs="仿宋_GB2312" w:eastAsia="仿宋_GB2312"/>
                      <w:sz w:val="19"/>
                    </w:rPr>
                    <w:t xml:space="preserve"> </w:t>
                  </w:r>
                  <w:r>
                    <w:br/>
                  </w:r>
                  <w:r>
                    <w:rPr>
                      <w:rFonts w:ascii="仿宋_GB2312" w:hAnsi="仿宋_GB2312" w:cs="仿宋_GB2312" w:eastAsia="仿宋_GB2312"/>
                      <w:sz w:val="18"/>
                      <w:color w:val="000000"/>
                      <w:shd w:fill="FFFFFF" w:val="clear"/>
                    </w:rPr>
                    <w:t>标定转速（r/min）：≥2200</w:t>
                  </w:r>
                  <w:r>
                    <w:rPr>
                      <w:rFonts w:ascii="仿宋_GB2312" w:hAnsi="仿宋_GB2312" w:cs="仿宋_GB2312" w:eastAsia="仿宋_GB2312"/>
                      <w:sz w:val="19"/>
                    </w:rPr>
                    <w:t xml:space="preserve"> </w:t>
                  </w:r>
                  <w:r>
                    <w:br/>
                  </w:r>
                  <w:r>
                    <w:rPr>
                      <w:rFonts w:ascii="仿宋_GB2312" w:hAnsi="仿宋_GB2312" w:cs="仿宋_GB2312" w:eastAsia="仿宋_GB2312"/>
                      <w:sz w:val="18"/>
                      <w:color w:val="000000"/>
                      <w:shd w:fill="FFFFFF" w:val="clear"/>
                    </w:rPr>
                    <w:t>整机外形尺寸(长×宽×高)≥7600×3220×3550 mm</w:t>
                  </w:r>
                  <w:r>
                    <w:br/>
                  </w:r>
                  <w:r>
                    <w:rPr>
                      <w:rFonts w:ascii="仿宋_GB2312" w:hAnsi="仿宋_GB2312" w:cs="仿宋_GB2312" w:eastAsia="仿宋_GB2312"/>
                      <w:sz w:val="18"/>
                      <w:color w:val="000000"/>
                      <w:shd w:fill="FFFFFF" w:val="clear"/>
                    </w:rPr>
                    <w:t>工作幅宽3150±50mm、</w:t>
                  </w:r>
                  <w:r>
                    <w:rPr>
                      <w:rFonts w:ascii="仿宋_GB2312" w:hAnsi="仿宋_GB2312" w:cs="仿宋_GB2312" w:eastAsia="仿宋_GB2312"/>
                      <w:sz w:val="18"/>
                      <w:color w:val="000000"/>
                    </w:rPr>
                    <w:t xml:space="preserve">工作行数（通道数）≥6行  </w:t>
                  </w:r>
                  <w:r>
                    <w:br/>
                  </w:r>
                  <w:r>
                    <w:rPr>
                      <w:rFonts w:ascii="仿宋_GB2312" w:hAnsi="仿宋_GB2312" w:cs="仿宋_GB2312" w:eastAsia="仿宋_GB2312"/>
                      <w:sz w:val="18"/>
                      <w:color w:val="000000"/>
                    </w:rPr>
                    <w:t>行距</w:t>
                  </w:r>
                  <w:r>
                    <w:rPr>
                      <w:rFonts w:ascii="仿宋_GB2312" w:hAnsi="仿宋_GB2312" w:cs="仿宋_GB2312" w:eastAsia="仿宋_GB2312"/>
                      <w:sz w:val="18"/>
                      <w:color w:val="000000"/>
                      <w:shd w:fill="FFFFFF" w:val="clear"/>
                    </w:rPr>
                    <w:t>500±30mm、</w:t>
                  </w:r>
                  <w:r>
                    <w:rPr>
                      <w:rFonts w:ascii="仿宋_GB2312" w:hAnsi="仿宋_GB2312" w:cs="仿宋_GB2312" w:eastAsia="仿宋_GB2312"/>
                      <w:sz w:val="18"/>
                      <w:color w:val="000000"/>
                    </w:rPr>
                    <w:t>最小离地间隙</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rPr>
                    <w:t xml:space="preserve">280mm  </w:t>
                  </w:r>
                  <w:r>
                    <w:br/>
                  </w:r>
                  <w:r>
                    <w:rPr>
                      <w:rFonts w:ascii="仿宋_GB2312" w:hAnsi="仿宋_GB2312" w:cs="仿宋_GB2312" w:eastAsia="仿宋_GB2312"/>
                      <w:sz w:val="18"/>
                      <w:color w:val="000000"/>
                    </w:rPr>
                    <w:t xml:space="preserve">作业速度km/h  </w:t>
                  </w:r>
                  <w:r>
                    <w:rPr>
                      <w:rFonts w:ascii="仿宋_GB2312" w:hAnsi="仿宋_GB2312" w:cs="仿宋_GB2312" w:eastAsia="仿宋_GB2312"/>
                      <w:sz w:val="18"/>
                      <w:color w:val="000000"/>
                      <w:shd w:fill="FFFFFF" w:val="clear"/>
                    </w:rPr>
                    <w:t>1.84～9.79</w:t>
                  </w:r>
                  <w:r>
                    <w:br/>
                  </w:r>
                  <w:r>
                    <w:rPr>
                      <w:rFonts w:ascii="仿宋_GB2312" w:hAnsi="仿宋_GB2312" w:cs="仿宋_GB2312" w:eastAsia="仿宋_GB2312"/>
                      <w:sz w:val="18"/>
                      <w:color w:val="000000"/>
                    </w:rPr>
                    <w:t xml:space="preserve">作业小时生产率h㎡/h  </w:t>
                  </w:r>
                  <w:r>
                    <w:rPr>
                      <w:rFonts w:ascii="仿宋_GB2312" w:hAnsi="仿宋_GB2312" w:cs="仿宋_GB2312" w:eastAsia="仿宋_GB2312"/>
                      <w:sz w:val="18"/>
                      <w:color w:val="000000"/>
                      <w:shd w:fill="FFFFFF" w:val="clear"/>
                    </w:rPr>
                    <w:t>0.5～1.1</w:t>
                  </w:r>
                  <w:r>
                    <w:rPr>
                      <w:rFonts w:ascii="仿宋_GB2312" w:hAnsi="仿宋_GB2312" w:cs="仿宋_GB2312" w:eastAsia="仿宋_GB2312"/>
                      <w:sz w:val="19"/>
                    </w:rPr>
                    <w:t xml:space="preserve">  </w:t>
                  </w:r>
                  <w:r>
                    <w:br/>
                  </w:r>
                  <w:r>
                    <w:rPr>
                      <w:rFonts w:ascii="仿宋_GB2312" w:hAnsi="仿宋_GB2312" w:cs="仿宋_GB2312" w:eastAsia="仿宋_GB2312"/>
                      <w:sz w:val="18"/>
                      <w:color w:val="000000"/>
                    </w:rPr>
                    <w:t xml:space="preserve">驱动型式：两驱 </w:t>
                  </w:r>
                  <w:r>
                    <w:br/>
                  </w:r>
                  <w:r>
                    <w:rPr>
                      <w:rFonts w:ascii="仿宋_GB2312" w:hAnsi="仿宋_GB2312" w:cs="仿宋_GB2312" w:eastAsia="仿宋_GB2312"/>
                      <w:sz w:val="18"/>
                      <w:color w:val="000000"/>
                    </w:rPr>
                    <w:t>轴距</w:t>
                  </w:r>
                  <w:r>
                    <w:rPr>
                      <w:rFonts w:ascii="仿宋_GB2312" w:hAnsi="仿宋_GB2312" w:cs="仿宋_GB2312" w:eastAsia="仿宋_GB2312"/>
                      <w:sz w:val="18"/>
                      <w:color w:val="000000"/>
                      <w:shd w:fill="FFFFFF" w:val="clear"/>
                    </w:rPr>
                    <w:t>≥3000</w:t>
                  </w:r>
                  <w:r>
                    <w:rPr>
                      <w:rFonts w:ascii="仿宋_GB2312" w:hAnsi="仿宋_GB2312" w:cs="仿宋_GB2312" w:eastAsia="仿宋_GB2312"/>
                      <w:sz w:val="18"/>
                      <w:color w:val="000000"/>
                    </w:rPr>
                    <w:t>mm</w:t>
                  </w:r>
                  <w:r>
                    <w:rPr>
                      <w:rFonts w:ascii="仿宋_GB2312" w:hAnsi="仿宋_GB2312" w:cs="仿宋_GB2312" w:eastAsia="仿宋_GB2312"/>
                      <w:sz w:val="19"/>
                    </w:rPr>
                    <w:t xml:space="preserve"> </w:t>
                  </w:r>
                  <w:r>
                    <w:br/>
                  </w:r>
                  <w:r>
                    <w:rPr>
                      <w:rFonts w:ascii="仿宋_GB2312" w:hAnsi="仿宋_GB2312" w:cs="仿宋_GB2312" w:eastAsia="仿宋_GB2312"/>
                      <w:sz w:val="18"/>
                      <w:color w:val="000000"/>
                    </w:rPr>
                    <w:t>导向轮轮距</w:t>
                  </w:r>
                  <w:r>
                    <w:rPr>
                      <w:rFonts w:ascii="仿宋_GB2312" w:hAnsi="仿宋_GB2312" w:cs="仿宋_GB2312" w:eastAsia="仿宋_GB2312"/>
                      <w:sz w:val="18"/>
                      <w:color w:val="000000"/>
                      <w:shd w:fill="FFFFFF" w:val="clear"/>
                    </w:rPr>
                    <w:t>≥1900</w:t>
                  </w:r>
                  <w:r>
                    <w:rPr>
                      <w:rFonts w:ascii="仿宋_GB2312" w:hAnsi="仿宋_GB2312" w:cs="仿宋_GB2312" w:eastAsia="仿宋_GB2312"/>
                      <w:sz w:val="18"/>
                      <w:color w:val="000000"/>
                    </w:rPr>
                    <w:t>mm</w:t>
                  </w:r>
                  <w:r>
                    <w:rPr>
                      <w:rFonts w:ascii="仿宋_GB2312" w:hAnsi="仿宋_GB2312" w:cs="仿宋_GB2312" w:eastAsia="仿宋_GB2312"/>
                      <w:sz w:val="19"/>
                    </w:rPr>
                    <w:t xml:space="preserve"> </w:t>
                  </w:r>
                  <w:r>
                    <w:br/>
                  </w:r>
                  <w:r>
                    <w:rPr>
                      <w:rFonts w:ascii="仿宋_GB2312" w:hAnsi="仿宋_GB2312" w:cs="仿宋_GB2312" w:eastAsia="仿宋_GB2312"/>
                      <w:sz w:val="18"/>
                      <w:color w:val="000000"/>
                    </w:rPr>
                    <w:t>驱动轮轮距</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rPr>
                    <w:t xml:space="preserve">1900 mm   </w:t>
                  </w:r>
                  <w:r>
                    <w:br/>
                  </w:r>
                  <w:r>
                    <w:rPr>
                      <w:rFonts w:ascii="仿宋_GB2312" w:hAnsi="仿宋_GB2312" w:cs="仿宋_GB2312" w:eastAsia="仿宋_GB2312"/>
                      <w:sz w:val="19"/>
                    </w:rPr>
                    <w:t xml:space="preserve">   </w:t>
                  </w:r>
                  <w:r>
                    <w:rPr>
                      <w:rFonts w:ascii="仿宋_GB2312" w:hAnsi="仿宋_GB2312" w:cs="仿宋_GB2312" w:eastAsia="仿宋_GB2312"/>
                      <w:sz w:val="18"/>
                      <w:color w:val="000000"/>
                    </w:rPr>
                    <w:t>配套3米幅宽小麦割台一组</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shd w:fill="FFFFFF" w:val="clear"/>
                    </w:rPr>
                    <w:t>1</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shd w:fill="FFFFFF" w:val="clear"/>
                    </w:rPr>
                    <w:t>台</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自走式玉米收获机</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shd w:fill="FFFFFF" w:val="clear"/>
                    </w:rPr>
                    <w:t>配套发动机参数：国四</w:t>
                  </w:r>
                  <w:r>
                    <w:rPr>
                      <w:rFonts w:ascii="仿宋_GB2312" w:hAnsi="仿宋_GB2312" w:cs="仿宋_GB2312" w:eastAsia="仿宋_GB2312"/>
                      <w:sz w:val="18"/>
                      <w:color w:val="000000"/>
                    </w:rPr>
                    <w:t>、额定功率</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rPr>
                    <w:t xml:space="preserve">191kW    </w:t>
                  </w:r>
                  <w:r>
                    <w:br/>
                  </w:r>
                  <w:r>
                    <w:rPr>
                      <w:rFonts w:ascii="仿宋_GB2312" w:hAnsi="仿宋_GB2312" w:cs="仿宋_GB2312" w:eastAsia="仿宋_GB2312"/>
                      <w:sz w:val="18"/>
                      <w:color w:val="000000"/>
                    </w:rPr>
                    <w:t>整机外形尺寸(长×宽×高)</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rPr>
                    <w:t xml:space="preserve">7280×2820×3500mm、工作行数（通道数）≥4行   </w:t>
                  </w:r>
                  <w:r>
                    <w:br/>
                  </w:r>
                  <w:r>
                    <w:rPr>
                      <w:rFonts w:ascii="仿宋_GB2312" w:hAnsi="仿宋_GB2312" w:cs="仿宋_GB2312" w:eastAsia="仿宋_GB2312"/>
                      <w:sz w:val="18"/>
                      <w:color w:val="000000"/>
                    </w:rPr>
                    <w:t xml:space="preserve">行距  </w:t>
                  </w:r>
                  <w:r>
                    <w:rPr>
                      <w:rFonts w:ascii="仿宋_GB2312" w:hAnsi="仿宋_GB2312" w:cs="仿宋_GB2312" w:eastAsia="仿宋_GB2312"/>
                      <w:sz w:val="18"/>
                      <w:color w:val="000000"/>
                      <w:shd w:fill="FFFFFF" w:val="clear"/>
                    </w:rPr>
                    <w:t>500±30mm、</w:t>
                  </w:r>
                  <w:r>
                    <w:rPr>
                      <w:rFonts w:ascii="仿宋_GB2312" w:hAnsi="仿宋_GB2312" w:cs="仿宋_GB2312" w:eastAsia="仿宋_GB2312"/>
                      <w:sz w:val="18"/>
                      <w:color w:val="000000"/>
                    </w:rPr>
                    <w:t>工作幅宽2380</w:t>
                  </w:r>
                  <w:r>
                    <w:rPr>
                      <w:rFonts w:ascii="仿宋_GB2312" w:hAnsi="仿宋_GB2312" w:cs="仿宋_GB2312" w:eastAsia="仿宋_GB2312"/>
                      <w:sz w:val="18"/>
                      <w:color w:val="000000"/>
                      <w:shd w:fill="FFFFFF" w:val="clear"/>
                    </w:rPr>
                    <w:t>±50mm</w:t>
                  </w:r>
                  <w:r>
                    <w:rPr>
                      <w:rFonts w:ascii="仿宋_GB2312" w:hAnsi="仿宋_GB2312" w:cs="仿宋_GB2312" w:eastAsia="仿宋_GB2312"/>
                      <w:sz w:val="19"/>
                    </w:rPr>
                    <w:t xml:space="preserve"> </w:t>
                  </w:r>
                  <w:r>
                    <w:br/>
                  </w:r>
                  <w:r>
                    <w:rPr>
                      <w:rFonts w:ascii="仿宋_GB2312" w:hAnsi="仿宋_GB2312" w:cs="仿宋_GB2312" w:eastAsia="仿宋_GB2312"/>
                      <w:sz w:val="18"/>
                      <w:color w:val="000000"/>
                    </w:rPr>
                    <w:t>最小离地间隙</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rPr>
                    <w:t xml:space="preserve">250mm  </w:t>
                  </w:r>
                  <w:r>
                    <w:br/>
                  </w:r>
                  <w:r>
                    <w:rPr>
                      <w:rFonts w:ascii="仿宋_GB2312" w:hAnsi="仿宋_GB2312" w:cs="仿宋_GB2312" w:eastAsia="仿宋_GB2312"/>
                      <w:sz w:val="18"/>
                      <w:color w:val="000000"/>
                    </w:rPr>
                    <w:t>作业速度* km/h</w:t>
                  </w:r>
                  <w:r>
                    <w:rPr>
                      <w:rFonts w:ascii="仿宋_GB2312" w:hAnsi="仿宋_GB2312" w:cs="仿宋_GB2312" w:eastAsia="仿宋_GB2312"/>
                      <w:sz w:val="19"/>
                    </w:rPr>
                    <w:t xml:space="preserve"> </w:t>
                  </w:r>
                  <w:r>
                    <w:rPr>
                      <w:rFonts w:ascii="仿宋_GB2312" w:hAnsi="仿宋_GB2312" w:cs="仿宋_GB2312" w:eastAsia="仿宋_GB2312"/>
                      <w:sz w:val="18"/>
                      <w:color w:val="000000"/>
                    </w:rPr>
                    <w:t xml:space="preserve">1.83～9  </w:t>
                  </w:r>
                  <w:r>
                    <w:br/>
                  </w:r>
                  <w:r>
                    <w:rPr>
                      <w:rFonts w:ascii="仿宋_GB2312" w:hAnsi="仿宋_GB2312" w:cs="仿宋_GB2312" w:eastAsia="仿宋_GB2312"/>
                      <w:sz w:val="18"/>
                      <w:color w:val="000000"/>
                    </w:rPr>
                    <w:t xml:space="preserve">作业小时生产率* hm2/h 0.3~0.8  </w:t>
                  </w:r>
                  <w:r>
                    <w:br/>
                  </w:r>
                  <w:r>
                    <w:rPr>
                      <w:rFonts w:ascii="仿宋_GB2312" w:hAnsi="仿宋_GB2312" w:cs="仿宋_GB2312" w:eastAsia="仿宋_GB2312"/>
                      <w:sz w:val="18"/>
                      <w:color w:val="000000"/>
                    </w:rPr>
                    <w:t>轴距</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rPr>
                    <w:t xml:space="preserve">3000mm   </w:t>
                  </w:r>
                  <w:r>
                    <w:br/>
                  </w:r>
                  <w:r>
                    <w:rPr>
                      <w:rFonts w:ascii="仿宋_GB2312" w:hAnsi="仿宋_GB2312" w:cs="仿宋_GB2312" w:eastAsia="仿宋_GB2312"/>
                      <w:sz w:val="18"/>
                      <w:color w:val="000000"/>
                    </w:rPr>
                    <w:t>导向轮轮距</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rPr>
                    <w:t xml:space="preserve">1700mm  </w:t>
                  </w:r>
                  <w:r>
                    <w:br/>
                  </w:r>
                  <w:r>
                    <w:rPr>
                      <w:rFonts w:ascii="仿宋_GB2312" w:hAnsi="仿宋_GB2312" w:cs="仿宋_GB2312" w:eastAsia="仿宋_GB2312"/>
                      <w:sz w:val="18"/>
                      <w:color w:val="000000"/>
                    </w:rPr>
                    <w:t>驱动轮轮距</w:t>
                  </w:r>
                  <w:r>
                    <w:rPr>
                      <w:rFonts w:ascii="仿宋_GB2312" w:hAnsi="仿宋_GB2312" w:cs="仿宋_GB2312" w:eastAsia="仿宋_GB2312"/>
                      <w:sz w:val="18"/>
                      <w:color w:val="000000"/>
                      <w:shd w:fill="FFFFFF" w:val="clear"/>
                    </w:rPr>
                    <w:t>≥</w:t>
                  </w:r>
                  <w:r>
                    <w:rPr>
                      <w:rFonts w:ascii="仿宋_GB2312" w:hAnsi="仿宋_GB2312" w:cs="仿宋_GB2312" w:eastAsia="仿宋_GB2312"/>
                      <w:sz w:val="18"/>
                      <w:color w:val="000000"/>
                    </w:rPr>
                    <w:t xml:space="preserve"> 1735mm  </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shd w:fill="FFFFFF" w:val="clear"/>
                    </w:rPr>
                    <w:t>1</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shd w:fill="FFFFFF" w:val="clear"/>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15个工作日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乾县临平镇寒寨村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进度款，项目验收合格后，以最终的价格为准，，达到付款条件起30个工作日内，支付合同总金额的30.0%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进度款，项目验收合格后，以最终的价格为准，，达到付款条件起30个工作日内，支付合同总金额的30.0%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进度款，项目验收合格后，以最终的价格为准，，达到付款条件起30个工作日内，支付合同总金额的40.0%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按照国家相关法律和规定，按照要求维保。</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按照现行相关法律要求执行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财务状况及报告</w:t>
            </w:r>
          </w:p>
        </w:tc>
        <w:tc>
          <w:tcPr>
            <w:tcW w:type="dxa" w:w="3322"/>
          </w:tcPr>
          <w:p>
            <w:pPr>
              <w:pStyle w:val="null3"/>
            </w:pPr>
            <w:r>
              <w:rPr>
                <w:rFonts w:ascii="仿宋_GB2312" w:hAnsi="仿宋_GB2312" w:cs="仿宋_GB2312" w:eastAsia="仿宋_GB2312"/>
              </w:rPr>
              <w:t>提供2025年度完整的财务审计报告或开标时间前三个月内基本账户银行出具的资信证明，成立时间至提交投标文件递交截止时间不足一年的，须提供其基本存款账户开户银行近三个月内出具的银行资信证明或自成立以来的财务报表；</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提供截止至开标时间前6个月内任意一个月的社保缴纳凭据或社保机构开具的社会保险参保缴纳情况证明；（依法不需要缴纳社会保障资金的投标人应提供相关证明）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参加本次政府采购活动前3年内在经营活动中没有重大违纪的书面声明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法人身份证明或法定代表人授权书</w:t>
            </w:r>
          </w:p>
        </w:tc>
        <w:tc>
          <w:tcPr>
            <w:tcW w:type="dxa" w:w="3322"/>
          </w:tcPr>
          <w:p>
            <w:pPr>
              <w:pStyle w:val="null3"/>
            </w:pPr>
            <w:r>
              <w:rPr>
                <w:rFonts w:ascii="仿宋_GB2312" w:hAnsi="仿宋_GB2312" w:cs="仿宋_GB2312" w:eastAsia="仿宋_GB2312"/>
              </w:rPr>
              <w:t>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tc>
        <w:tc>
          <w:tcPr>
            <w:tcW w:type="dxa" w:w="1661"/>
          </w:tcPr>
          <w:p>
            <w:pPr>
              <w:pStyle w:val="null3"/>
            </w:pPr>
            <w:r>
              <w:rPr>
                <w:rFonts w:ascii="仿宋_GB2312" w:hAnsi="仿宋_GB2312" w:cs="仿宋_GB2312" w:eastAsia="仿宋_GB2312"/>
              </w:rPr>
              <w:t>投标人应提供的相应资质证明材料.docx 法定代表人证明书与授权委托书..docx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本项目要求独立法人，不接受联合体投标</w:t>
            </w:r>
          </w:p>
        </w:tc>
        <w:tc>
          <w:tcPr>
            <w:tcW w:type="dxa" w:w="1661"/>
          </w:tcPr>
          <w:p>
            <w:pPr>
              <w:pStyle w:val="null3"/>
            </w:pPr>
            <w:r>
              <w:rPr>
                <w:rFonts w:ascii="仿宋_GB2312" w:hAnsi="仿宋_GB2312" w:cs="仿宋_GB2312" w:eastAsia="仿宋_GB2312"/>
              </w:rPr>
              <w:t>投标人应提供的相应资质证明材料.docx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除明确允许供应商可以自行编写的外，谈判响应文件应按照谈判文件给定的格式编制。</w:t>
            </w:r>
          </w:p>
        </w:tc>
        <w:tc>
          <w:tcPr>
            <w:tcW w:type="dxa" w:w="1661"/>
          </w:tcPr>
          <w:p>
            <w:pPr>
              <w:pStyle w:val="null3"/>
            </w:pPr>
            <w:r>
              <w:rPr>
                <w:rFonts w:ascii="仿宋_GB2312" w:hAnsi="仿宋_GB2312" w:cs="仿宋_GB2312" w:eastAsia="仿宋_GB2312"/>
              </w:rPr>
              <w:t>响应文件封面 产品技术参数表 分项报价表.docx 投标人应提供的相应资质证明材料.docx 中小企业声明函 残疾人福利性单位声明函 商务应答表 标的清单 报价表 响应函 法定代表人证明书与授权委托书..docx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供应商名称应与获取谈判文件的单位名称一致。</w:t>
            </w:r>
          </w:p>
        </w:tc>
        <w:tc>
          <w:tcPr>
            <w:tcW w:type="dxa" w:w="1661"/>
          </w:tcPr>
          <w:p>
            <w:pPr>
              <w:pStyle w:val="null3"/>
            </w:pPr>
            <w:r>
              <w:rPr>
                <w:rFonts w:ascii="仿宋_GB2312" w:hAnsi="仿宋_GB2312" w:cs="仿宋_GB2312" w:eastAsia="仿宋_GB2312"/>
              </w:rPr>
              <w:t>响应文件封面 产品技术参数表 分项报价表.docx 投标人应提供的相应资质证明材料.docx 中小企业声明函 残疾人福利性单位声明函 商务应答表 标的清单 报价表 响应函 法定代表人证明书与授权委托书..docx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招标响应文件应按照谈判文件的要求盖章签字。</w:t>
            </w:r>
          </w:p>
        </w:tc>
        <w:tc>
          <w:tcPr>
            <w:tcW w:type="dxa" w:w="1661"/>
          </w:tcPr>
          <w:p>
            <w:pPr>
              <w:pStyle w:val="null3"/>
            </w:pPr>
            <w:r>
              <w:rPr>
                <w:rFonts w:ascii="仿宋_GB2312" w:hAnsi="仿宋_GB2312" w:cs="仿宋_GB2312" w:eastAsia="仿宋_GB2312"/>
              </w:rPr>
              <w:t>响应文件封面 产品技术参数表 分项报价表.docx 投标人应提供的相应资质证明材料.docx 中小企业声明函 残疾人福利性单位声明函 商务应答表 标的清单 报价表 响应函 法定代表人证明书与授权委托书..docx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投标有效期应符合谈判文件的要求。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对谈判文件商务要求作了明确且实质性响应。</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对谈判文件技术要求作了明确且实质性响应。</w:t>
            </w:r>
          </w:p>
        </w:tc>
        <w:tc>
          <w:tcPr>
            <w:tcW w:type="dxa" w:w="1661"/>
          </w:tcPr>
          <w:p>
            <w:pPr>
              <w:pStyle w:val="null3"/>
            </w:pPr>
            <w:r>
              <w:rPr>
                <w:rFonts w:ascii="仿宋_GB2312" w:hAnsi="仿宋_GB2312" w:cs="仿宋_GB2312" w:eastAsia="仿宋_GB2312"/>
              </w:rPr>
              <w:t>响应文件封面 产品技术参数表 标的清单</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详见附件：投标人应提供的相应资质证明材料.docx</w:t>
      </w:r>
    </w:p>
    <w:p>
      <w:pPr>
        <w:pStyle w:val="null3"/>
        <w:ind w:firstLine="960"/>
      </w:pPr>
      <w:r>
        <w:rPr>
          <w:rFonts w:ascii="仿宋_GB2312" w:hAnsi="仿宋_GB2312" w:cs="仿宋_GB2312" w:eastAsia="仿宋_GB2312"/>
        </w:rPr>
        <w:t>详见附件：法定代表人证明书与授权委托书..docx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详见附件：物资类合同模板.docx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