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03CF75">
      <w:pPr>
        <w:jc w:val="center"/>
        <w:rPr>
          <w:b/>
          <w:sz w:val="36"/>
          <w:szCs w:val="36"/>
        </w:rPr>
      </w:pPr>
      <w:r>
        <w:rPr>
          <w:rFonts w:hint="eastAsia"/>
          <w:b/>
          <w:sz w:val="36"/>
          <w:szCs w:val="36"/>
        </w:rPr>
        <w:t>项 目 概 况</w:t>
      </w:r>
    </w:p>
    <w:p w14:paraId="223B9C39">
      <w:pPr>
        <w:jc w:val="center"/>
        <w:rPr>
          <w:b/>
          <w:sz w:val="36"/>
          <w:szCs w:val="36"/>
        </w:rPr>
      </w:pPr>
    </w:p>
    <w:p w14:paraId="78F2F1AB">
      <w:pPr>
        <w:rPr>
          <w:sz w:val="30"/>
          <w:szCs w:val="30"/>
        </w:rPr>
      </w:pPr>
      <w:r>
        <w:rPr>
          <w:rFonts w:hint="eastAsia"/>
          <w:sz w:val="30"/>
          <w:szCs w:val="30"/>
        </w:rPr>
        <w:t>1、项目名称：《</w:t>
      </w:r>
      <w:r>
        <w:rPr>
          <w:rFonts w:hint="eastAsia"/>
          <w:sz w:val="30"/>
          <w:szCs w:val="30"/>
          <w:lang w:val="en-US" w:eastAsia="zh-CN"/>
        </w:rPr>
        <w:t>榆阳区</w:t>
      </w:r>
      <w:r>
        <w:rPr>
          <w:rFonts w:hint="eastAsia"/>
          <w:sz w:val="30"/>
          <w:szCs w:val="30"/>
        </w:rPr>
        <w:t>融媒体中心</w:t>
      </w:r>
      <w:r>
        <w:rPr>
          <w:rFonts w:hint="eastAsia"/>
          <w:sz w:val="30"/>
          <w:szCs w:val="30"/>
          <w:lang w:val="en-US" w:eastAsia="zh-CN"/>
        </w:rPr>
        <w:t>平台运营服务项目</w:t>
      </w:r>
      <w:r>
        <w:rPr>
          <w:rFonts w:hint="eastAsia"/>
          <w:sz w:val="30"/>
          <w:szCs w:val="30"/>
        </w:rPr>
        <w:t>》</w:t>
      </w:r>
    </w:p>
    <w:p w14:paraId="752BC889">
      <w:pPr>
        <w:rPr>
          <w:rFonts w:hint="default" w:eastAsiaTheme="minorEastAsia"/>
          <w:sz w:val="30"/>
          <w:szCs w:val="30"/>
          <w:lang w:val="en-US" w:eastAsia="zh-CN"/>
        </w:rPr>
      </w:pPr>
      <w:r>
        <w:rPr>
          <w:rFonts w:hint="eastAsia"/>
          <w:sz w:val="30"/>
          <w:szCs w:val="30"/>
        </w:rPr>
        <w:t>2、</w:t>
      </w:r>
      <w:r>
        <w:rPr>
          <w:rFonts w:hint="eastAsia"/>
          <w:sz w:val="30"/>
          <w:szCs w:val="30"/>
          <w:lang w:val="en-US" w:eastAsia="zh-CN"/>
        </w:rPr>
        <w:t>项目</w:t>
      </w:r>
      <w:r>
        <w:rPr>
          <w:rFonts w:hint="eastAsia"/>
          <w:sz w:val="30"/>
          <w:szCs w:val="30"/>
        </w:rPr>
        <w:t>性质：</w:t>
      </w:r>
      <w:r>
        <w:rPr>
          <w:rFonts w:hint="eastAsia"/>
          <w:sz w:val="30"/>
          <w:szCs w:val="30"/>
          <w:lang w:val="en-US" w:eastAsia="zh-CN"/>
        </w:rPr>
        <w:t>政府购买</w:t>
      </w:r>
    </w:p>
    <w:p w14:paraId="285BC23E">
      <w:pPr>
        <w:rPr>
          <w:rFonts w:hint="default" w:eastAsiaTheme="minorEastAsia"/>
          <w:sz w:val="30"/>
          <w:szCs w:val="30"/>
          <w:lang w:val="en-US" w:eastAsia="zh-CN"/>
        </w:rPr>
      </w:pPr>
      <w:r>
        <w:rPr>
          <w:rFonts w:hint="eastAsia"/>
          <w:sz w:val="30"/>
          <w:szCs w:val="30"/>
        </w:rPr>
        <w:t>3、建设单位：</w:t>
      </w:r>
      <w:r>
        <w:rPr>
          <w:rFonts w:hint="eastAsia"/>
          <w:sz w:val="30"/>
          <w:szCs w:val="30"/>
          <w:lang w:val="en-US" w:eastAsia="zh-CN"/>
        </w:rPr>
        <w:t>榆阳区融媒体中心</w:t>
      </w:r>
    </w:p>
    <w:p w14:paraId="60E337B7">
      <w:pPr>
        <w:rPr>
          <w:rFonts w:hint="eastAsia" w:eastAsiaTheme="minorEastAsia"/>
          <w:sz w:val="30"/>
          <w:szCs w:val="30"/>
          <w:lang w:eastAsia="zh-CN"/>
        </w:rPr>
      </w:pPr>
      <w:r>
        <w:rPr>
          <w:rFonts w:hint="eastAsia"/>
          <w:sz w:val="30"/>
          <w:szCs w:val="30"/>
        </w:rPr>
        <w:t>4、项目负责人：</w:t>
      </w:r>
      <w:r>
        <w:rPr>
          <w:rFonts w:hint="eastAsia"/>
          <w:sz w:val="30"/>
          <w:szCs w:val="30"/>
          <w:lang w:val="en-US" w:eastAsia="zh-CN"/>
        </w:rPr>
        <w:t>焦勇</w:t>
      </w:r>
    </w:p>
    <w:p w14:paraId="45C5C6B8">
      <w:pPr>
        <w:rPr>
          <w:rFonts w:hint="eastAsia"/>
          <w:sz w:val="30"/>
          <w:szCs w:val="30"/>
          <w:lang w:val="en-US" w:eastAsia="zh-CN"/>
        </w:rPr>
      </w:pPr>
      <w:r>
        <w:rPr>
          <w:rFonts w:hint="eastAsia"/>
          <w:sz w:val="30"/>
          <w:szCs w:val="30"/>
        </w:rPr>
        <w:t>5、</w:t>
      </w:r>
      <w:r>
        <w:rPr>
          <w:rFonts w:hint="eastAsia"/>
          <w:sz w:val="30"/>
          <w:szCs w:val="30"/>
          <w:lang w:val="en-US" w:eastAsia="zh-CN"/>
        </w:rPr>
        <w:t>项目</w:t>
      </w:r>
      <w:r>
        <w:rPr>
          <w:rFonts w:hint="eastAsia"/>
          <w:sz w:val="30"/>
          <w:szCs w:val="30"/>
        </w:rPr>
        <w:t>地点：</w:t>
      </w:r>
      <w:r>
        <w:rPr>
          <w:rFonts w:hint="eastAsia"/>
          <w:sz w:val="30"/>
          <w:szCs w:val="30"/>
          <w:lang w:val="en-US" w:eastAsia="zh-CN"/>
        </w:rPr>
        <w:t>榆林市上郡中路170号</w:t>
      </w:r>
    </w:p>
    <w:p w14:paraId="5EACB34D">
      <w:pPr>
        <w:rPr>
          <w:rFonts w:hint="eastAsia"/>
          <w:sz w:val="30"/>
          <w:szCs w:val="30"/>
        </w:rPr>
      </w:pPr>
      <w:r>
        <w:rPr>
          <w:rFonts w:hint="eastAsia"/>
          <w:sz w:val="30"/>
          <w:szCs w:val="30"/>
        </w:rPr>
        <w:t>6、</w:t>
      </w:r>
      <w:r>
        <w:rPr>
          <w:rFonts w:hint="eastAsia"/>
          <w:sz w:val="30"/>
          <w:szCs w:val="30"/>
          <w:lang w:val="en-US" w:eastAsia="zh-CN"/>
        </w:rPr>
        <w:t>项目服务</w:t>
      </w:r>
      <w:r>
        <w:rPr>
          <w:rFonts w:hint="eastAsia"/>
          <w:sz w:val="30"/>
          <w:szCs w:val="30"/>
        </w:rPr>
        <w:t>期限：</w:t>
      </w:r>
      <w:r>
        <w:rPr>
          <w:rFonts w:hint="eastAsia"/>
          <w:sz w:val="30"/>
          <w:szCs w:val="30"/>
          <w:lang w:val="en-US" w:eastAsia="zh-CN"/>
        </w:rPr>
        <w:t>12</w:t>
      </w:r>
      <w:r>
        <w:rPr>
          <w:rFonts w:hint="eastAsia"/>
          <w:sz w:val="30"/>
          <w:szCs w:val="30"/>
        </w:rPr>
        <w:t>个月（20</w:t>
      </w:r>
      <w:r>
        <w:rPr>
          <w:rFonts w:hint="eastAsia"/>
          <w:sz w:val="30"/>
          <w:szCs w:val="30"/>
          <w:lang w:val="en-US" w:eastAsia="zh-CN"/>
        </w:rPr>
        <w:t>25</w:t>
      </w:r>
      <w:r>
        <w:rPr>
          <w:rFonts w:hint="eastAsia"/>
          <w:sz w:val="30"/>
          <w:szCs w:val="30"/>
        </w:rPr>
        <w:t>年</w:t>
      </w:r>
      <w:r>
        <w:rPr>
          <w:rFonts w:hint="eastAsia"/>
          <w:sz w:val="30"/>
          <w:szCs w:val="30"/>
          <w:lang w:val="en-US" w:eastAsia="zh-CN"/>
        </w:rPr>
        <w:t>10</w:t>
      </w:r>
      <w:r>
        <w:rPr>
          <w:rFonts w:hint="eastAsia"/>
          <w:sz w:val="30"/>
          <w:szCs w:val="30"/>
        </w:rPr>
        <w:t>月-20</w:t>
      </w:r>
      <w:r>
        <w:rPr>
          <w:rFonts w:hint="eastAsia"/>
          <w:sz w:val="30"/>
          <w:szCs w:val="30"/>
          <w:lang w:val="en-US" w:eastAsia="zh-CN"/>
        </w:rPr>
        <w:t>27</w:t>
      </w:r>
      <w:r>
        <w:rPr>
          <w:rFonts w:hint="eastAsia"/>
          <w:sz w:val="30"/>
          <w:szCs w:val="30"/>
        </w:rPr>
        <w:t>年</w:t>
      </w:r>
      <w:r>
        <w:rPr>
          <w:rFonts w:hint="eastAsia"/>
          <w:sz w:val="30"/>
          <w:szCs w:val="30"/>
          <w:lang w:val="en-US" w:eastAsia="zh-CN"/>
        </w:rPr>
        <w:t>10</w:t>
      </w:r>
      <w:r>
        <w:rPr>
          <w:rFonts w:hint="eastAsia"/>
          <w:sz w:val="30"/>
          <w:szCs w:val="30"/>
        </w:rPr>
        <w:t>月）</w:t>
      </w:r>
    </w:p>
    <w:p w14:paraId="4F51907F">
      <w:pPr>
        <w:rPr>
          <w:rFonts w:hint="default" w:eastAsiaTheme="minorEastAsia"/>
          <w:sz w:val="30"/>
          <w:szCs w:val="30"/>
          <w:lang w:val="en-US" w:eastAsia="zh-CN"/>
        </w:rPr>
      </w:pPr>
      <w:r>
        <w:rPr>
          <w:rFonts w:hint="eastAsia"/>
          <w:sz w:val="30"/>
          <w:szCs w:val="30"/>
        </w:rPr>
        <w:t>7、项目资金：</w:t>
      </w:r>
      <w:r>
        <w:rPr>
          <w:rFonts w:hint="eastAsia"/>
          <w:sz w:val="30"/>
          <w:szCs w:val="30"/>
          <w:lang w:val="en-US" w:eastAsia="zh-CN"/>
        </w:rPr>
        <w:t>208</w:t>
      </w:r>
      <w:r>
        <w:rPr>
          <w:rFonts w:hint="eastAsia"/>
          <w:sz w:val="30"/>
          <w:szCs w:val="30"/>
        </w:rPr>
        <w:t>万元</w:t>
      </w:r>
      <w:r>
        <w:rPr>
          <w:rFonts w:hint="eastAsia"/>
          <w:sz w:val="30"/>
          <w:szCs w:val="30"/>
          <w:lang w:val="en-US" w:eastAsia="zh-CN"/>
        </w:rPr>
        <w:t>/年</w:t>
      </w:r>
    </w:p>
    <w:p w14:paraId="34D9C6A7">
      <w:pPr>
        <w:rPr>
          <w:sz w:val="30"/>
          <w:szCs w:val="30"/>
        </w:rPr>
      </w:pPr>
      <w:r>
        <w:rPr>
          <w:rFonts w:hint="eastAsia"/>
          <w:sz w:val="30"/>
          <w:szCs w:val="30"/>
        </w:rPr>
        <w:t>8、项目规模及内容：</w:t>
      </w:r>
      <w:bookmarkStart w:id="0" w:name="_GoBack"/>
      <w:bookmarkEnd w:id="0"/>
    </w:p>
    <w:p w14:paraId="4D40A695">
      <w:pPr>
        <w:ind w:firstLine="600" w:firstLineChars="200"/>
        <w:rPr>
          <w:sz w:val="30"/>
          <w:szCs w:val="30"/>
        </w:rPr>
      </w:pPr>
      <w:r>
        <w:rPr>
          <w:rFonts w:hint="eastAsia"/>
          <w:sz w:val="30"/>
          <w:szCs w:val="30"/>
          <w:lang w:val="en-US" w:eastAsia="zh-CN"/>
        </w:rPr>
        <w:t>榆阳区融媒体中心</w:t>
      </w:r>
      <w:r>
        <w:rPr>
          <w:rFonts w:hint="eastAsia"/>
          <w:sz w:val="30"/>
          <w:szCs w:val="30"/>
        </w:rPr>
        <w:t>承担着全</w:t>
      </w:r>
      <w:r>
        <w:rPr>
          <w:rFonts w:hint="eastAsia"/>
          <w:sz w:val="30"/>
          <w:szCs w:val="30"/>
          <w:lang w:val="en-US" w:eastAsia="zh-CN"/>
        </w:rPr>
        <w:t>区</w:t>
      </w:r>
      <w:r>
        <w:rPr>
          <w:rFonts w:hint="eastAsia"/>
          <w:sz w:val="30"/>
          <w:szCs w:val="30"/>
        </w:rPr>
        <w:t>广播节目、电视节目的采集、编辑、播放等任务，担负着向全</w:t>
      </w:r>
      <w:r>
        <w:rPr>
          <w:rFonts w:hint="eastAsia"/>
          <w:sz w:val="30"/>
          <w:szCs w:val="30"/>
          <w:lang w:val="en-US" w:eastAsia="zh-CN"/>
        </w:rPr>
        <w:t>全</w:t>
      </w:r>
      <w:r>
        <w:rPr>
          <w:rFonts w:hint="eastAsia"/>
          <w:sz w:val="30"/>
          <w:szCs w:val="30"/>
        </w:rPr>
        <w:t>人民宣传国家、省、市重要活动的工作。为贯彻落实习近平总书记在全国宣传思想工作会议上的重要讲话精神，顺应媒体融合发展的新形势，具体内容包括：</w:t>
      </w:r>
      <w:r>
        <w:rPr>
          <w:rFonts w:hint="eastAsia"/>
          <w:sz w:val="30"/>
          <w:szCs w:val="30"/>
          <w:lang w:val="en-US" w:eastAsia="zh-CN"/>
        </w:rPr>
        <w:t>融媒体云平台资源服务；</w:t>
      </w:r>
      <w:r>
        <w:rPr>
          <w:rFonts w:hint="eastAsia"/>
          <w:sz w:val="30"/>
          <w:szCs w:val="30"/>
        </w:rPr>
        <w:t>融媒体“中央厨房”平台系统</w:t>
      </w:r>
      <w:r>
        <w:rPr>
          <w:rFonts w:hint="eastAsia"/>
          <w:sz w:val="30"/>
          <w:szCs w:val="30"/>
          <w:lang w:val="en-US" w:eastAsia="zh-CN"/>
        </w:rPr>
        <w:t>服务</w:t>
      </w:r>
      <w:r>
        <w:rPr>
          <w:rFonts w:hint="eastAsia"/>
          <w:sz w:val="30"/>
          <w:szCs w:val="30"/>
        </w:rPr>
        <w:t>；融媒体舆情监测平台系统</w:t>
      </w:r>
      <w:r>
        <w:rPr>
          <w:rFonts w:hint="eastAsia"/>
          <w:sz w:val="30"/>
          <w:szCs w:val="30"/>
          <w:lang w:val="en-US" w:eastAsia="zh-CN"/>
        </w:rPr>
        <w:t>服务</w:t>
      </w:r>
      <w:r>
        <w:rPr>
          <w:rFonts w:hint="eastAsia"/>
          <w:sz w:val="30"/>
          <w:szCs w:val="30"/>
        </w:rPr>
        <w:t>；</w:t>
      </w:r>
      <w:r>
        <w:rPr>
          <w:rFonts w:hint="eastAsia"/>
          <w:sz w:val="30"/>
          <w:szCs w:val="30"/>
          <w:lang w:val="en-US" w:eastAsia="zh-CN"/>
        </w:rPr>
        <w:t>融媒体统一平台服务；融媒体宣传指挥系统服务；融媒体“爱系列”客户端服务；电视</w:t>
      </w:r>
      <w:r>
        <w:rPr>
          <w:rFonts w:hint="eastAsia"/>
          <w:sz w:val="30"/>
          <w:szCs w:val="30"/>
        </w:rPr>
        <w:t>端呈现平台系统</w:t>
      </w:r>
      <w:r>
        <w:rPr>
          <w:rFonts w:hint="eastAsia"/>
          <w:sz w:val="30"/>
          <w:szCs w:val="30"/>
          <w:lang w:val="en-US" w:eastAsia="zh-CN"/>
        </w:rPr>
        <w:t>服务</w:t>
      </w:r>
      <w:r>
        <w:rPr>
          <w:rFonts w:hint="eastAsia"/>
          <w:sz w:val="30"/>
          <w:szCs w:val="30"/>
        </w:rPr>
        <w:t>；</w:t>
      </w:r>
      <w:r>
        <w:rPr>
          <w:rFonts w:hint="eastAsia"/>
          <w:sz w:val="30"/>
          <w:szCs w:val="30"/>
          <w:lang w:val="en-US" w:eastAsia="zh-CN"/>
        </w:rPr>
        <w:t>融媒体内容共享服务；融媒体应用商店服务；融媒体指挥中台服务；</w:t>
      </w:r>
      <w:r>
        <w:rPr>
          <w:rFonts w:hint="eastAsia"/>
          <w:sz w:val="30"/>
          <w:szCs w:val="30"/>
        </w:rPr>
        <w:t>融媒体大厅和外部显示屏系统</w:t>
      </w:r>
      <w:r>
        <w:rPr>
          <w:rFonts w:hint="eastAsia"/>
          <w:sz w:val="30"/>
          <w:szCs w:val="30"/>
          <w:lang w:val="en-US" w:eastAsia="zh-CN"/>
        </w:rPr>
        <w:t>运营维护</w:t>
      </w:r>
      <w:r>
        <w:rPr>
          <w:rFonts w:hint="eastAsia"/>
          <w:sz w:val="30"/>
          <w:szCs w:val="30"/>
        </w:rPr>
        <w:t>；融媒体机房系统</w:t>
      </w:r>
      <w:r>
        <w:rPr>
          <w:rFonts w:hint="eastAsia"/>
          <w:sz w:val="30"/>
          <w:szCs w:val="30"/>
          <w:lang w:val="en-US" w:eastAsia="zh-CN"/>
        </w:rPr>
        <w:t>运营维护</w:t>
      </w:r>
      <w:r>
        <w:rPr>
          <w:rFonts w:hint="eastAsia"/>
          <w:sz w:val="30"/>
          <w:szCs w:val="30"/>
        </w:rPr>
        <w:t>。</w:t>
      </w:r>
    </w:p>
    <w:p w14:paraId="08975EE7">
      <w:pPr>
        <w:jc w:val="center"/>
        <w:rPr>
          <w:b/>
          <w:sz w:val="30"/>
          <w:szCs w:val="30"/>
        </w:rPr>
      </w:pPr>
    </w:p>
    <w:p w14:paraId="59F3ED99">
      <w:pPr>
        <w:jc w:val="center"/>
        <w:rPr>
          <w:b/>
          <w:sz w:val="30"/>
          <w:szCs w:val="30"/>
        </w:rPr>
      </w:pPr>
    </w:p>
    <w:p w14:paraId="74D51DEF">
      <w:pPr>
        <w:jc w:val="center"/>
        <w:rPr>
          <w:b/>
          <w:sz w:val="30"/>
          <w:szCs w:val="30"/>
        </w:rPr>
      </w:pPr>
    </w:p>
    <w:p w14:paraId="44A973DA">
      <w:pPr>
        <w:jc w:val="center"/>
        <w:rPr>
          <w:rFonts w:hint="eastAsia"/>
          <w:b/>
          <w:sz w:val="36"/>
          <w:szCs w:val="36"/>
        </w:rPr>
      </w:pPr>
    </w:p>
    <w:p w14:paraId="76FFAA65">
      <w:pPr>
        <w:jc w:val="center"/>
        <w:rPr>
          <w:rFonts w:hint="eastAsia"/>
          <w:b/>
          <w:sz w:val="36"/>
          <w:szCs w:val="36"/>
        </w:rPr>
      </w:pPr>
    </w:p>
    <w:p w14:paraId="2A56FBEF">
      <w:pPr>
        <w:jc w:val="center"/>
        <w:rPr>
          <w:b/>
          <w:sz w:val="36"/>
          <w:szCs w:val="36"/>
        </w:rPr>
      </w:pPr>
      <w:r>
        <w:rPr>
          <w:rFonts w:hint="eastAsia"/>
          <w:b/>
          <w:sz w:val="36"/>
          <w:szCs w:val="36"/>
        </w:rPr>
        <w:t>采用单一来源采购方式的原因</w:t>
      </w:r>
    </w:p>
    <w:p w14:paraId="2A07390A">
      <w:pPr>
        <w:jc w:val="center"/>
        <w:rPr>
          <w:b/>
          <w:sz w:val="36"/>
          <w:szCs w:val="36"/>
        </w:rPr>
      </w:pPr>
    </w:p>
    <w:p w14:paraId="67844541">
      <w:pPr>
        <w:tabs>
          <w:tab w:val="left" w:pos="4621"/>
        </w:tabs>
        <w:ind w:firstLine="600" w:firstLineChars="200"/>
        <w:jc w:val="left"/>
        <w:rPr>
          <w:sz w:val="30"/>
          <w:szCs w:val="30"/>
        </w:rPr>
      </w:pPr>
      <w:r>
        <w:rPr>
          <w:rFonts w:hint="eastAsia"/>
          <w:sz w:val="30"/>
          <w:szCs w:val="30"/>
        </w:rPr>
        <w:t>根据中共陕西省委宣传部文件&lt;陕宣发[2019]12号&gt;，中共陕西省委宣传部关于印发《陕西省加强县级融媒体中心建设实施方案》的通知中的第三项建设规范内容：为加强技术标准的统一规范，由陕西广电网络传媒公司依据《县级融媒体中心建设规范》《县级融媒体中心省级技术平台规范要求》，建设覆盖全省、互联互通的“秦岭云”省级技术平台，开设新闻信息发布、政务信息发布、应急信息发布、民生服务提供等功能。各县级融媒体中心按照全省“一张网”和“一地一端”原则，依托省级技术平台建设客户端。省级平台提供技术支撑、运营维护、资源整合，县级融媒体中心负责内容生产、审核、分发。</w:t>
      </w:r>
    </w:p>
    <w:p w14:paraId="2B01443D">
      <w:pPr>
        <w:tabs>
          <w:tab w:val="left" w:pos="4621"/>
        </w:tabs>
        <w:ind w:firstLine="600" w:firstLineChars="200"/>
        <w:jc w:val="left"/>
        <w:rPr>
          <w:sz w:val="30"/>
          <w:szCs w:val="30"/>
        </w:rPr>
      </w:pPr>
      <w:r>
        <w:rPr>
          <w:rFonts w:hint="eastAsia"/>
          <w:sz w:val="30"/>
          <w:szCs w:val="30"/>
        </w:rPr>
        <w:t>（后附文件复印件）</w:t>
      </w:r>
    </w:p>
    <w:p w14:paraId="6902C0A7">
      <w:pPr>
        <w:tabs>
          <w:tab w:val="left" w:pos="4621"/>
        </w:tabs>
        <w:ind w:firstLine="600" w:firstLineChars="200"/>
        <w:jc w:val="left"/>
        <w:rPr>
          <w:sz w:val="30"/>
          <w:szCs w:val="30"/>
        </w:rPr>
      </w:pPr>
    </w:p>
    <w:p w14:paraId="346EFE39">
      <w:pPr>
        <w:tabs>
          <w:tab w:val="left" w:pos="4621"/>
        </w:tabs>
        <w:ind w:firstLine="600" w:firstLineChars="200"/>
        <w:jc w:val="left"/>
        <w:rPr>
          <w:sz w:val="30"/>
          <w:szCs w:val="30"/>
        </w:rPr>
      </w:pPr>
    </w:p>
    <w:p w14:paraId="3C96EF24">
      <w:pPr>
        <w:tabs>
          <w:tab w:val="left" w:pos="4621"/>
        </w:tabs>
        <w:ind w:firstLine="600" w:firstLineChars="200"/>
        <w:jc w:val="left"/>
        <w:rPr>
          <w:sz w:val="30"/>
          <w:szCs w:val="30"/>
        </w:rPr>
      </w:pPr>
    </w:p>
    <w:p w14:paraId="34F6B400">
      <w:pPr>
        <w:tabs>
          <w:tab w:val="left" w:pos="4621"/>
        </w:tabs>
        <w:ind w:firstLine="600" w:firstLineChars="200"/>
        <w:jc w:val="left"/>
        <w:rPr>
          <w:sz w:val="30"/>
          <w:szCs w:val="30"/>
        </w:rPr>
      </w:pPr>
    </w:p>
    <w:p w14:paraId="08A71DEA">
      <w:pPr>
        <w:tabs>
          <w:tab w:val="left" w:pos="4621"/>
        </w:tabs>
        <w:ind w:firstLine="600" w:firstLineChars="200"/>
        <w:jc w:val="left"/>
        <w:rPr>
          <w:sz w:val="30"/>
          <w:szCs w:val="30"/>
        </w:rPr>
      </w:pPr>
    </w:p>
    <w:p w14:paraId="40DC4822">
      <w:pPr>
        <w:tabs>
          <w:tab w:val="left" w:pos="4621"/>
        </w:tabs>
        <w:ind w:firstLine="600" w:firstLineChars="200"/>
        <w:jc w:val="left"/>
        <w:rPr>
          <w:sz w:val="30"/>
          <w:szCs w:val="30"/>
        </w:rPr>
      </w:pPr>
    </w:p>
    <w:p w14:paraId="699CB003">
      <w:pPr>
        <w:tabs>
          <w:tab w:val="left" w:pos="4621"/>
        </w:tabs>
        <w:ind w:firstLine="600" w:firstLineChars="200"/>
        <w:jc w:val="left"/>
        <w:rPr>
          <w:sz w:val="30"/>
          <w:szCs w:val="30"/>
        </w:rPr>
      </w:pPr>
    </w:p>
    <w:p w14:paraId="3DA1BF59">
      <w:pPr>
        <w:tabs>
          <w:tab w:val="left" w:pos="4621"/>
        </w:tabs>
        <w:ind w:firstLine="600" w:firstLineChars="200"/>
        <w:jc w:val="left"/>
        <w:rPr>
          <w:sz w:val="30"/>
          <w:szCs w:val="30"/>
        </w:rPr>
      </w:pPr>
    </w:p>
    <w:p w14:paraId="02E09135">
      <w:pPr>
        <w:tabs>
          <w:tab w:val="left" w:pos="4621"/>
        </w:tabs>
        <w:ind w:firstLine="600" w:firstLineChars="200"/>
        <w:jc w:val="left"/>
        <w:rPr>
          <w:sz w:val="30"/>
          <w:szCs w:val="30"/>
        </w:rPr>
      </w:pPr>
    </w:p>
    <w:p w14:paraId="246008D8">
      <w:pPr>
        <w:tabs>
          <w:tab w:val="left" w:pos="4621"/>
        </w:tabs>
        <w:ind w:firstLine="600" w:firstLineChars="200"/>
        <w:jc w:val="left"/>
        <w:rPr>
          <w:sz w:val="30"/>
          <w:szCs w:val="30"/>
        </w:rPr>
      </w:pPr>
      <w:r>
        <w:rPr>
          <w:rFonts w:hint="eastAsia"/>
          <w:sz w:val="30"/>
          <w:szCs w:val="30"/>
        </w:rPr>
        <w:drawing>
          <wp:inline distT="0" distB="0" distL="0" distR="0">
            <wp:extent cx="5274310" cy="7032625"/>
            <wp:effectExtent l="19050" t="0" r="2540" b="0"/>
            <wp:docPr id="1" name="图片 0" descr="微信图片_20190724145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微信图片_20190724145731.jpg"/>
                    <pic:cNvPicPr>
                      <a:picLocks noChangeAspect="1"/>
                    </pic:cNvPicPr>
                  </pic:nvPicPr>
                  <pic:blipFill>
                    <a:blip r:embed="rId4"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2" name="图片 1" descr="微信图片_201907241457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微信图片_201907241457311.jpg"/>
                    <pic:cNvPicPr>
                      <a:picLocks noChangeAspect="1"/>
                    </pic:cNvPicPr>
                  </pic:nvPicPr>
                  <pic:blipFill>
                    <a:blip r:embed="rId5"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3" name="图片 2" descr="微信图片_201907241457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微信图片_201907241457312.jpg"/>
                    <pic:cNvPicPr>
                      <a:picLocks noChangeAspect="1"/>
                    </pic:cNvPicPr>
                  </pic:nvPicPr>
                  <pic:blipFill>
                    <a:blip r:embed="rId6"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4" name="图片 3" descr="微信图片_201907241457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微信图片_201907241457313.jpg"/>
                    <pic:cNvPicPr>
                      <a:picLocks noChangeAspect="1"/>
                    </pic:cNvPicPr>
                  </pic:nvPicPr>
                  <pic:blipFill>
                    <a:blip r:embed="rId7"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5" name="图片 4" descr="微信图片_201907241457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微信图片_201907241457314.jpg"/>
                    <pic:cNvPicPr>
                      <a:picLocks noChangeAspect="1"/>
                    </pic:cNvPicPr>
                  </pic:nvPicPr>
                  <pic:blipFill>
                    <a:blip r:embed="rId8"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6" name="图片 5" descr="微信图片_201907241457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微信图片_201907241457315.jpg"/>
                    <pic:cNvPicPr>
                      <a:picLocks noChangeAspect="1"/>
                    </pic:cNvPicPr>
                  </pic:nvPicPr>
                  <pic:blipFill>
                    <a:blip r:embed="rId9"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7" name="图片 6" descr="微信图片_201907241457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微信图片_201907241457316.jpg"/>
                    <pic:cNvPicPr>
                      <a:picLocks noChangeAspect="1"/>
                    </pic:cNvPicPr>
                  </pic:nvPicPr>
                  <pic:blipFill>
                    <a:blip r:embed="rId10" cstate="print"/>
                    <a:stretch>
                      <a:fillRect/>
                    </a:stretch>
                  </pic:blipFill>
                  <pic:spPr>
                    <a:xfrm>
                      <a:off x="0" y="0"/>
                      <a:ext cx="5274310" cy="7032625"/>
                    </a:xfrm>
                    <a:prstGeom prst="rect">
                      <a:avLst/>
                    </a:prstGeom>
                  </pic:spPr>
                </pic:pic>
              </a:graphicData>
            </a:graphic>
          </wp:inline>
        </w:drawing>
      </w:r>
      <w:r>
        <w:rPr>
          <w:rFonts w:hint="eastAsia"/>
          <w:sz w:val="30"/>
          <w:szCs w:val="30"/>
        </w:rPr>
        <w:drawing>
          <wp:inline distT="0" distB="0" distL="0" distR="0">
            <wp:extent cx="5274310" cy="7032625"/>
            <wp:effectExtent l="19050" t="0" r="2540" b="0"/>
            <wp:docPr id="8" name="图片 7" descr="微信图片_201907241457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微信图片_201907241457317.jpg"/>
                    <pic:cNvPicPr>
                      <a:picLocks noChangeAspect="1"/>
                    </pic:cNvPicPr>
                  </pic:nvPicPr>
                  <pic:blipFill>
                    <a:blip r:embed="rId11" cstate="print"/>
                    <a:stretch>
                      <a:fillRect/>
                    </a:stretch>
                  </pic:blipFill>
                  <pic:spPr>
                    <a:xfrm>
                      <a:off x="0" y="0"/>
                      <a:ext cx="5274310" cy="703262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iMjdkYmE2ODVlNjVlMGNlODI3ZTEzZmJiYzU3NTUifQ=="/>
  </w:docVars>
  <w:rsids>
    <w:rsidRoot w:val="00DF16B4"/>
    <w:rsid w:val="00141FAC"/>
    <w:rsid w:val="00232E62"/>
    <w:rsid w:val="002F52C2"/>
    <w:rsid w:val="0030070D"/>
    <w:rsid w:val="00376239"/>
    <w:rsid w:val="00427817"/>
    <w:rsid w:val="004E3DEE"/>
    <w:rsid w:val="005B5D7F"/>
    <w:rsid w:val="0060421C"/>
    <w:rsid w:val="0071055C"/>
    <w:rsid w:val="00735FF3"/>
    <w:rsid w:val="007752DF"/>
    <w:rsid w:val="009B699A"/>
    <w:rsid w:val="00A80495"/>
    <w:rsid w:val="00AF56BD"/>
    <w:rsid w:val="00B64F3B"/>
    <w:rsid w:val="00B8499C"/>
    <w:rsid w:val="00B93740"/>
    <w:rsid w:val="00BF231A"/>
    <w:rsid w:val="00CD2B68"/>
    <w:rsid w:val="00DF16B4"/>
    <w:rsid w:val="00E075E9"/>
    <w:rsid w:val="112E42E5"/>
    <w:rsid w:val="36F83149"/>
    <w:rsid w:val="6B474654"/>
    <w:rsid w:val="73076A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8"/>
    <w:semiHidden/>
    <w:unhideWhenUsed/>
    <w:uiPriority w:val="99"/>
    <w:pPr>
      <w:tabs>
        <w:tab w:val="center" w:pos="4153"/>
        <w:tab w:val="right" w:pos="8306"/>
      </w:tabs>
      <w:snapToGrid w:val="0"/>
      <w:jc w:val="left"/>
    </w:pPr>
    <w:rPr>
      <w:sz w:val="18"/>
      <w:szCs w:val="18"/>
    </w:rPr>
  </w:style>
  <w:style w:type="paragraph" w:styleId="4">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uiPriority w:val="99"/>
    <w:rPr>
      <w:sz w:val="18"/>
      <w:szCs w:val="18"/>
    </w:rPr>
  </w:style>
  <w:style w:type="character" w:customStyle="1" w:styleId="8">
    <w:name w:val="页脚 Char"/>
    <w:basedOn w:val="6"/>
    <w:link w:val="3"/>
    <w:semiHidden/>
    <w:uiPriority w:val="99"/>
    <w:rPr>
      <w:sz w:val="18"/>
      <w:szCs w:val="18"/>
    </w:rPr>
  </w:style>
  <w:style w:type="character" w:customStyle="1" w:styleId="9">
    <w:name w:val="批注框文本 Char"/>
    <w:basedOn w:val="6"/>
    <w:link w:val="2"/>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10</Pages>
  <Words>673</Words>
  <Characters>694</Characters>
  <Lines>5</Lines>
  <Paragraphs>1</Paragraphs>
  <TotalTime>77</TotalTime>
  <ScaleCrop>false</ScaleCrop>
  <LinksUpToDate>false</LinksUpToDate>
  <CharactersWithSpaces>697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2019-08-06T09:10:00Z</dcterms:created>
  <dc:creator>杨朋举</dc:creator>
  <cp:lastModifiedBy>段云龙</cp:lastModifiedBy>
  <cp:lastPrinted>2019-08-15T03:20:00Z</cp:lastPrinted>
  <dcterms:modified xsi:type="dcterms:W3CDTF">2025-09-04T00:38:38Z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D0F056C1C070446B91FD17911A6A4399_13</vt:lpwstr>
  </property>
  <property fmtid="{D5CDD505-2E9C-101B-9397-08002B2CF9AE}" pid="4" name="KSOTemplateDocerSaveRecord">
    <vt:lpwstr>eyJoZGlkIjoiYjRiMjdkYmE2ODVlNjVlMGNlODI3ZTEzZmJiYzU3NTUiLCJ1c2VySWQiOiIyMjYyODA2ODMifQ==</vt:lpwstr>
  </property>
</Properties>
</file>