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A4AAB9">
      <w:pPr>
        <w:pStyle w:val="2"/>
        <w:keepNext w:val="0"/>
        <w:keepLines w:val="0"/>
        <w:widowControl/>
        <w:suppressLineNumbers w:val="0"/>
        <w:jc w:val="center"/>
      </w:pPr>
      <w:r>
        <w:t>安康市本级采购合同</w:t>
      </w:r>
    </w:p>
    <w:p w14:paraId="1FEBAF6F">
      <w:pPr>
        <w:pStyle w:val="2"/>
        <w:keepNext w:val="0"/>
        <w:keepLines w:val="0"/>
        <w:widowControl/>
        <w:suppressLineNumbers w:val="0"/>
        <w:jc w:val="center"/>
      </w:pPr>
      <w:r>
        <w:t>电子卖场采购合同</w:t>
      </w:r>
    </w:p>
    <w:p w14:paraId="6252C0F8">
      <w:pPr>
        <w:pStyle w:val="4"/>
        <w:keepNext w:val="0"/>
        <w:keepLines w:val="0"/>
        <w:widowControl/>
        <w:suppressLineNumbers w:val="0"/>
        <w:jc w:val="center"/>
      </w:pPr>
      <w:r>
        <w:t>合同名称：</w:t>
      </w:r>
      <w:r>
        <w:rPr>
          <w:u w:val="single"/>
        </w:rPr>
        <w:t>陕西省安康市人民检察院不间断电源直接订购采购合同</w:t>
      </w:r>
    </w:p>
    <w:p w14:paraId="2CF0BE02">
      <w:pPr>
        <w:pStyle w:val="4"/>
        <w:keepNext w:val="0"/>
        <w:keepLines w:val="0"/>
        <w:widowControl/>
        <w:suppressLineNumbers w:val="0"/>
        <w:jc w:val="center"/>
      </w:pPr>
      <w:r>
        <w:t>合同编号：</w:t>
      </w:r>
      <w:r>
        <w:rPr>
          <w:u w:val="single"/>
        </w:rPr>
        <w:t>SCHT-安康市-2025-419783</w:t>
      </w:r>
    </w:p>
    <w:p w14:paraId="2418EBA2">
      <w:pPr>
        <w:pStyle w:val="4"/>
        <w:keepNext w:val="0"/>
        <w:keepLines w:val="0"/>
        <w:widowControl/>
        <w:suppressLineNumbers w:val="0"/>
        <w:jc w:val="center"/>
      </w:pPr>
      <w:r>
        <w:t>采购计划备案书/核准书编号：</w:t>
      </w:r>
      <w:r>
        <w:rPr>
          <w:u w:val="single"/>
        </w:rPr>
        <w:t>ZCSP-安康市-2025-01703</w:t>
      </w:r>
    </w:p>
    <w:p w14:paraId="318C807C">
      <w:pPr>
        <w:pStyle w:val="4"/>
        <w:keepNext w:val="0"/>
        <w:keepLines w:val="0"/>
        <w:widowControl/>
        <w:suppressLineNumbers w:val="0"/>
        <w:jc w:val="center"/>
      </w:pPr>
      <w:r>
        <w:t>合同签订日期：2025年11月18日</w:t>
      </w:r>
    </w:p>
    <w:p w14:paraId="2968E259">
      <w:pPr>
        <w:pStyle w:val="3"/>
        <w:keepNext w:val="0"/>
        <w:keepLines w:val="0"/>
        <w:widowControl/>
        <w:suppressLineNumbers w:val="0"/>
      </w:pPr>
      <w:r>
        <w:t>采购合同</w:t>
      </w:r>
    </w:p>
    <w:p w14:paraId="47C03B25">
      <w:pPr>
        <w:pStyle w:val="4"/>
        <w:keepNext w:val="0"/>
        <w:keepLines w:val="0"/>
        <w:widowControl/>
        <w:suppressLineNumbers w:val="0"/>
      </w:pPr>
      <w:r>
        <w:t>合同编号：</w:t>
      </w:r>
      <w:r>
        <w:rPr>
          <w:u w:val="single"/>
        </w:rPr>
        <w:t>SCHT-安康市-2025-419783</w:t>
      </w:r>
    </w:p>
    <w:p w14:paraId="0EFC6E3E">
      <w:pPr>
        <w:pStyle w:val="4"/>
        <w:keepNext w:val="0"/>
        <w:keepLines w:val="0"/>
        <w:widowControl/>
        <w:suppressLineNumbers w:val="0"/>
      </w:pPr>
      <w:r>
        <w:t>采购人（甲方）：陕西省安康市人民检察院</w:t>
      </w:r>
    </w:p>
    <w:p w14:paraId="21400D1B">
      <w:pPr>
        <w:pStyle w:val="4"/>
        <w:keepNext w:val="0"/>
        <w:keepLines w:val="0"/>
        <w:widowControl/>
        <w:suppressLineNumbers w:val="0"/>
      </w:pPr>
      <w:r>
        <w:t>供应商（乙方）：安康市新博电子科技有限公司</w:t>
      </w:r>
    </w:p>
    <w:p w14:paraId="705B98E4">
      <w:pPr>
        <w:pStyle w:val="4"/>
        <w:keepNext w:val="0"/>
        <w:keepLines w:val="0"/>
        <w:widowControl/>
        <w:suppressLineNumbers w:val="0"/>
      </w:pPr>
      <w:r>
        <w:t>合同签订地点：</w:t>
      </w:r>
      <w:r>
        <w:rPr>
          <w:u w:val="single"/>
        </w:rPr>
        <w:t>安康市</w:t>
      </w:r>
    </w:p>
    <w:p w14:paraId="066ECBD9">
      <w:pPr>
        <w:pStyle w:val="4"/>
        <w:keepNext w:val="0"/>
        <w:keepLines w:val="0"/>
        <w:widowControl/>
        <w:suppressLineNumbers w:val="0"/>
      </w:pPr>
      <w:r>
        <w:t>为了保护甲乙双方合法权益，根据《中华人民共和国政府采购法》、《中华人民共和国民法典》等相关法律法规的规定，并严格遵循协议供货项目谈判文件、竞标文件、采购结果公告中的相关规定，由采购人与供应商签订本政府采购合同，并共同遵守。</w:t>
      </w:r>
    </w:p>
    <w:p w14:paraId="23437A42">
      <w:pPr>
        <w:pStyle w:val="3"/>
        <w:keepNext w:val="0"/>
        <w:keepLines w:val="0"/>
        <w:widowControl/>
        <w:suppressLineNumbers w:val="0"/>
      </w:pPr>
      <w:r>
        <w:t>一、 采购方式</w:t>
      </w:r>
    </w:p>
    <w:p w14:paraId="1AAEFF3E">
      <w:pPr>
        <w:pStyle w:val="4"/>
        <w:keepNext w:val="0"/>
        <w:keepLines w:val="0"/>
        <w:widowControl/>
        <w:suppressLineNumbers w:val="0"/>
      </w:pPr>
      <w:r>
        <w:t xml:space="preserve">直接订购 </w:t>
      </w:r>
    </w:p>
    <w:p w14:paraId="41BFD756">
      <w:pPr>
        <w:pStyle w:val="3"/>
        <w:keepNext w:val="0"/>
        <w:keepLines w:val="0"/>
        <w:widowControl/>
        <w:suppressLineNumbers w:val="0"/>
      </w:pPr>
      <w:r>
        <w:t>二、 产品名称、型号、规格和主要配置、单价、数量、金额</w:t>
      </w:r>
    </w:p>
    <w:tbl>
      <w:tblPr>
        <w:tblW w:w="50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194"/>
        <w:gridCol w:w="198"/>
        <w:gridCol w:w="1086"/>
        <w:gridCol w:w="1380"/>
        <w:gridCol w:w="1091"/>
        <w:gridCol w:w="922"/>
        <w:gridCol w:w="194"/>
        <w:gridCol w:w="1597"/>
        <w:gridCol w:w="194"/>
        <w:gridCol w:w="194"/>
        <w:gridCol w:w="194"/>
        <w:gridCol w:w="194"/>
        <w:gridCol w:w="868"/>
      </w:tblGrid>
      <w:tr w14:paraId="31A72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blCellSpacing w:w="0" w:type="dxa"/>
        </w:trPr>
        <w:tc>
          <w:tcPr>
            <w:tcW w:w="0" w:type="auto"/>
            <w:shd w:val="clear"/>
            <w:vAlign w:val="center"/>
          </w:tcPr>
          <w:p w14:paraId="713B9AFD">
            <w:pPr>
              <w:keepNext w:val="0"/>
              <w:keepLines w:val="0"/>
              <w:widowControl/>
              <w:suppressLineNumbers w:val="0"/>
              <w:jc w:val="center"/>
              <w:rPr>
                <w:b/>
                <w:bCs/>
              </w:rPr>
            </w:pPr>
            <w:r>
              <w:rPr>
                <w:rFonts w:ascii="宋体" w:hAnsi="宋体" w:eastAsia="宋体" w:cs="宋体"/>
                <w:b/>
                <w:bCs/>
                <w:kern w:val="0"/>
                <w:sz w:val="24"/>
                <w:szCs w:val="24"/>
                <w:lang w:val="en-US" w:eastAsia="zh-CN" w:bidi="ar"/>
              </w:rPr>
              <w:t>序号</w:t>
            </w:r>
          </w:p>
        </w:tc>
        <w:tc>
          <w:tcPr>
            <w:tcW w:w="0" w:type="auto"/>
            <w:shd w:val="clear"/>
            <w:vAlign w:val="center"/>
          </w:tcPr>
          <w:p w14:paraId="1BAA3ED2">
            <w:pPr>
              <w:keepNext w:val="0"/>
              <w:keepLines w:val="0"/>
              <w:widowControl/>
              <w:suppressLineNumbers w:val="0"/>
              <w:jc w:val="center"/>
              <w:rPr>
                <w:b/>
                <w:bCs/>
              </w:rPr>
            </w:pPr>
            <w:r>
              <w:rPr>
                <w:rFonts w:ascii="宋体" w:hAnsi="宋体" w:eastAsia="宋体" w:cs="宋体"/>
                <w:b/>
                <w:bCs/>
                <w:kern w:val="0"/>
                <w:sz w:val="24"/>
                <w:szCs w:val="24"/>
                <w:lang w:val="en-US" w:eastAsia="zh-CN" w:bidi="ar"/>
              </w:rPr>
              <w:t>采购目录</w:t>
            </w:r>
          </w:p>
        </w:tc>
        <w:tc>
          <w:tcPr>
            <w:tcW w:w="0" w:type="auto"/>
            <w:shd w:val="clear"/>
            <w:vAlign w:val="center"/>
          </w:tcPr>
          <w:p w14:paraId="6AD89588">
            <w:pPr>
              <w:keepNext w:val="0"/>
              <w:keepLines w:val="0"/>
              <w:widowControl/>
              <w:suppressLineNumbers w:val="0"/>
              <w:jc w:val="center"/>
              <w:rPr>
                <w:b/>
                <w:bCs/>
              </w:rPr>
            </w:pPr>
            <w:r>
              <w:rPr>
                <w:rFonts w:ascii="宋体" w:hAnsi="宋体" w:eastAsia="宋体" w:cs="宋体"/>
                <w:b/>
                <w:bCs/>
                <w:kern w:val="0"/>
                <w:sz w:val="24"/>
                <w:szCs w:val="24"/>
                <w:lang w:val="en-US" w:eastAsia="zh-CN" w:bidi="ar"/>
              </w:rPr>
              <w:t>名称</w:t>
            </w:r>
          </w:p>
        </w:tc>
        <w:tc>
          <w:tcPr>
            <w:tcW w:w="0" w:type="auto"/>
            <w:shd w:val="clear"/>
            <w:vAlign w:val="center"/>
          </w:tcPr>
          <w:p w14:paraId="0F67387E">
            <w:pPr>
              <w:keepNext w:val="0"/>
              <w:keepLines w:val="0"/>
              <w:widowControl/>
              <w:suppressLineNumbers w:val="0"/>
              <w:jc w:val="center"/>
              <w:rPr>
                <w:b/>
                <w:bCs/>
              </w:rPr>
            </w:pPr>
            <w:r>
              <w:rPr>
                <w:rFonts w:ascii="宋体" w:hAnsi="宋体" w:eastAsia="宋体" w:cs="宋体"/>
                <w:b/>
                <w:bCs/>
                <w:kern w:val="0"/>
                <w:sz w:val="24"/>
                <w:szCs w:val="24"/>
                <w:lang w:val="en-US" w:eastAsia="zh-CN" w:bidi="ar"/>
              </w:rPr>
              <w:t>品牌</w:t>
            </w:r>
          </w:p>
        </w:tc>
        <w:tc>
          <w:tcPr>
            <w:tcW w:w="0" w:type="auto"/>
            <w:shd w:val="clear"/>
            <w:vAlign w:val="center"/>
          </w:tcPr>
          <w:p w14:paraId="3DA642CA">
            <w:pPr>
              <w:keepNext w:val="0"/>
              <w:keepLines w:val="0"/>
              <w:widowControl/>
              <w:suppressLineNumbers w:val="0"/>
              <w:jc w:val="center"/>
              <w:rPr>
                <w:b/>
                <w:bCs/>
              </w:rPr>
            </w:pPr>
            <w:r>
              <w:rPr>
                <w:rFonts w:ascii="宋体" w:hAnsi="宋体" w:eastAsia="宋体" w:cs="宋体"/>
                <w:b/>
                <w:bCs/>
                <w:kern w:val="0"/>
                <w:sz w:val="24"/>
                <w:szCs w:val="24"/>
                <w:lang w:val="en-US" w:eastAsia="zh-CN" w:bidi="ar"/>
              </w:rPr>
              <w:t>型号</w:t>
            </w:r>
          </w:p>
        </w:tc>
        <w:tc>
          <w:tcPr>
            <w:tcW w:w="0" w:type="auto"/>
            <w:shd w:val="clear"/>
            <w:vAlign w:val="center"/>
          </w:tcPr>
          <w:p w14:paraId="11196D63">
            <w:pPr>
              <w:keepNext w:val="0"/>
              <w:keepLines w:val="0"/>
              <w:widowControl/>
              <w:suppressLineNumbers w:val="0"/>
              <w:jc w:val="center"/>
              <w:rPr>
                <w:b/>
                <w:bCs/>
              </w:rPr>
            </w:pPr>
            <w:r>
              <w:rPr>
                <w:rFonts w:ascii="宋体" w:hAnsi="宋体" w:eastAsia="宋体" w:cs="宋体"/>
                <w:b/>
                <w:bCs/>
                <w:kern w:val="0"/>
                <w:sz w:val="24"/>
                <w:szCs w:val="24"/>
                <w:lang w:val="en-US" w:eastAsia="zh-CN" w:bidi="ar"/>
              </w:rPr>
              <w:t>单位</w:t>
            </w:r>
          </w:p>
        </w:tc>
        <w:tc>
          <w:tcPr>
            <w:tcW w:w="250" w:type="pct"/>
            <w:shd w:val="clear"/>
            <w:vAlign w:val="center"/>
          </w:tcPr>
          <w:p w14:paraId="629717B2">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1250" w:type="pct"/>
            <w:shd w:val="clear"/>
            <w:vAlign w:val="center"/>
          </w:tcPr>
          <w:p w14:paraId="0B5D30D0">
            <w:pPr>
              <w:keepNext w:val="0"/>
              <w:keepLines w:val="0"/>
              <w:widowControl/>
              <w:suppressLineNumbers w:val="0"/>
              <w:jc w:val="center"/>
              <w:rPr>
                <w:b/>
                <w:bCs/>
              </w:rPr>
            </w:pPr>
            <w:r>
              <w:rPr>
                <w:rFonts w:ascii="宋体" w:hAnsi="宋体" w:eastAsia="宋体" w:cs="宋体"/>
                <w:b/>
                <w:bCs/>
                <w:kern w:val="0"/>
                <w:sz w:val="24"/>
                <w:szCs w:val="24"/>
                <w:lang w:val="en-US" w:eastAsia="zh-CN" w:bidi="ar"/>
              </w:rPr>
              <w:t>主要技术参数</w:t>
            </w:r>
          </w:p>
        </w:tc>
        <w:tc>
          <w:tcPr>
            <w:tcW w:w="250" w:type="pct"/>
            <w:shd w:val="clear"/>
            <w:vAlign w:val="center"/>
          </w:tcPr>
          <w:p w14:paraId="1F146B8C">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w:t>
            </w:r>
          </w:p>
        </w:tc>
        <w:tc>
          <w:tcPr>
            <w:tcW w:w="250" w:type="pct"/>
            <w:shd w:val="clear"/>
            <w:vAlign w:val="center"/>
          </w:tcPr>
          <w:p w14:paraId="24D45C2E">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配件/更换配置单价</w:t>
            </w:r>
          </w:p>
        </w:tc>
        <w:tc>
          <w:tcPr>
            <w:tcW w:w="250" w:type="pct"/>
            <w:shd w:val="clear"/>
            <w:vAlign w:val="center"/>
          </w:tcPr>
          <w:p w14:paraId="5C1D9A7F">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250" w:type="pct"/>
            <w:shd w:val="clear"/>
            <w:vAlign w:val="center"/>
          </w:tcPr>
          <w:p w14:paraId="4343CCA5">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配件/更换配置总价</w:t>
            </w:r>
          </w:p>
        </w:tc>
        <w:tc>
          <w:tcPr>
            <w:tcW w:w="500" w:type="pct"/>
            <w:shd w:val="clear"/>
            <w:vAlign w:val="center"/>
          </w:tcPr>
          <w:p w14:paraId="2B44055E">
            <w:pPr>
              <w:keepNext w:val="0"/>
              <w:keepLines w:val="0"/>
              <w:widowControl/>
              <w:suppressLineNumbers w:val="0"/>
              <w:jc w:val="center"/>
              <w:rPr>
                <w:b/>
                <w:bCs/>
              </w:rPr>
            </w:pPr>
            <w:r>
              <w:rPr>
                <w:rFonts w:ascii="宋体" w:hAnsi="宋体" w:eastAsia="宋体" w:cs="宋体"/>
                <w:b/>
                <w:bCs/>
                <w:kern w:val="0"/>
                <w:sz w:val="24"/>
                <w:szCs w:val="24"/>
                <w:lang w:val="en-US" w:eastAsia="zh-CN" w:bidi="ar"/>
              </w:rPr>
              <w:t>金额（元）</w:t>
            </w:r>
          </w:p>
        </w:tc>
      </w:tr>
      <w:tr w14:paraId="10230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577266BD">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vAlign w:val="center"/>
          </w:tcPr>
          <w:p w14:paraId="2AC153F7">
            <w:pPr>
              <w:rPr>
                <w:rFonts w:hint="eastAsia" w:ascii="宋体"/>
                <w:sz w:val="24"/>
                <w:szCs w:val="24"/>
              </w:rPr>
            </w:pPr>
          </w:p>
        </w:tc>
        <w:tc>
          <w:tcPr>
            <w:tcW w:w="0" w:type="auto"/>
            <w:shd w:val="clear"/>
            <w:vAlign w:val="center"/>
          </w:tcPr>
          <w:p w14:paraId="72FCDEED">
            <w:pPr>
              <w:keepNext w:val="0"/>
              <w:keepLines w:val="0"/>
              <w:widowControl/>
              <w:suppressLineNumbers w:val="0"/>
              <w:jc w:val="left"/>
            </w:pPr>
            <w:r>
              <w:rPr>
                <w:rFonts w:ascii="宋体" w:hAnsi="宋体" w:eastAsia="宋体" w:cs="宋体"/>
                <w:kern w:val="0"/>
                <w:sz w:val="24"/>
                <w:szCs w:val="24"/>
                <w:lang w:val="en-US" w:eastAsia="zh-CN" w:bidi="ar"/>
              </w:rPr>
              <w:t>不间断电源金武士 ST10KS PLUS 10KVA 8KW</w:t>
            </w:r>
          </w:p>
        </w:tc>
        <w:tc>
          <w:tcPr>
            <w:tcW w:w="0" w:type="auto"/>
            <w:shd w:val="clear"/>
            <w:vAlign w:val="center"/>
          </w:tcPr>
          <w:p w14:paraId="5258E944">
            <w:pPr>
              <w:keepNext w:val="0"/>
              <w:keepLines w:val="0"/>
              <w:widowControl/>
              <w:suppressLineNumbers w:val="0"/>
              <w:jc w:val="left"/>
            </w:pPr>
            <w:r>
              <w:rPr>
                <w:rFonts w:ascii="宋体" w:hAnsi="宋体" w:eastAsia="宋体" w:cs="宋体"/>
                <w:kern w:val="0"/>
                <w:sz w:val="24"/>
                <w:szCs w:val="24"/>
                <w:lang w:val="en-US" w:eastAsia="zh-CN" w:bidi="ar"/>
              </w:rPr>
              <w:t>金武士/KINGCHEVALIER</w:t>
            </w:r>
          </w:p>
        </w:tc>
        <w:tc>
          <w:tcPr>
            <w:tcW w:w="0" w:type="auto"/>
            <w:shd w:val="clear"/>
            <w:vAlign w:val="center"/>
          </w:tcPr>
          <w:p w14:paraId="59C26544">
            <w:pPr>
              <w:keepNext w:val="0"/>
              <w:keepLines w:val="0"/>
              <w:widowControl/>
              <w:suppressLineNumbers w:val="0"/>
              <w:jc w:val="left"/>
            </w:pPr>
            <w:r>
              <w:rPr>
                <w:rFonts w:ascii="宋体" w:hAnsi="宋体" w:eastAsia="宋体" w:cs="宋体"/>
                <w:kern w:val="0"/>
                <w:sz w:val="24"/>
                <w:szCs w:val="24"/>
                <w:lang w:val="en-US" w:eastAsia="zh-CN" w:bidi="ar"/>
              </w:rPr>
              <w:t>ST10KS PLUS</w:t>
            </w:r>
          </w:p>
        </w:tc>
        <w:tc>
          <w:tcPr>
            <w:tcW w:w="0" w:type="auto"/>
            <w:shd w:val="clear"/>
            <w:vAlign w:val="center"/>
          </w:tcPr>
          <w:p w14:paraId="07135BE7">
            <w:pPr>
              <w:rPr>
                <w:rFonts w:hint="eastAsia" w:ascii="宋体"/>
                <w:sz w:val="24"/>
                <w:szCs w:val="24"/>
              </w:rPr>
            </w:pPr>
          </w:p>
        </w:tc>
        <w:tc>
          <w:tcPr>
            <w:tcW w:w="0" w:type="auto"/>
            <w:shd w:val="clear"/>
            <w:vAlign w:val="center"/>
          </w:tcPr>
          <w:p w14:paraId="4396AC7F">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5E0F8F17">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金武士/KINGCHEVALIER, 不间断电源金武士 ST10KS PLUS 10KVA 8KW, ST10KS PLUS,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不间断电源金武士 ST10KS PLUS 10KVA 8KW电池容量(AH):24</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电池个数:16</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电池柜个数:0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质保期限:3年</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电池类型:蓄电池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电池电压(V):12</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额定容量:10KVA</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设备类型:在线式</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工频:高频</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输出/入电压:220/220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额定功率(W):9KW</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内置电池:单主机+非内置电池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满载续航时间(h):0.5</w:t>
            </w:r>
          </w:p>
        </w:tc>
        <w:tc>
          <w:tcPr>
            <w:tcW w:w="0" w:type="auto"/>
            <w:shd w:val="clear"/>
            <w:vAlign w:val="center"/>
          </w:tcPr>
          <w:p w14:paraId="0E39829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8EFF275">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2640324">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E7599E6">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2FFEB48">
            <w:pPr>
              <w:keepNext w:val="0"/>
              <w:keepLines w:val="0"/>
              <w:widowControl/>
              <w:suppressLineNumbers w:val="0"/>
              <w:jc w:val="left"/>
            </w:pPr>
            <w:r>
              <w:rPr>
                <w:rFonts w:ascii="宋体" w:hAnsi="宋体" w:eastAsia="宋体" w:cs="宋体"/>
                <w:kern w:val="0"/>
                <w:sz w:val="24"/>
                <w:szCs w:val="24"/>
                <w:lang w:val="en-US" w:eastAsia="zh-CN" w:bidi="ar"/>
              </w:rPr>
              <w:t xml:space="preserve">¥8800.00 </w:t>
            </w:r>
          </w:p>
        </w:tc>
      </w:tr>
      <w:tr w14:paraId="124DE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2B7F586F">
            <w:pPr>
              <w:keepNext w:val="0"/>
              <w:keepLines w:val="0"/>
              <w:widowControl/>
              <w:suppressLineNumbers w:val="0"/>
              <w:jc w:val="left"/>
            </w:pPr>
            <w:r>
              <w:rPr>
                <w:rFonts w:ascii="宋体" w:hAnsi="宋体" w:eastAsia="宋体" w:cs="宋体"/>
                <w:kern w:val="0"/>
                <w:sz w:val="24"/>
                <w:szCs w:val="24"/>
                <w:lang w:val="en-US" w:eastAsia="zh-CN" w:bidi="ar"/>
              </w:rPr>
              <w:t>2</w:t>
            </w:r>
          </w:p>
        </w:tc>
        <w:tc>
          <w:tcPr>
            <w:tcW w:w="0" w:type="auto"/>
            <w:shd w:val="clear"/>
            <w:vAlign w:val="center"/>
          </w:tcPr>
          <w:p w14:paraId="6AD1B37E">
            <w:pPr>
              <w:rPr>
                <w:rFonts w:hint="eastAsia" w:ascii="宋体"/>
                <w:sz w:val="24"/>
                <w:szCs w:val="24"/>
              </w:rPr>
            </w:pPr>
          </w:p>
        </w:tc>
        <w:tc>
          <w:tcPr>
            <w:tcW w:w="0" w:type="auto"/>
            <w:shd w:val="clear"/>
            <w:vAlign w:val="center"/>
          </w:tcPr>
          <w:p w14:paraId="7C8E819A">
            <w:pPr>
              <w:keepNext w:val="0"/>
              <w:keepLines w:val="0"/>
              <w:widowControl/>
              <w:suppressLineNumbers w:val="0"/>
              <w:jc w:val="left"/>
            </w:pPr>
            <w:r>
              <w:rPr>
                <w:rFonts w:ascii="宋体" w:hAnsi="宋体" w:eastAsia="宋体" w:cs="宋体"/>
                <w:kern w:val="0"/>
                <w:sz w:val="24"/>
                <w:szCs w:val="24"/>
                <w:lang w:val="en-US" w:eastAsia="zh-CN" w:bidi="ar"/>
              </w:rPr>
              <w:t>不间断电源 金武士 蓄电池 PV100-12-DA 12V100AH</w:t>
            </w:r>
          </w:p>
        </w:tc>
        <w:tc>
          <w:tcPr>
            <w:tcW w:w="0" w:type="auto"/>
            <w:shd w:val="clear"/>
            <w:vAlign w:val="center"/>
          </w:tcPr>
          <w:p w14:paraId="3B2EF64D">
            <w:pPr>
              <w:keepNext w:val="0"/>
              <w:keepLines w:val="0"/>
              <w:widowControl/>
              <w:suppressLineNumbers w:val="0"/>
              <w:jc w:val="left"/>
            </w:pPr>
            <w:r>
              <w:rPr>
                <w:rFonts w:ascii="宋体" w:hAnsi="宋体" w:eastAsia="宋体" w:cs="宋体"/>
                <w:kern w:val="0"/>
                <w:sz w:val="24"/>
                <w:szCs w:val="24"/>
                <w:lang w:val="en-US" w:eastAsia="zh-CN" w:bidi="ar"/>
              </w:rPr>
              <w:t>金武士/KINGCHEVALIER</w:t>
            </w:r>
          </w:p>
        </w:tc>
        <w:tc>
          <w:tcPr>
            <w:tcW w:w="0" w:type="auto"/>
            <w:shd w:val="clear"/>
            <w:vAlign w:val="center"/>
          </w:tcPr>
          <w:p w14:paraId="214995E4">
            <w:pPr>
              <w:keepNext w:val="0"/>
              <w:keepLines w:val="0"/>
              <w:widowControl/>
              <w:suppressLineNumbers w:val="0"/>
              <w:jc w:val="left"/>
            </w:pPr>
            <w:r>
              <w:rPr>
                <w:rFonts w:ascii="宋体" w:hAnsi="宋体" w:eastAsia="宋体" w:cs="宋体"/>
                <w:kern w:val="0"/>
                <w:sz w:val="24"/>
                <w:szCs w:val="24"/>
                <w:lang w:val="en-US" w:eastAsia="zh-CN" w:bidi="ar"/>
              </w:rPr>
              <w:t>PV100-12-DA</w:t>
            </w:r>
          </w:p>
        </w:tc>
        <w:tc>
          <w:tcPr>
            <w:tcW w:w="0" w:type="auto"/>
            <w:shd w:val="clear"/>
            <w:vAlign w:val="center"/>
          </w:tcPr>
          <w:p w14:paraId="582113E3">
            <w:pPr>
              <w:rPr>
                <w:rFonts w:hint="eastAsia" w:ascii="宋体"/>
                <w:sz w:val="24"/>
                <w:szCs w:val="24"/>
              </w:rPr>
            </w:pPr>
          </w:p>
        </w:tc>
        <w:tc>
          <w:tcPr>
            <w:tcW w:w="0" w:type="auto"/>
            <w:shd w:val="clear"/>
            <w:vAlign w:val="center"/>
          </w:tcPr>
          <w:p w14:paraId="4D0C9585">
            <w:pPr>
              <w:keepNext w:val="0"/>
              <w:keepLines w:val="0"/>
              <w:widowControl/>
              <w:suppressLineNumbers w:val="0"/>
              <w:jc w:val="left"/>
            </w:pPr>
            <w:r>
              <w:rPr>
                <w:rFonts w:ascii="宋体" w:hAnsi="宋体" w:eastAsia="宋体" w:cs="宋体"/>
                <w:kern w:val="0"/>
                <w:sz w:val="24"/>
                <w:szCs w:val="24"/>
                <w:lang w:val="en-US" w:eastAsia="zh-CN" w:bidi="ar"/>
              </w:rPr>
              <w:t>16</w:t>
            </w:r>
          </w:p>
        </w:tc>
        <w:tc>
          <w:tcPr>
            <w:tcW w:w="0" w:type="auto"/>
            <w:shd w:val="clear"/>
            <w:tcMar>
              <w:top w:w="45" w:type="dxa"/>
              <w:left w:w="75" w:type="dxa"/>
              <w:bottom w:w="45" w:type="dxa"/>
              <w:right w:w="75" w:type="dxa"/>
            </w:tcMar>
            <w:vAlign w:val="center"/>
          </w:tcPr>
          <w:p w14:paraId="49C1DBD1">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金武士/KINGCHEVALIER, 不间断电源 金武士 蓄电池 PV100-12-DA 12V100AH, PV100-12-DA, 数量:16;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不间断电源 金武士 蓄电池 PV100-12-DA 12V100AH设备类型:无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额定容量:100Ah</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额定功率(W):无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工频:低频</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输出/入电压:12V</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内置电池:单主机</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满载续航时间(h):无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电池类型:蓄电池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电池容量(AH):100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电池电压(V):12</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电池个数:0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电池柜个数:0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质保期限:3年</w:t>
            </w:r>
          </w:p>
        </w:tc>
        <w:tc>
          <w:tcPr>
            <w:tcW w:w="0" w:type="auto"/>
            <w:shd w:val="clear"/>
            <w:vAlign w:val="center"/>
          </w:tcPr>
          <w:p w14:paraId="37CE62E4">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6F33FD7">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52A967F">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6F427C5">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E4903DA">
            <w:pPr>
              <w:keepNext w:val="0"/>
              <w:keepLines w:val="0"/>
              <w:widowControl/>
              <w:suppressLineNumbers w:val="0"/>
              <w:jc w:val="left"/>
            </w:pPr>
            <w:r>
              <w:rPr>
                <w:rFonts w:ascii="宋体" w:hAnsi="宋体" w:eastAsia="宋体" w:cs="宋体"/>
                <w:kern w:val="0"/>
                <w:sz w:val="24"/>
                <w:szCs w:val="24"/>
                <w:lang w:val="en-US" w:eastAsia="zh-CN" w:bidi="ar"/>
              </w:rPr>
              <w:t xml:space="preserve">¥12800.00 </w:t>
            </w:r>
          </w:p>
        </w:tc>
      </w:tr>
      <w:tr w14:paraId="13C56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blCellSpacing w:w="0" w:type="dxa"/>
        </w:trPr>
        <w:tc>
          <w:tcPr>
            <w:tcW w:w="0" w:type="auto"/>
            <w:shd w:val="clear"/>
            <w:vAlign w:val="center"/>
          </w:tcPr>
          <w:p w14:paraId="290090CA">
            <w:pPr>
              <w:keepNext w:val="0"/>
              <w:keepLines w:val="0"/>
              <w:widowControl/>
              <w:suppressLineNumbers w:val="0"/>
              <w:jc w:val="center"/>
            </w:pPr>
            <w:r>
              <w:rPr>
                <w:rFonts w:ascii="宋体" w:hAnsi="宋体" w:eastAsia="宋体" w:cs="宋体"/>
                <w:kern w:val="0"/>
                <w:sz w:val="24"/>
                <w:szCs w:val="24"/>
                <w:lang w:val="en-US" w:eastAsia="zh-CN" w:bidi="ar"/>
              </w:rPr>
              <w:t>增值保障</w:t>
            </w:r>
          </w:p>
        </w:tc>
        <w:tc>
          <w:tcPr>
            <w:tcW w:w="0" w:type="auto"/>
            <w:gridSpan w:val="2"/>
            <w:shd w:val="clear"/>
            <w:tcMar>
              <w:top w:w="45" w:type="dxa"/>
              <w:left w:w="75" w:type="dxa"/>
              <w:bottom w:w="45" w:type="dxa"/>
              <w:right w:w="75" w:type="dxa"/>
            </w:tcMar>
            <w:vAlign w:val="center"/>
          </w:tcPr>
          <w:p w14:paraId="4FC16BD0">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 xml:space="preserve">电池连接线 </w:t>
            </w:r>
          </w:p>
        </w:tc>
        <w:tc>
          <w:tcPr>
            <w:tcW w:w="0" w:type="auto"/>
            <w:shd w:val="clear"/>
            <w:tcMar>
              <w:top w:w="45" w:type="dxa"/>
              <w:left w:w="75" w:type="dxa"/>
              <w:bottom w:w="45" w:type="dxa"/>
              <w:right w:w="75" w:type="dxa"/>
            </w:tcMar>
            <w:vAlign w:val="center"/>
          </w:tcPr>
          <w:p w14:paraId="5A7A617A">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16</w:t>
            </w:r>
          </w:p>
        </w:tc>
        <w:tc>
          <w:tcPr>
            <w:tcW w:w="0" w:type="auto"/>
            <w:shd w:val="clear"/>
            <w:tcMar>
              <w:top w:w="45" w:type="dxa"/>
              <w:left w:w="75" w:type="dxa"/>
              <w:bottom w:w="45" w:type="dxa"/>
              <w:right w:w="75" w:type="dxa"/>
            </w:tcMar>
            <w:vAlign w:val="center"/>
          </w:tcPr>
          <w:p w14:paraId="26DA9FC7">
            <w:pPr>
              <w:keepNext w:val="0"/>
              <w:keepLines w:val="0"/>
              <w:widowControl/>
              <w:suppressLineNumbers w:val="0"/>
              <w:jc w:val="right"/>
            </w:pPr>
            <w:r>
              <w:rPr>
                <w:rFonts w:ascii="宋体" w:hAnsi="宋体" w:eastAsia="宋体" w:cs="宋体"/>
                <w:kern w:val="0"/>
                <w:sz w:val="24"/>
                <w:szCs w:val="24"/>
                <w:bdr w:val="none" w:color="auto" w:sz="0" w:space="0"/>
                <w:lang w:val="en-US" w:eastAsia="zh-CN" w:bidi="ar"/>
              </w:rPr>
              <w:t xml:space="preserve">¥35.00 </w:t>
            </w:r>
          </w:p>
        </w:tc>
        <w:tc>
          <w:tcPr>
            <w:tcW w:w="0" w:type="auto"/>
            <w:shd w:val="clear"/>
            <w:tcMar>
              <w:top w:w="45" w:type="dxa"/>
              <w:left w:w="75" w:type="dxa"/>
              <w:bottom w:w="45" w:type="dxa"/>
              <w:right w:w="75" w:type="dxa"/>
            </w:tcMar>
            <w:vAlign w:val="center"/>
          </w:tcPr>
          <w:p w14:paraId="09A0E3EC">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 xml:space="preserve">¥560.00 </w:t>
            </w:r>
          </w:p>
        </w:tc>
        <w:tc>
          <w:tcPr>
            <w:tcW w:w="0" w:type="auto"/>
            <w:shd w:val="clear"/>
            <w:vAlign w:val="center"/>
          </w:tcPr>
          <w:p w14:paraId="1CA802D6">
            <w:pPr>
              <w:rPr>
                <w:rFonts w:hint="eastAsia" w:ascii="宋体"/>
                <w:sz w:val="24"/>
                <w:szCs w:val="24"/>
              </w:rPr>
            </w:pPr>
          </w:p>
        </w:tc>
        <w:tc>
          <w:tcPr>
            <w:tcW w:w="0" w:type="auto"/>
            <w:shd w:val="clear"/>
            <w:vAlign w:val="center"/>
          </w:tcPr>
          <w:p w14:paraId="7CB118C3">
            <w:pPr>
              <w:rPr>
                <w:rFonts w:hint="eastAsia" w:ascii="宋体"/>
                <w:sz w:val="24"/>
                <w:szCs w:val="24"/>
              </w:rPr>
            </w:pPr>
          </w:p>
        </w:tc>
        <w:tc>
          <w:tcPr>
            <w:tcW w:w="0" w:type="auto"/>
            <w:shd w:val="clear"/>
            <w:vAlign w:val="center"/>
          </w:tcPr>
          <w:p w14:paraId="7DEE873D">
            <w:pPr>
              <w:rPr>
                <w:rFonts w:hint="eastAsia" w:ascii="宋体"/>
                <w:sz w:val="24"/>
                <w:szCs w:val="24"/>
              </w:rPr>
            </w:pPr>
          </w:p>
        </w:tc>
        <w:tc>
          <w:tcPr>
            <w:tcW w:w="0" w:type="auto"/>
            <w:shd w:val="clear"/>
            <w:vAlign w:val="center"/>
          </w:tcPr>
          <w:p w14:paraId="1D2C8720">
            <w:pPr>
              <w:rPr>
                <w:rFonts w:hint="eastAsia" w:ascii="宋体"/>
                <w:sz w:val="24"/>
                <w:szCs w:val="24"/>
              </w:rPr>
            </w:pPr>
          </w:p>
        </w:tc>
        <w:tc>
          <w:tcPr>
            <w:tcW w:w="0" w:type="auto"/>
            <w:shd w:val="clear"/>
            <w:vAlign w:val="center"/>
          </w:tcPr>
          <w:p w14:paraId="6161CF30">
            <w:pPr>
              <w:rPr>
                <w:rFonts w:hint="eastAsia" w:ascii="宋体"/>
                <w:sz w:val="24"/>
                <w:szCs w:val="24"/>
              </w:rPr>
            </w:pPr>
          </w:p>
        </w:tc>
        <w:tc>
          <w:tcPr>
            <w:tcW w:w="0" w:type="auto"/>
            <w:shd w:val="clear"/>
            <w:vAlign w:val="center"/>
          </w:tcPr>
          <w:p w14:paraId="30F3932E">
            <w:pPr>
              <w:rPr>
                <w:rFonts w:hint="eastAsia" w:ascii="宋体"/>
                <w:sz w:val="24"/>
                <w:szCs w:val="24"/>
              </w:rPr>
            </w:pPr>
          </w:p>
        </w:tc>
        <w:tc>
          <w:tcPr>
            <w:tcW w:w="0" w:type="auto"/>
            <w:shd w:val="clear"/>
            <w:vAlign w:val="center"/>
          </w:tcPr>
          <w:p w14:paraId="31EFCFE6">
            <w:pPr>
              <w:rPr>
                <w:rFonts w:hint="eastAsia" w:ascii="宋体"/>
                <w:sz w:val="24"/>
                <w:szCs w:val="24"/>
              </w:rPr>
            </w:pPr>
          </w:p>
        </w:tc>
      </w:tr>
      <w:tr w14:paraId="55F6BF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blCellSpacing w:w="0" w:type="dxa"/>
        </w:trPr>
        <w:tc>
          <w:tcPr>
            <w:tcW w:w="0" w:type="auto"/>
            <w:shd w:val="clear"/>
            <w:vAlign w:val="center"/>
          </w:tcPr>
          <w:p w14:paraId="4357B885">
            <w:pPr>
              <w:keepNext w:val="0"/>
              <w:keepLines w:val="0"/>
              <w:widowControl/>
              <w:suppressLineNumbers w:val="0"/>
              <w:jc w:val="center"/>
            </w:pPr>
            <w:r>
              <w:rPr>
                <w:rFonts w:ascii="宋体" w:hAnsi="宋体" w:eastAsia="宋体" w:cs="宋体"/>
                <w:kern w:val="0"/>
                <w:sz w:val="24"/>
                <w:szCs w:val="24"/>
                <w:lang w:val="en-US" w:eastAsia="zh-CN" w:bidi="ar"/>
              </w:rPr>
              <w:t>增值保障</w:t>
            </w:r>
          </w:p>
        </w:tc>
        <w:tc>
          <w:tcPr>
            <w:tcW w:w="0" w:type="auto"/>
            <w:gridSpan w:val="2"/>
            <w:shd w:val="clear"/>
            <w:tcMar>
              <w:top w:w="45" w:type="dxa"/>
              <w:left w:w="75" w:type="dxa"/>
              <w:bottom w:w="45" w:type="dxa"/>
              <w:right w:w="75" w:type="dxa"/>
            </w:tcMar>
            <w:vAlign w:val="center"/>
          </w:tcPr>
          <w:p w14:paraId="7EB1D4D9">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 xml:space="preserve">16节电池柜 </w:t>
            </w:r>
          </w:p>
        </w:tc>
        <w:tc>
          <w:tcPr>
            <w:tcW w:w="0" w:type="auto"/>
            <w:shd w:val="clear"/>
            <w:tcMar>
              <w:top w:w="45" w:type="dxa"/>
              <w:left w:w="75" w:type="dxa"/>
              <w:bottom w:w="45" w:type="dxa"/>
              <w:right w:w="75" w:type="dxa"/>
            </w:tcMar>
            <w:vAlign w:val="center"/>
          </w:tcPr>
          <w:p w14:paraId="24581059">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1</w:t>
            </w:r>
          </w:p>
        </w:tc>
        <w:tc>
          <w:tcPr>
            <w:tcW w:w="0" w:type="auto"/>
            <w:shd w:val="clear"/>
            <w:tcMar>
              <w:top w:w="45" w:type="dxa"/>
              <w:left w:w="75" w:type="dxa"/>
              <w:bottom w:w="45" w:type="dxa"/>
              <w:right w:w="75" w:type="dxa"/>
            </w:tcMar>
            <w:vAlign w:val="center"/>
          </w:tcPr>
          <w:p w14:paraId="10A28EC9">
            <w:pPr>
              <w:keepNext w:val="0"/>
              <w:keepLines w:val="0"/>
              <w:widowControl/>
              <w:suppressLineNumbers w:val="0"/>
              <w:jc w:val="right"/>
            </w:pPr>
            <w:r>
              <w:rPr>
                <w:rFonts w:ascii="宋体" w:hAnsi="宋体" w:eastAsia="宋体" w:cs="宋体"/>
                <w:kern w:val="0"/>
                <w:sz w:val="24"/>
                <w:szCs w:val="24"/>
                <w:bdr w:val="none" w:color="auto" w:sz="0" w:space="0"/>
                <w:lang w:val="en-US" w:eastAsia="zh-CN" w:bidi="ar"/>
              </w:rPr>
              <w:t xml:space="preserve">¥2000.00 </w:t>
            </w:r>
          </w:p>
        </w:tc>
        <w:tc>
          <w:tcPr>
            <w:tcW w:w="0" w:type="auto"/>
            <w:shd w:val="clear"/>
            <w:tcMar>
              <w:top w:w="45" w:type="dxa"/>
              <w:left w:w="75" w:type="dxa"/>
              <w:bottom w:w="45" w:type="dxa"/>
              <w:right w:w="75" w:type="dxa"/>
            </w:tcMar>
            <w:vAlign w:val="center"/>
          </w:tcPr>
          <w:p w14:paraId="40423B9D">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 xml:space="preserve">¥2000.00 </w:t>
            </w:r>
          </w:p>
        </w:tc>
        <w:tc>
          <w:tcPr>
            <w:tcW w:w="0" w:type="auto"/>
            <w:shd w:val="clear"/>
            <w:vAlign w:val="center"/>
          </w:tcPr>
          <w:p w14:paraId="6EE55A24">
            <w:pPr>
              <w:rPr>
                <w:rFonts w:hint="eastAsia" w:ascii="宋体"/>
                <w:sz w:val="24"/>
                <w:szCs w:val="24"/>
              </w:rPr>
            </w:pPr>
          </w:p>
        </w:tc>
        <w:tc>
          <w:tcPr>
            <w:tcW w:w="0" w:type="auto"/>
            <w:shd w:val="clear"/>
            <w:vAlign w:val="center"/>
          </w:tcPr>
          <w:p w14:paraId="62EA00AA">
            <w:pPr>
              <w:rPr>
                <w:rFonts w:hint="eastAsia" w:ascii="宋体"/>
                <w:sz w:val="24"/>
                <w:szCs w:val="24"/>
              </w:rPr>
            </w:pPr>
          </w:p>
        </w:tc>
        <w:tc>
          <w:tcPr>
            <w:tcW w:w="0" w:type="auto"/>
            <w:shd w:val="clear"/>
            <w:vAlign w:val="center"/>
          </w:tcPr>
          <w:p w14:paraId="1469A89F">
            <w:pPr>
              <w:rPr>
                <w:rFonts w:hint="eastAsia" w:ascii="宋体"/>
                <w:sz w:val="24"/>
                <w:szCs w:val="24"/>
              </w:rPr>
            </w:pPr>
          </w:p>
        </w:tc>
        <w:tc>
          <w:tcPr>
            <w:tcW w:w="0" w:type="auto"/>
            <w:shd w:val="clear"/>
            <w:vAlign w:val="center"/>
          </w:tcPr>
          <w:p w14:paraId="42E03C7E">
            <w:pPr>
              <w:rPr>
                <w:rFonts w:hint="eastAsia" w:ascii="宋体"/>
                <w:sz w:val="24"/>
                <w:szCs w:val="24"/>
              </w:rPr>
            </w:pPr>
          </w:p>
        </w:tc>
        <w:tc>
          <w:tcPr>
            <w:tcW w:w="0" w:type="auto"/>
            <w:shd w:val="clear"/>
            <w:vAlign w:val="center"/>
          </w:tcPr>
          <w:p w14:paraId="56D185CD">
            <w:pPr>
              <w:rPr>
                <w:rFonts w:hint="eastAsia" w:ascii="宋体"/>
                <w:sz w:val="24"/>
                <w:szCs w:val="24"/>
              </w:rPr>
            </w:pPr>
          </w:p>
        </w:tc>
        <w:tc>
          <w:tcPr>
            <w:tcW w:w="0" w:type="auto"/>
            <w:shd w:val="clear"/>
            <w:vAlign w:val="center"/>
          </w:tcPr>
          <w:p w14:paraId="157C3EAE">
            <w:pPr>
              <w:rPr>
                <w:rFonts w:hint="eastAsia" w:ascii="宋体"/>
                <w:sz w:val="24"/>
                <w:szCs w:val="24"/>
              </w:rPr>
            </w:pPr>
          </w:p>
        </w:tc>
        <w:tc>
          <w:tcPr>
            <w:tcW w:w="0" w:type="auto"/>
            <w:shd w:val="clear"/>
            <w:vAlign w:val="center"/>
          </w:tcPr>
          <w:p w14:paraId="57B9CBBE">
            <w:pPr>
              <w:rPr>
                <w:rFonts w:hint="eastAsia" w:ascii="宋体"/>
                <w:sz w:val="24"/>
                <w:szCs w:val="24"/>
              </w:rPr>
            </w:pPr>
          </w:p>
        </w:tc>
      </w:tr>
      <w:tr w14:paraId="31419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blCellSpacing w:w="0" w:type="dxa"/>
        </w:trPr>
        <w:tc>
          <w:tcPr>
            <w:tcW w:w="0" w:type="auto"/>
            <w:shd w:val="clear"/>
            <w:vAlign w:val="center"/>
          </w:tcPr>
          <w:p w14:paraId="6EF770A9">
            <w:pPr>
              <w:keepNext w:val="0"/>
              <w:keepLines w:val="0"/>
              <w:widowControl/>
              <w:suppressLineNumbers w:val="0"/>
              <w:jc w:val="center"/>
            </w:pPr>
            <w:r>
              <w:rPr>
                <w:rFonts w:ascii="宋体" w:hAnsi="宋体" w:eastAsia="宋体" w:cs="宋体"/>
                <w:kern w:val="0"/>
                <w:sz w:val="24"/>
                <w:szCs w:val="24"/>
                <w:lang w:val="en-US" w:eastAsia="zh-CN" w:bidi="ar"/>
              </w:rPr>
              <w:t>增值保障</w:t>
            </w:r>
          </w:p>
        </w:tc>
        <w:tc>
          <w:tcPr>
            <w:tcW w:w="0" w:type="auto"/>
            <w:gridSpan w:val="2"/>
            <w:shd w:val="clear"/>
            <w:tcMar>
              <w:top w:w="45" w:type="dxa"/>
              <w:left w:w="75" w:type="dxa"/>
              <w:bottom w:w="45" w:type="dxa"/>
              <w:right w:w="75" w:type="dxa"/>
            </w:tcMar>
            <w:vAlign w:val="center"/>
          </w:tcPr>
          <w:p w14:paraId="2AEC98ED">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 xml:space="preserve">直流线缆 </w:t>
            </w:r>
          </w:p>
        </w:tc>
        <w:tc>
          <w:tcPr>
            <w:tcW w:w="0" w:type="auto"/>
            <w:shd w:val="clear"/>
            <w:tcMar>
              <w:top w:w="45" w:type="dxa"/>
              <w:left w:w="75" w:type="dxa"/>
              <w:bottom w:w="45" w:type="dxa"/>
              <w:right w:w="75" w:type="dxa"/>
            </w:tcMar>
            <w:vAlign w:val="center"/>
          </w:tcPr>
          <w:p w14:paraId="53B7EF63">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3</w:t>
            </w:r>
          </w:p>
        </w:tc>
        <w:tc>
          <w:tcPr>
            <w:tcW w:w="0" w:type="auto"/>
            <w:shd w:val="clear"/>
            <w:tcMar>
              <w:top w:w="45" w:type="dxa"/>
              <w:left w:w="75" w:type="dxa"/>
              <w:bottom w:w="45" w:type="dxa"/>
              <w:right w:w="75" w:type="dxa"/>
            </w:tcMar>
            <w:vAlign w:val="center"/>
          </w:tcPr>
          <w:p w14:paraId="1FCF3766">
            <w:pPr>
              <w:keepNext w:val="0"/>
              <w:keepLines w:val="0"/>
              <w:widowControl/>
              <w:suppressLineNumbers w:val="0"/>
              <w:jc w:val="right"/>
            </w:pPr>
            <w:r>
              <w:rPr>
                <w:rFonts w:ascii="宋体" w:hAnsi="宋体" w:eastAsia="宋体" w:cs="宋体"/>
                <w:kern w:val="0"/>
                <w:sz w:val="24"/>
                <w:szCs w:val="24"/>
                <w:bdr w:val="none" w:color="auto" w:sz="0" w:space="0"/>
                <w:lang w:val="en-US" w:eastAsia="zh-CN" w:bidi="ar"/>
              </w:rPr>
              <w:t xml:space="preserve">¥1700.00 </w:t>
            </w:r>
          </w:p>
        </w:tc>
        <w:tc>
          <w:tcPr>
            <w:tcW w:w="0" w:type="auto"/>
            <w:shd w:val="clear"/>
            <w:tcMar>
              <w:top w:w="45" w:type="dxa"/>
              <w:left w:w="75" w:type="dxa"/>
              <w:bottom w:w="45" w:type="dxa"/>
              <w:right w:w="75" w:type="dxa"/>
            </w:tcMar>
            <w:vAlign w:val="center"/>
          </w:tcPr>
          <w:p w14:paraId="4DD1E834">
            <w:pPr>
              <w:keepNext w:val="0"/>
              <w:keepLines w:val="0"/>
              <w:widowControl/>
              <w:suppressLineNumbers w:val="0"/>
              <w:jc w:val="left"/>
            </w:pPr>
            <w:r>
              <w:rPr>
                <w:rFonts w:ascii="宋体" w:hAnsi="宋体" w:eastAsia="宋体" w:cs="宋体"/>
                <w:kern w:val="0"/>
                <w:sz w:val="24"/>
                <w:szCs w:val="24"/>
                <w:bdr w:val="none" w:color="auto" w:sz="0" w:space="0"/>
                <w:lang w:val="en-US" w:eastAsia="zh-CN" w:bidi="ar"/>
              </w:rPr>
              <w:t xml:space="preserve">¥5100.00 </w:t>
            </w:r>
          </w:p>
        </w:tc>
        <w:tc>
          <w:tcPr>
            <w:tcW w:w="0" w:type="auto"/>
            <w:shd w:val="clear"/>
            <w:vAlign w:val="center"/>
          </w:tcPr>
          <w:p w14:paraId="386E3286">
            <w:pPr>
              <w:rPr>
                <w:rFonts w:hint="eastAsia" w:ascii="宋体"/>
                <w:sz w:val="24"/>
                <w:szCs w:val="24"/>
              </w:rPr>
            </w:pPr>
          </w:p>
        </w:tc>
        <w:tc>
          <w:tcPr>
            <w:tcW w:w="0" w:type="auto"/>
            <w:shd w:val="clear"/>
            <w:vAlign w:val="center"/>
          </w:tcPr>
          <w:p w14:paraId="5ADB75E7">
            <w:pPr>
              <w:rPr>
                <w:rFonts w:hint="eastAsia" w:ascii="宋体"/>
                <w:sz w:val="24"/>
                <w:szCs w:val="24"/>
              </w:rPr>
            </w:pPr>
          </w:p>
        </w:tc>
        <w:tc>
          <w:tcPr>
            <w:tcW w:w="0" w:type="auto"/>
            <w:shd w:val="clear"/>
            <w:vAlign w:val="center"/>
          </w:tcPr>
          <w:p w14:paraId="3D1EC9A6">
            <w:pPr>
              <w:rPr>
                <w:rFonts w:hint="eastAsia" w:ascii="宋体"/>
                <w:sz w:val="24"/>
                <w:szCs w:val="24"/>
              </w:rPr>
            </w:pPr>
          </w:p>
        </w:tc>
        <w:tc>
          <w:tcPr>
            <w:tcW w:w="0" w:type="auto"/>
            <w:shd w:val="clear"/>
            <w:vAlign w:val="center"/>
          </w:tcPr>
          <w:p w14:paraId="7BFC0AFF">
            <w:pPr>
              <w:rPr>
                <w:rFonts w:hint="eastAsia" w:ascii="宋体"/>
                <w:sz w:val="24"/>
                <w:szCs w:val="24"/>
              </w:rPr>
            </w:pPr>
          </w:p>
        </w:tc>
        <w:tc>
          <w:tcPr>
            <w:tcW w:w="0" w:type="auto"/>
            <w:shd w:val="clear"/>
            <w:vAlign w:val="center"/>
          </w:tcPr>
          <w:p w14:paraId="6CE7AC81">
            <w:pPr>
              <w:rPr>
                <w:rFonts w:hint="eastAsia" w:ascii="宋体"/>
                <w:sz w:val="24"/>
                <w:szCs w:val="24"/>
              </w:rPr>
            </w:pPr>
          </w:p>
        </w:tc>
        <w:tc>
          <w:tcPr>
            <w:tcW w:w="0" w:type="auto"/>
            <w:shd w:val="clear"/>
            <w:vAlign w:val="center"/>
          </w:tcPr>
          <w:p w14:paraId="37D9A23D">
            <w:pPr>
              <w:rPr>
                <w:rFonts w:hint="eastAsia" w:ascii="宋体"/>
                <w:sz w:val="24"/>
                <w:szCs w:val="24"/>
              </w:rPr>
            </w:pPr>
          </w:p>
        </w:tc>
        <w:tc>
          <w:tcPr>
            <w:tcW w:w="0" w:type="auto"/>
            <w:shd w:val="clear"/>
            <w:vAlign w:val="center"/>
          </w:tcPr>
          <w:p w14:paraId="2B12AB05">
            <w:pPr>
              <w:rPr>
                <w:rFonts w:hint="eastAsia" w:ascii="宋体"/>
                <w:sz w:val="24"/>
                <w:szCs w:val="24"/>
              </w:rPr>
            </w:pPr>
          </w:p>
        </w:tc>
      </w:tr>
      <w:tr w14:paraId="54057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04ABD993">
            <w:pPr>
              <w:keepNext w:val="0"/>
              <w:keepLines w:val="0"/>
              <w:widowControl/>
              <w:suppressLineNumbers w:val="0"/>
              <w:jc w:val="center"/>
            </w:pPr>
            <w:r>
              <w:rPr>
                <w:rFonts w:ascii="宋体" w:hAnsi="宋体" w:eastAsia="宋体" w:cs="宋体"/>
                <w:kern w:val="0"/>
                <w:sz w:val="24"/>
                <w:szCs w:val="24"/>
                <w:lang w:val="en-US" w:eastAsia="zh-CN" w:bidi="ar"/>
              </w:rPr>
              <w:t>合计</w:t>
            </w:r>
          </w:p>
        </w:tc>
        <w:tc>
          <w:tcPr>
            <w:tcW w:w="0" w:type="auto"/>
            <w:gridSpan w:val="12"/>
            <w:shd w:val="clear"/>
            <w:vAlign w:val="center"/>
          </w:tcPr>
          <w:p w14:paraId="6AACCA0E">
            <w:pPr>
              <w:keepNext w:val="0"/>
              <w:keepLines w:val="0"/>
              <w:widowControl/>
              <w:suppressLineNumbers w:val="0"/>
              <w:jc w:val="left"/>
            </w:pPr>
            <w:r>
              <w:rPr>
                <w:rFonts w:ascii="宋体" w:hAnsi="宋体" w:eastAsia="宋体" w:cs="宋体"/>
                <w:kern w:val="0"/>
                <w:sz w:val="24"/>
                <w:szCs w:val="24"/>
                <w:lang w:val="en-US" w:eastAsia="zh-CN" w:bidi="ar"/>
              </w:rPr>
              <w:t>¥29260.00 大写（人民币）: 贰万玖仟贰佰陆拾元整</w:t>
            </w:r>
          </w:p>
        </w:tc>
      </w:tr>
    </w:tbl>
    <w:p w14:paraId="76568486">
      <w:pPr>
        <w:pStyle w:val="4"/>
        <w:keepNext w:val="0"/>
        <w:keepLines w:val="0"/>
        <w:widowControl/>
        <w:suppressLineNumbers w:val="0"/>
      </w:pPr>
      <w:r>
        <w:t>说明：本合同价格已包含了购买货物的价格及保修、售后服务及将货物运至指定地点所发生的运费、装卸费等货物伴随服务的费用及其他相关费用，和所需缴纳的一切相关税费。</w:t>
      </w:r>
    </w:p>
    <w:p w14:paraId="24B796E9">
      <w:pPr>
        <w:pStyle w:val="3"/>
        <w:keepNext w:val="0"/>
        <w:keepLines w:val="0"/>
        <w:widowControl/>
        <w:suppressLineNumbers w:val="0"/>
      </w:pPr>
      <w:r>
        <w:t>三、交货时间、地点、方式</w:t>
      </w:r>
    </w:p>
    <w:p w14:paraId="4335D326">
      <w:pPr>
        <w:pStyle w:val="4"/>
        <w:keepNext w:val="0"/>
        <w:keepLines w:val="0"/>
        <w:widowControl/>
        <w:suppressLineNumbers w:val="0"/>
      </w:pPr>
      <w:r>
        <w:t>乙方在5个工作日内将货物送至甲方指定地点，交由甲方指定收货人收货并签字。</w:t>
      </w:r>
    </w:p>
    <w:p w14:paraId="4F2D8B41">
      <w:pPr>
        <w:pStyle w:val="3"/>
        <w:keepNext w:val="0"/>
        <w:keepLines w:val="0"/>
        <w:widowControl/>
        <w:suppressLineNumbers w:val="0"/>
      </w:pPr>
      <w:r>
        <w:t>四、验收标准</w:t>
      </w:r>
    </w:p>
    <w:p w14:paraId="4AD65607">
      <w:pPr>
        <w:pStyle w:val="4"/>
        <w:keepNext w:val="0"/>
        <w:keepLines w:val="0"/>
        <w:widowControl/>
        <w:suppressLineNumbers w:val="0"/>
      </w:pPr>
      <w:r>
        <w:t>货物必须同时完全符合下列各项标准和要求视为合格：</w:t>
      </w:r>
    </w:p>
    <w:p w14:paraId="12498807">
      <w:pPr>
        <w:pStyle w:val="4"/>
        <w:keepNext w:val="0"/>
        <w:keepLines w:val="0"/>
        <w:widowControl/>
        <w:suppressLineNumbers w:val="0"/>
        <w:spacing w:before="0" w:beforeAutospacing="1" w:after="0" w:afterAutospacing="1"/>
        <w:ind w:left="0" w:right="0"/>
      </w:pPr>
      <w:r>
        <w:t>(1)装箱单、质量合格证书、保修证书、产品使用书及其它应当随箱的技术资料；</w:t>
      </w:r>
    </w:p>
    <w:p w14:paraId="0FF65A6C">
      <w:pPr>
        <w:pStyle w:val="4"/>
        <w:keepNext w:val="0"/>
        <w:keepLines w:val="0"/>
        <w:widowControl/>
        <w:suppressLineNumbers w:val="0"/>
        <w:spacing w:before="0" w:beforeAutospacing="1" w:after="0" w:afterAutospacing="1"/>
        <w:ind w:left="0" w:right="0"/>
      </w:pPr>
      <w:r>
        <w:t>(2)竞标人在竞标时提供的产品样本；</w:t>
      </w:r>
    </w:p>
    <w:p w14:paraId="71A1C304">
      <w:pPr>
        <w:pStyle w:val="4"/>
        <w:keepNext w:val="0"/>
        <w:keepLines w:val="0"/>
        <w:widowControl/>
        <w:suppressLineNumbers w:val="0"/>
        <w:spacing w:before="0" w:beforeAutospacing="1" w:after="0" w:afterAutospacing="1"/>
        <w:ind w:left="0" w:right="0"/>
      </w:pPr>
      <w:r>
        <w:t>(3)该项目所涉及质量、技术、服务、鉴定、检验及验收的全部相关内容或其所指引的内容；</w:t>
      </w:r>
    </w:p>
    <w:p w14:paraId="1FD4EC74">
      <w:pPr>
        <w:pStyle w:val="4"/>
        <w:keepNext w:val="0"/>
        <w:keepLines w:val="0"/>
        <w:widowControl/>
        <w:suppressLineNumbers w:val="0"/>
        <w:spacing w:before="0" w:beforeAutospacing="1" w:after="0" w:afterAutospacing="1"/>
        <w:ind w:left="0" w:right="0"/>
      </w:pPr>
      <w:r>
        <w:t>(4)一次开箱合格率大于或等于98%。</w:t>
      </w:r>
    </w:p>
    <w:p w14:paraId="7F7116AE">
      <w:pPr>
        <w:pStyle w:val="3"/>
        <w:keepNext w:val="0"/>
        <w:keepLines w:val="0"/>
        <w:widowControl/>
        <w:suppressLineNumbers w:val="0"/>
      </w:pPr>
      <w:r>
        <w:t>五、保修及售后服务</w:t>
      </w:r>
    </w:p>
    <w:p w14:paraId="5B16C543">
      <w:pPr>
        <w:pStyle w:val="4"/>
        <w:keepNext w:val="0"/>
        <w:keepLines w:val="0"/>
        <w:widowControl/>
        <w:suppressLineNumbers w:val="0"/>
      </w:pPr>
      <w:r>
        <w:t>1、保修期：依据协议入围的招标文件和竞标文件的保修期内容和有关售后服务条款执行。</w:t>
      </w:r>
    </w:p>
    <w:p w14:paraId="18B47D17">
      <w:pPr>
        <w:pStyle w:val="4"/>
        <w:keepNext w:val="0"/>
        <w:keepLines w:val="0"/>
        <w:widowControl/>
        <w:suppressLineNumbers w:val="0"/>
      </w:pPr>
      <w:r>
        <w:t>2、货物的保修期或与质量相关的其他期限均自完成最终验收并由需方签署了货物验收单之日算起。大型或复杂的采购项目，或需经调试、试运行的项目，其保修期限自动适用国家的有关规定中最长的保修期限。</w:t>
      </w:r>
    </w:p>
    <w:p w14:paraId="29AEE4DE">
      <w:pPr>
        <w:pStyle w:val="4"/>
        <w:keepNext w:val="0"/>
        <w:keepLines w:val="0"/>
        <w:widowControl/>
        <w:suppressLineNumbers w:val="0"/>
      </w:pPr>
      <w:r>
        <w:t>3、因甲方在使用中自行变更货物的硬件或软件而引起的缺陷，或因甲方人员维护不正当而损坏的货物或零部件，乙方不负免费保修的责任，但乙方应按照本合同相关条款规定提供更换或保修服务，由此引起的合理费用由甲方负担。</w:t>
      </w:r>
    </w:p>
    <w:p w14:paraId="7C657FF0">
      <w:pPr>
        <w:pStyle w:val="4"/>
        <w:keepNext w:val="0"/>
        <w:keepLines w:val="0"/>
        <w:widowControl/>
        <w:suppressLineNumbers w:val="0"/>
      </w:pPr>
      <w:r>
        <w:t>4、如因乙方提供的货物硬件或软件有缺陷，或乙方提供的技术资料有错误，或乙方在现场的技术人员指导有错误而使货物不能达到合同规定的指标和技术性能，乙方应负责按本合同相关条款规定更换或修理，使货物运行指标和技术性能达到合同规定，由此引起的全部费用由乙方承担。若因软件或硬件缺陷导致或引起甲方损失及导致或引起第三方受到损害的，全部赔偿责任均由乙方承担。</w:t>
      </w:r>
    </w:p>
    <w:p w14:paraId="6300DBCC">
      <w:pPr>
        <w:pStyle w:val="3"/>
        <w:keepNext w:val="0"/>
        <w:keepLines w:val="0"/>
        <w:widowControl/>
        <w:suppressLineNumbers w:val="0"/>
      </w:pPr>
      <w:r>
        <w:t>六、付款方式及期限</w:t>
      </w:r>
    </w:p>
    <w:p w14:paraId="2BA3FCEE">
      <w:pPr>
        <w:pStyle w:val="4"/>
        <w:keepNext w:val="0"/>
        <w:keepLines w:val="0"/>
        <w:widowControl/>
        <w:suppressLineNumbers w:val="0"/>
      </w:pPr>
      <w:r>
        <w:t>由甲方一次性直接支付资金的，应在验收合格并签署《政府采购协议供货验收单》后10日内将货款全部付清；由财政直接支付的应按照财政部门的有关规定及时付款。</w:t>
      </w:r>
    </w:p>
    <w:p w14:paraId="378BA95D">
      <w:pPr>
        <w:pStyle w:val="4"/>
        <w:keepNext w:val="0"/>
        <w:keepLines w:val="0"/>
        <w:widowControl/>
        <w:suppressLineNumbers w:val="0"/>
      </w:pPr>
      <w:r>
        <w:t>供应商名称：安康市新博电子科技有限公司</w:t>
      </w:r>
    </w:p>
    <w:p w14:paraId="6AAD410F">
      <w:pPr>
        <w:pStyle w:val="4"/>
        <w:keepNext w:val="0"/>
        <w:keepLines w:val="0"/>
        <w:widowControl/>
        <w:suppressLineNumbers w:val="0"/>
      </w:pPr>
      <w:r>
        <w:t>供应商开户银行名称：建行安康分行营业部</w:t>
      </w:r>
    </w:p>
    <w:p w14:paraId="16EE8888">
      <w:pPr>
        <w:pStyle w:val="4"/>
        <w:keepNext w:val="0"/>
        <w:keepLines w:val="0"/>
        <w:widowControl/>
        <w:suppressLineNumbers w:val="0"/>
      </w:pPr>
      <w:r>
        <w:t>银 行 账 号：61001663711052501131</w:t>
      </w:r>
    </w:p>
    <w:p w14:paraId="54DAF09B">
      <w:pPr>
        <w:pStyle w:val="4"/>
        <w:keepNext w:val="0"/>
        <w:keepLines w:val="0"/>
        <w:widowControl/>
        <w:suppressLineNumbers w:val="0"/>
      </w:pPr>
      <w:r>
        <w:t>1、乙方按规定及时开具发票</w:t>
      </w:r>
    </w:p>
    <w:p w14:paraId="415505F8">
      <w:pPr>
        <w:pStyle w:val="4"/>
        <w:keepNext w:val="0"/>
        <w:keepLines w:val="0"/>
        <w:widowControl/>
        <w:suppressLineNumbers w:val="0"/>
      </w:pPr>
      <w:r>
        <w:t>2、如乙方有责任向甲方支付违约金或其他赔偿时，甲方有权直接从上述付款中等额扣除。</w:t>
      </w:r>
    </w:p>
    <w:p w14:paraId="47238C70">
      <w:pPr>
        <w:pStyle w:val="3"/>
        <w:keepNext w:val="0"/>
        <w:keepLines w:val="0"/>
        <w:widowControl/>
        <w:suppressLineNumbers w:val="0"/>
      </w:pPr>
      <w:r>
        <w:t>七、违约责任</w:t>
      </w:r>
    </w:p>
    <w:p w14:paraId="7D977184">
      <w:pPr>
        <w:pStyle w:val="4"/>
        <w:keepNext w:val="0"/>
        <w:keepLines w:val="0"/>
        <w:widowControl/>
        <w:suppressLineNumbers w:val="0"/>
      </w:pPr>
      <w:r>
        <w:t>由违约方承担合同金额5%的经济责任。</w:t>
      </w:r>
    </w:p>
    <w:p w14:paraId="70287933">
      <w:pPr>
        <w:pStyle w:val="3"/>
        <w:keepNext w:val="0"/>
        <w:keepLines w:val="0"/>
        <w:widowControl/>
        <w:suppressLineNumbers w:val="0"/>
      </w:pPr>
      <w:r>
        <w:t>八、因合同执行而产生问题的解决方式</w:t>
      </w:r>
    </w:p>
    <w:p w14:paraId="3B274E23">
      <w:pPr>
        <w:pStyle w:val="4"/>
        <w:keepNext w:val="0"/>
        <w:keepLines w:val="0"/>
        <w:widowControl/>
        <w:suppressLineNumbers w:val="0"/>
      </w:pPr>
      <w:r>
        <w:t>1、协商解决；</w:t>
      </w:r>
    </w:p>
    <w:p w14:paraId="775D8A74">
      <w:pPr>
        <w:pStyle w:val="4"/>
        <w:keepNext w:val="0"/>
        <w:keepLines w:val="0"/>
        <w:widowControl/>
        <w:suppressLineNumbers w:val="0"/>
      </w:pPr>
      <w:r>
        <w:t>2、向同级政府采购监管部门投诉;</w:t>
      </w:r>
    </w:p>
    <w:p w14:paraId="3377336C">
      <w:pPr>
        <w:pStyle w:val="4"/>
        <w:keepNext w:val="0"/>
        <w:keepLines w:val="0"/>
        <w:widowControl/>
        <w:suppressLineNumbers w:val="0"/>
      </w:pPr>
      <w:r>
        <w:t>3、提请仲裁；</w:t>
      </w:r>
    </w:p>
    <w:p w14:paraId="19BC1E9C">
      <w:pPr>
        <w:pStyle w:val="4"/>
        <w:keepNext w:val="0"/>
        <w:keepLines w:val="0"/>
        <w:widowControl/>
        <w:suppressLineNumbers w:val="0"/>
      </w:pPr>
      <w:r>
        <w:t>4、向人民法院提起诉讼。</w:t>
      </w:r>
    </w:p>
    <w:p w14:paraId="7B7FE60B">
      <w:pPr>
        <w:pStyle w:val="3"/>
        <w:keepNext w:val="0"/>
        <w:keepLines w:val="0"/>
        <w:widowControl/>
        <w:suppressLineNumbers w:val="0"/>
      </w:pPr>
      <w:r>
        <w:t>九、其它约定事项</w:t>
      </w:r>
    </w:p>
    <w:p w14:paraId="06DC075C">
      <w:pPr>
        <w:pStyle w:val="4"/>
        <w:keepNext w:val="0"/>
        <w:keepLines w:val="0"/>
        <w:widowControl/>
        <w:suppressLineNumbers w:val="0"/>
      </w:pPr>
      <w:r>
        <w:t>1、乙方不得将本合同全部或部分权利、义务转让给任务第三方。</w:t>
      </w:r>
    </w:p>
    <w:p w14:paraId="2213BE0A">
      <w:pPr>
        <w:pStyle w:val="4"/>
        <w:keepNext w:val="0"/>
        <w:keepLines w:val="0"/>
        <w:widowControl/>
        <w:suppressLineNumbers w:val="0"/>
      </w:pPr>
      <w:r>
        <w:t>2、市级政府采购项目谈判文件、竞标文件、采购结果公告、供货协议等相关文件是本合同不可分割的组成部分，本合同未尽事宜从其规定。</w:t>
      </w:r>
    </w:p>
    <w:p w14:paraId="66B7D0AE">
      <w:pPr>
        <w:pStyle w:val="4"/>
        <w:keepNext w:val="0"/>
        <w:keepLines w:val="0"/>
        <w:widowControl/>
        <w:suppressLineNumbers w:val="0"/>
      </w:pPr>
      <w:r>
        <w:t>3、本合同一式三份，经甲乙双方加盖公章后生效。甲乙双方和同级政府采购监管部门备案一份。</w:t>
      </w:r>
    </w:p>
    <w:p w14:paraId="2F182F0C">
      <w:pPr>
        <w:pStyle w:val="4"/>
        <w:keepNext w:val="0"/>
        <w:keepLines w:val="0"/>
        <w:widowControl/>
        <w:suppressLineNumbers w:val="0"/>
      </w:pPr>
      <w:r>
        <w:t>采购人(盖章)：陕西省安康市人民检察院</w:t>
      </w:r>
    </w:p>
    <w:p w14:paraId="170EE14C">
      <w:pPr>
        <w:pStyle w:val="4"/>
        <w:keepNext w:val="0"/>
        <w:keepLines w:val="0"/>
        <w:widowControl/>
        <w:suppressLineNumbers w:val="0"/>
      </w:pPr>
      <w:r>
        <w:t>法定代表人(或授权代表)：陈猛</w:t>
      </w:r>
    </w:p>
    <w:p w14:paraId="76941A19">
      <w:pPr>
        <w:pStyle w:val="4"/>
        <w:keepNext w:val="0"/>
        <w:keepLines w:val="0"/>
        <w:widowControl/>
        <w:suppressLineNumbers w:val="0"/>
      </w:pPr>
      <w:r>
        <w:t>地址：陕西省安康市江北滨江大道9号</w:t>
      </w:r>
    </w:p>
    <w:p w14:paraId="0C539E13">
      <w:pPr>
        <w:pStyle w:val="4"/>
        <w:keepNext w:val="0"/>
        <w:keepLines w:val="0"/>
        <w:widowControl/>
        <w:suppressLineNumbers w:val="0"/>
      </w:pPr>
      <w:r>
        <w:t>电话：0915-3336660</w:t>
      </w:r>
    </w:p>
    <w:p w14:paraId="3D35C7D0">
      <w:pPr>
        <w:pStyle w:val="4"/>
        <w:keepNext w:val="0"/>
        <w:keepLines w:val="0"/>
        <w:widowControl/>
        <w:suppressLineNumbers w:val="0"/>
        <w:spacing w:before="0" w:beforeAutospacing="1" w:after="0" w:afterAutospacing="1"/>
        <w:ind w:left="0" w:right="0"/>
      </w:pPr>
      <w:r>
        <w:t>2025年11月18日</w:t>
      </w:r>
    </w:p>
    <w:p w14:paraId="380EBAF0">
      <w:pPr>
        <w:pStyle w:val="4"/>
        <w:keepNext w:val="0"/>
        <w:keepLines w:val="0"/>
        <w:widowControl/>
        <w:suppressLineNumbers w:val="0"/>
      </w:pPr>
      <w:r>
        <w:t>供应商(盖章)：安康市新博电子科技有限公司</w:t>
      </w:r>
    </w:p>
    <w:p w14:paraId="04D6E7B2">
      <w:pPr>
        <w:pStyle w:val="4"/>
        <w:keepNext w:val="0"/>
        <w:keepLines w:val="0"/>
        <w:widowControl/>
        <w:suppressLineNumbers w:val="0"/>
      </w:pPr>
      <w:r>
        <w:t xml:space="preserve">法定代表人(或授权代表)： 王化安 </w:t>
      </w:r>
    </w:p>
    <w:p w14:paraId="0FDCED7C">
      <w:pPr>
        <w:pStyle w:val="4"/>
        <w:keepNext w:val="0"/>
        <w:keepLines w:val="0"/>
        <w:widowControl/>
        <w:suppressLineNumbers w:val="0"/>
      </w:pPr>
      <w:r>
        <w:t>地址：安康市汉滨区香溪路27号</w:t>
      </w:r>
    </w:p>
    <w:p w14:paraId="0BADC31C">
      <w:pPr>
        <w:pStyle w:val="4"/>
        <w:keepNext w:val="0"/>
        <w:keepLines w:val="0"/>
        <w:widowControl/>
        <w:suppressLineNumbers w:val="0"/>
      </w:pPr>
      <w:r>
        <w:t>电话：17709157117</w:t>
      </w:r>
    </w:p>
    <w:p w14:paraId="2988A4E5">
      <w:pPr>
        <w:pStyle w:val="4"/>
        <w:keepNext w:val="0"/>
        <w:keepLines w:val="0"/>
        <w:widowControl/>
        <w:suppressLineNumbers w:val="0"/>
        <w:spacing w:before="0" w:beforeAutospacing="1" w:after="0" w:afterAutospacing="1"/>
        <w:ind w:left="0" w:right="0"/>
      </w:pPr>
      <w:r>
        <w:t>2025年11月18日</w:t>
      </w:r>
    </w:p>
    <w:p w14:paraId="64CDC6CE">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A52548"/>
    <w:rsid w:val="0C114A90"/>
    <w:rsid w:val="14504752"/>
    <w:rsid w:val="20474C5B"/>
    <w:rsid w:val="3CBE5E4E"/>
    <w:rsid w:val="3FB64785"/>
    <w:rsid w:val="40275AB8"/>
    <w:rsid w:val="43635059"/>
    <w:rsid w:val="53CB0C2C"/>
    <w:rsid w:val="714979B6"/>
    <w:rsid w:val="722774B8"/>
    <w:rsid w:val="7FA206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2101</Words>
  <Characters>2542</Characters>
  <Lines>0</Lines>
  <Paragraphs>0</Paragraphs>
  <TotalTime>151</TotalTime>
  <ScaleCrop>false</ScaleCrop>
  <LinksUpToDate>false</LinksUpToDate>
  <CharactersWithSpaces>2582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2025-10-10T01:16:00Z</dcterms:created>
  <dc:creator>Administrator</dc:creator>
  <cp:lastModifiedBy>千与千寻</cp:lastModifiedBy>
  <dcterms:modified xsi:type="dcterms:W3CDTF">2025-11-19T00:24:55Z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eyJoZGlkIjoiY2RkMmM0NzgwYjFjNjkxNGFhNjM5OWNlMGI2OWU4MGYiLCJ1c2VySWQiOiI0MTk3NzQ5MjYifQ==</vt:lpwstr>
  </property>
  <property fmtid="{D5CDD505-2E9C-101B-9397-08002B2CF9AE}" pid="4" name="ICV">
    <vt:lpwstr>C6C5B595B88842E69AC67A597080B622_12</vt:lpwstr>
  </property>
</Properties>
</file>