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AD3BA0">
      <w:pPr>
        <w:jc w:val="center"/>
        <w:rPr>
          <w:rFonts w:ascii="宋体" w:hAnsi="宋体" w:eastAsia="宋体" w:cs="宋体"/>
          <w:b/>
          <w:bCs/>
          <w:sz w:val="56"/>
          <w:szCs w:val="44"/>
        </w:rPr>
      </w:pPr>
    </w:p>
    <w:p w14:paraId="08EDD250">
      <w:pPr>
        <w:pStyle w:val="10"/>
        <w:spacing w:line="240" w:lineRule="auto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52"/>
          <w:szCs w:val="52"/>
          <w:lang w:eastAsia="zh-CN"/>
        </w:rPr>
      </w:pPr>
      <w:bookmarkStart w:id="0" w:name="_Hlk2594059"/>
      <w:r>
        <w:rPr>
          <w:rFonts w:hint="eastAsia" w:ascii="宋体" w:hAnsi="宋体" w:eastAsia="宋体" w:cs="宋体"/>
          <w:b/>
          <w:bCs/>
          <w:sz w:val="52"/>
          <w:szCs w:val="52"/>
          <w:lang w:eastAsia="zh-CN"/>
        </w:rPr>
        <w:t>延安市安塞区人民检察院分级保护国产化替代安全升级服务项目</w:t>
      </w:r>
    </w:p>
    <w:p w14:paraId="2FC6CFE1">
      <w:pPr>
        <w:pStyle w:val="10"/>
        <w:spacing w:line="240" w:lineRule="auto"/>
        <w:ind w:left="0" w:leftChars="0" w:firstLine="0" w:firstLineChars="0"/>
        <w:jc w:val="center"/>
        <w:rPr>
          <w:rFonts w:hint="default" w:ascii="宋体" w:hAnsi="宋体" w:eastAsia="宋体" w:cs="宋体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kern w:val="0"/>
          <w:sz w:val="28"/>
          <w:szCs w:val="28"/>
        </w:rPr>
        <w:t>项目编号：</w:t>
      </w:r>
      <w:r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/>
        </w:rPr>
        <w:t>ZYXT</w:t>
      </w:r>
      <w:r>
        <w:rPr>
          <w:rFonts w:hint="eastAsia" w:ascii="宋体" w:hAnsi="宋体" w:eastAsia="宋体" w:cs="宋体"/>
          <w:b/>
          <w:bCs/>
          <w:kern w:val="0"/>
          <w:sz w:val="28"/>
          <w:szCs w:val="28"/>
          <w:lang w:eastAsia="zh-CN"/>
        </w:rPr>
        <w:t>-202</w:t>
      </w:r>
      <w:r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/>
        </w:rPr>
        <w:t>502-05）</w:t>
      </w:r>
    </w:p>
    <w:p w14:paraId="5B165AF8">
      <w:pPr>
        <w:jc w:val="center"/>
        <w:rPr>
          <w:rFonts w:ascii="宋体" w:hAnsi="宋体" w:eastAsia="宋体" w:cs="宋体"/>
          <w:b/>
          <w:bCs/>
          <w:sz w:val="32"/>
          <w:szCs w:val="32"/>
        </w:rPr>
      </w:pPr>
    </w:p>
    <w:bookmarkEnd w:id="0"/>
    <w:p w14:paraId="4E8EC83C">
      <w:pPr>
        <w:spacing w:line="560" w:lineRule="exact"/>
        <w:rPr>
          <w:rFonts w:hint="eastAsia" w:ascii="宋体" w:hAnsi="宋体" w:eastAsia="宋体" w:cs="宋体"/>
          <w:b/>
          <w:bCs/>
          <w:sz w:val="28"/>
          <w:szCs w:val="36"/>
        </w:rPr>
      </w:pPr>
    </w:p>
    <w:p w14:paraId="29A3273E">
      <w:pPr>
        <w:spacing w:line="560" w:lineRule="exact"/>
        <w:jc w:val="center"/>
        <w:rPr>
          <w:rFonts w:hint="eastAsia" w:ascii="宋体" w:hAnsi="宋体" w:eastAsia="宋体" w:cs="宋体"/>
          <w:b/>
          <w:bCs/>
          <w:kern w:val="0"/>
          <w:sz w:val="56"/>
          <w:szCs w:val="56"/>
        </w:rPr>
      </w:pPr>
    </w:p>
    <w:p w14:paraId="0DFD6FA6">
      <w:pPr>
        <w:spacing w:line="560" w:lineRule="exact"/>
        <w:jc w:val="center"/>
        <w:rPr>
          <w:rFonts w:hint="eastAsia" w:ascii="宋体" w:hAnsi="宋体" w:eastAsia="宋体" w:cs="宋体"/>
          <w:b/>
          <w:bCs/>
          <w:kern w:val="0"/>
          <w:sz w:val="56"/>
          <w:szCs w:val="56"/>
        </w:rPr>
      </w:pPr>
      <w:r>
        <w:rPr>
          <w:rFonts w:hint="eastAsia" w:ascii="宋体" w:hAnsi="宋体" w:eastAsia="宋体" w:cs="宋体"/>
          <w:b/>
          <w:bCs/>
          <w:kern w:val="0"/>
          <w:sz w:val="56"/>
          <w:szCs w:val="56"/>
        </w:rPr>
        <w:t>合</w:t>
      </w:r>
    </w:p>
    <w:p w14:paraId="648C1059">
      <w:pPr>
        <w:spacing w:line="560" w:lineRule="exact"/>
        <w:jc w:val="center"/>
        <w:rPr>
          <w:rFonts w:hint="eastAsia" w:ascii="宋体" w:hAnsi="宋体" w:eastAsia="宋体" w:cs="宋体"/>
          <w:b/>
          <w:bCs/>
          <w:kern w:val="0"/>
          <w:sz w:val="56"/>
          <w:szCs w:val="56"/>
        </w:rPr>
      </w:pPr>
    </w:p>
    <w:p w14:paraId="21C8E437">
      <w:pPr>
        <w:spacing w:line="560" w:lineRule="exact"/>
        <w:jc w:val="center"/>
        <w:rPr>
          <w:rFonts w:hint="eastAsia" w:ascii="宋体" w:hAnsi="宋体" w:eastAsia="宋体" w:cs="宋体"/>
          <w:b/>
          <w:bCs/>
          <w:kern w:val="0"/>
          <w:sz w:val="56"/>
          <w:szCs w:val="56"/>
        </w:rPr>
      </w:pPr>
    </w:p>
    <w:p w14:paraId="07216969">
      <w:pPr>
        <w:spacing w:line="560" w:lineRule="exact"/>
        <w:jc w:val="center"/>
        <w:rPr>
          <w:rFonts w:hint="eastAsia" w:ascii="宋体" w:hAnsi="宋体" w:eastAsia="宋体" w:cs="宋体"/>
          <w:b/>
          <w:bCs/>
          <w:kern w:val="0"/>
          <w:sz w:val="56"/>
          <w:szCs w:val="56"/>
        </w:rPr>
      </w:pPr>
      <w:r>
        <w:rPr>
          <w:rFonts w:hint="eastAsia" w:ascii="宋体" w:hAnsi="宋体" w:eastAsia="宋体" w:cs="宋体"/>
          <w:b/>
          <w:bCs/>
          <w:kern w:val="0"/>
          <w:sz w:val="56"/>
          <w:szCs w:val="56"/>
        </w:rPr>
        <w:t>同</w:t>
      </w:r>
    </w:p>
    <w:p w14:paraId="70FD91FB">
      <w:pPr>
        <w:spacing w:line="560" w:lineRule="exact"/>
        <w:jc w:val="center"/>
        <w:rPr>
          <w:rFonts w:hint="eastAsia" w:ascii="宋体" w:hAnsi="宋体" w:eastAsia="宋体" w:cs="宋体"/>
          <w:b/>
          <w:bCs/>
          <w:kern w:val="0"/>
          <w:sz w:val="56"/>
          <w:szCs w:val="56"/>
        </w:rPr>
      </w:pPr>
    </w:p>
    <w:p w14:paraId="22144481">
      <w:pPr>
        <w:spacing w:line="560" w:lineRule="exact"/>
        <w:jc w:val="center"/>
        <w:rPr>
          <w:rFonts w:hint="eastAsia" w:ascii="宋体" w:hAnsi="宋体" w:eastAsia="宋体" w:cs="宋体"/>
          <w:b/>
          <w:bCs/>
          <w:kern w:val="0"/>
          <w:sz w:val="56"/>
          <w:szCs w:val="56"/>
        </w:rPr>
      </w:pPr>
    </w:p>
    <w:p w14:paraId="164615C2">
      <w:pPr>
        <w:spacing w:line="560" w:lineRule="exact"/>
        <w:jc w:val="center"/>
        <w:rPr>
          <w:rFonts w:hint="eastAsia" w:ascii="宋体" w:hAnsi="宋体" w:eastAsia="宋体" w:cs="宋体"/>
          <w:b/>
          <w:bCs/>
          <w:kern w:val="0"/>
          <w:sz w:val="56"/>
          <w:szCs w:val="56"/>
        </w:rPr>
      </w:pPr>
      <w:r>
        <w:rPr>
          <w:rFonts w:hint="eastAsia" w:ascii="宋体" w:hAnsi="宋体" w:eastAsia="宋体" w:cs="宋体"/>
          <w:b/>
          <w:bCs/>
          <w:kern w:val="0"/>
          <w:sz w:val="56"/>
          <w:szCs w:val="56"/>
        </w:rPr>
        <w:t>书</w:t>
      </w:r>
    </w:p>
    <w:p w14:paraId="68C845FA">
      <w:pPr>
        <w:spacing w:line="560" w:lineRule="exact"/>
        <w:rPr>
          <w:rFonts w:hint="eastAsia" w:ascii="宋体" w:hAnsi="宋体" w:eastAsia="宋体" w:cs="宋体"/>
          <w:kern w:val="0"/>
          <w:szCs w:val="24"/>
        </w:rPr>
      </w:pPr>
    </w:p>
    <w:p w14:paraId="488D0B3B">
      <w:pPr>
        <w:pStyle w:val="10"/>
        <w:rPr>
          <w:rFonts w:hint="eastAsia" w:ascii="宋体" w:hAnsi="宋体" w:eastAsia="宋体" w:cs="宋体"/>
        </w:rPr>
      </w:pPr>
    </w:p>
    <w:p w14:paraId="60D0A75B">
      <w:pPr>
        <w:pStyle w:val="10"/>
        <w:rPr>
          <w:rFonts w:hint="eastAsia" w:ascii="宋体" w:hAnsi="宋体" w:eastAsia="宋体" w:cs="宋体"/>
        </w:rPr>
      </w:pPr>
    </w:p>
    <w:p w14:paraId="5977A08A">
      <w:pPr>
        <w:pStyle w:val="10"/>
        <w:rPr>
          <w:rFonts w:hint="eastAsia" w:ascii="宋体" w:hAnsi="宋体" w:eastAsia="宋体" w:cs="宋体"/>
        </w:rPr>
      </w:pPr>
    </w:p>
    <w:p w14:paraId="61250DBF">
      <w:pPr>
        <w:spacing w:line="560" w:lineRule="exact"/>
        <w:ind w:firstLine="2160" w:firstLineChars="600"/>
        <w:jc w:val="both"/>
        <w:rPr>
          <w:rFonts w:hint="eastAsia" w:ascii="宋体" w:hAnsi="宋体" w:eastAsia="宋体" w:cs="宋体"/>
          <w:kern w:val="0"/>
          <w:sz w:val="36"/>
          <w:szCs w:val="36"/>
        </w:rPr>
      </w:pPr>
      <w:r>
        <w:rPr>
          <w:rFonts w:hint="eastAsia" w:ascii="宋体" w:hAnsi="宋体" w:eastAsia="宋体" w:cs="宋体"/>
          <w:kern w:val="0"/>
          <w:sz w:val="36"/>
          <w:szCs w:val="36"/>
        </w:rPr>
        <w:t>甲 方</w:t>
      </w:r>
      <w:r>
        <w:rPr>
          <w:rFonts w:hint="eastAsia" w:ascii="宋体" w:hAnsi="宋体" w:eastAsia="宋体" w:cs="宋体"/>
          <w:kern w:val="0"/>
          <w:sz w:val="36"/>
          <w:szCs w:val="36"/>
          <w:lang w:eastAsia="zh-CN"/>
        </w:rPr>
        <w:t>：</w:t>
      </w:r>
      <w:r>
        <w:rPr>
          <w:rFonts w:hint="eastAsia" w:ascii="宋体" w:hAnsi="宋体" w:cs="宋体"/>
          <w:kern w:val="0"/>
          <w:sz w:val="36"/>
          <w:szCs w:val="36"/>
          <w:lang w:val="en-US" w:eastAsia="zh-CN"/>
        </w:rPr>
        <w:t>延安市安塞区</w:t>
      </w:r>
      <w:r>
        <w:rPr>
          <w:rFonts w:hint="eastAsia" w:ascii="宋体" w:hAnsi="宋体" w:eastAsia="宋体" w:cs="宋体"/>
          <w:kern w:val="0"/>
          <w:sz w:val="36"/>
          <w:szCs w:val="36"/>
        </w:rPr>
        <w:t>人民检察院</w:t>
      </w:r>
    </w:p>
    <w:p w14:paraId="2FBED84B">
      <w:pPr>
        <w:spacing w:line="560" w:lineRule="exact"/>
        <w:jc w:val="center"/>
        <w:rPr>
          <w:rFonts w:hint="eastAsia" w:ascii="宋体" w:hAnsi="宋体" w:eastAsia="宋体" w:cs="宋体"/>
          <w:kern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kern w:val="0"/>
          <w:sz w:val="36"/>
          <w:szCs w:val="36"/>
          <w:lang w:val="en-US" w:eastAsia="zh-CN"/>
        </w:rPr>
        <w:t xml:space="preserve">            </w:t>
      </w:r>
      <w:r>
        <w:rPr>
          <w:rFonts w:hint="eastAsia" w:ascii="宋体" w:hAnsi="宋体" w:eastAsia="宋体" w:cs="宋体"/>
          <w:kern w:val="0"/>
          <w:sz w:val="36"/>
          <w:szCs w:val="36"/>
        </w:rPr>
        <w:t>乙 方：</w:t>
      </w:r>
      <w:r>
        <w:rPr>
          <w:rFonts w:hint="eastAsia" w:ascii="宋体" w:hAnsi="宋体" w:eastAsia="宋体" w:cs="宋体"/>
          <w:kern w:val="0"/>
          <w:sz w:val="36"/>
          <w:szCs w:val="36"/>
          <w:lang w:val="en-US" w:eastAsia="zh-CN"/>
        </w:rPr>
        <w:t>陕西中延信通信息科技有限公司</w:t>
      </w:r>
    </w:p>
    <w:p w14:paraId="5109CE0E">
      <w:pPr>
        <w:spacing w:before="156" w:beforeLines="50" w:after="312" w:afterLines="100"/>
        <w:jc w:val="center"/>
        <w:outlineLvl w:val="0"/>
        <w:rPr>
          <w:rFonts w:hint="eastAsia" w:ascii="宋体" w:hAnsi="宋体" w:eastAsia="宋体" w:cs="宋体"/>
          <w:b/>
          <w:sz w:val="40"/>
          <w:szCs w:val="40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 w:start="1"/>
          <w:cols w:space="720" w:num="1"/>
          <w:docGrid w:type="lines" w:linePitch="312" w:charSpace="0"/>
        </w:sectPr>
      </w:pPr>
    </w:p>
    <w:p w14:paraId="79D335DE">
      <w:pPr>
        <w:spacing w:before="156" w:beforeLines="50" w:after="312" w:afterLines="100"/>
        <w:jc w:val="center"/>
        <w:outlineLvl w:val="0"/>
        <w:rPr>
          <w:rFonts w:hint="eastAsia" w:ascii="宋体" w:hAnsi="宋体" w:eastAsia="宋体" w:cs="宋体"/>
          <w:b/>
          <w:sz w:val="40"/>
          <w:szCs w:val="40"/>
        </w:rPr>
      </w:pPr>
      <w:r>
        <w:rPr>
          <w:rFonts w:hint="eastAsia" w:ascii="宋体" w:hAnsi="宋体" w:eastAsia="宋体" w:cs="宋体"/>
          <w:b/>
          <w:sz w:val="40"/>
          <w:szCs w:val="40"/>
        </w:rPr>
        <w:t>合同条款</w:t>
      </w:r>
    </w:p>
    <w:p w14:paraId="7D5E042D">
      <w:pPr>
        <w:spacing w:line="360" w:lineRule="auto"/>
        <w:rPr>
          <w:rFonts w:hint="eastAsia" w:ascii="宋体" w:hAnsi="宋体" w:eastAsia="宋体" w:cs="宋体"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甲方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延安市安塞区</w:t>
      </w:r>
      <w:r>
        <w:rPr>
          <w:rFonts w:hint="eastAsia" w:ascii="宋体" w:hAnsi="宋体" w:eastAsia="宋体" w:cs="宋体"/>
          <w:sz w:val="28"/>
          <w:szCs w:val="28"/>
        </w:rPr>
        <w:t>人民检察院（以下简称甲方）</w:t>
      </w:r>
    </w:p>
    <w:p w14:paraId="57844B8F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乙方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陕西中延信通信息科技有限公司</w:t>
      </w:r>
      <w:r>
        <w:rPr>
          <w:rFonts w:hint="eastAsia" w:ascii="宋体" w:hAnsi="宋体" w:eastAsia="宋体" w:cs="宋体"/>
          <w:sz w:val="28"/>
          <w:szCs w:val="28"/>
        </w:rPr>
        <w:t>（以下简称乙方）</w:t>
      </w:r>
    </w:p>
    <w:p w14:paraId="49BC7FCA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签订地点：</w:t>
      </w:r>
      <w:r>
        <w:rPr>
          <w:rFonts w:hint="eastAsia" w:ascii="宋体" w:hAnsi="宋体" w:cs="宋体"/>
          <w:sz w:val="28"/>
          <w:szCs w:val="28"/>
          <w:lang w:eastAsia="zh-CN"/>
        </w:rPr>
        <w:t>延安市安塞区</w:t>
      </w:r>
      <w:r>
        <w:rPr>
          <w:rFonts w:hint="eastAsia" w:ascii="宋体" w:hAnsi="宋体" w:eastAsia="宋体" w:cs="宋体"/>
          <w:sz w:val="28"/>
          <w:szCs w:val="28"/>
        </w:rPr>
        <w:t>人民检察院</w:t>
      </w:r>
    </w:p>
    <w:p w14:paraId="5D306D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延安市安塞区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人民检察院分级保护</w:t>
      </w:r>
      <w:bookmarkStart w:id="1" w:name="_GoBack"/>
      <w:bookmarkEnd w:id="1"/>
      <w:r>
        <w:rPr>
          <w:rFonts w:hint="eastAsia" w:ascii="宋体" w:hAnsi="宋体" w:eastAsia="宋体" w:cs="宋体"/>
          <w:sz w:val="28"/>
          <w:szCs w:val="28"/>
          <w:lang w:eastAsia="zh-CN"/>
        </w:rPr>
        <w:t>国产化替代安全升级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技术服务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项目</w:t>
      </w:r>
      <w:r>
        <w:rPr>
          <w:rFonts w:hint="eastAsia" w:ascii="宋体" w:hAnsi="宋体" w:eastAsia="宋体" w:cs="宋体"/>
          <w:sz w:val="28"/>
          <w:szCs w:val="28"/>
        </w:rPr>
        <w:t>，依据国家《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中华人民共和国民法典</w:t>
      </w:r>
      <w:r>
        <w:rPr>
          <w:rFonts w:hint="eastAsia" w:ascii="宋体" w:hAnsi="宋体" w:eastAsia="宋体" w:cs="宋体"/>
          <w:sz w:val="28"/>
          <w:szCs w:val="28"/>
        </w:rPr>
        <w:t>》、《政府采购法》及按照采购程序，经甲、乙双方协商，达成如下合同条款。</w:t>
      </w:r>
    </w:p>
    <w:p w14:paraId="5A344AE4">
      <w:pPr>
        <w:spacing w:line="360" w:lineRule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一、合同标的清单及数量</w:t>
      </w:r>
    </w:p>
    <w:p w14:paraId="6EDBF5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default" w:ascii="宋体" w:hAnsi="宋体" w:eastAsia="宋体" w:cs="宋体"/>
          <w:sz w:val="28"/>
          <w:szCs w:val="28"/>
          <w:lang w:val="en-US"/>
        </w:rPr>
      </w:pPr>
      <w:r>
        <w:rPr>
          <w:rFonts w:hint="eastAsia" w:ascii="宋体" w:hAnsi="宋体" w:eastAsia="宋体" w:cs="宋体"/>
          <w:sz w:val="28"/>
          <w:szCs w:val="28"/>
        </w:rPr>
        <w:t>乙方向甲方提供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延安市安塞区</w:t>
      </w:r>
      <w:r>
        <w:rPr>
          <w:rFonts w:hint="eastAsia" w:ascii="宋体" w:hAnsi="宋体" w:eastAsia="宋体" w:cs="宋体"/>
          <w:sz w:val="28"/>
          <w:szCs w:val="28"/>
        </w:rPr>
        <w:t>人民检察院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国产化USG防火墙系统安全升级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技术服务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项目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eastAsia="宋体" w:cs="宋体"/>
          <w:b/>
          <w:sz w:val="28"/>
          <w:szCs w:val="28"/>
        </w:rPr>
        <w:t>详见附件</w:t>
      </w:r>
      <w:r>
        <w:rPr>
          <w:rFonts w:hint="eastAsia" w:ascii="宋体" w:hAnsi="宋体" w:eastAsia="宋体" w:cs="宋体"/>
          <w:b/>
          <w:sz w:val="28"/>
          <w:szCs w:val="28"/>
          <w:lang w:val="en-US" w:eastAsia="zh-CN"/>
        </w:rPr>
        <w:t>一</w:t>
      </w:r>
    </w:p>
    <w:p w14:paraId="56026C33">
      <w:pPr>
        <w:spacing w:line="360" w:lineRule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二、合同价款</w:t>
      </w:r>
    </w:p>
    <w:p w14:paraId="141B09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合同金额（大写）：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>捌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万元整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；（小写）：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>8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0000.00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元。</w:t>
      </w:r>
    </w:p>
    <w:p w14:paraId="4CB3CC9C">
      <w:pPr>
        <w:spacing w:line="360" w:lineRule="auto"/>
        <w:rPr>
          <w:rFonts w:hint="eastAsia" w:ascii="宋体" w:hAnsi="宋体" w:eastAsia="宋体" w:cs="宋体"/>
          <w:b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sz w:val="28"/>
          <w:szCs w:val="28"/>
        </w:rPr>
        <w:t>三、付款方式</w:t>
      </w:r>
      <w:r>
        <w:rPr>
          <w:rFonts w:hint="eastAsia" w:ascii="宋体" w:hAnsi="宋体" w:eastAsia="宋体" w:cs="宋体"/>
          <w:b/>
          <w:sz w:val="28"/>
          <w:szCs w:val="28"/>
          <w:lang w:val="en-US" w:eastAsia="zh-CN"/>
        </w:rPr>
        <w:t xml:space="preserve"> </w:t>
      </w:r>
    </w:p>
    <w:p w14:paraId="6C3118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合同签订后</w:t>
      </w:r>
      <w:r>
        <w:rPr>
          <w:rFonts w:hint="eastAsia" w:ascii="宋体" w:hAnsi="宋体" w:eastAsia="宋体" w:cs="宋体"/>
          <w:sz w:val="28"/>
          <w:szCs w:val="28"/>
          <w:u w:val="none" w:color="auto"/>
          <w:lang w:val="en-US" w:eastAsia="zh-CN"/>
        </w:rPr>
        <w:t>30天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内甲方向</w:t>
      </w:r>
      <w:r>
        <w:rPr>
          <w:rFonts w:hint="eastAsia" w:ascii="宋体" w:hAnsi="宋体" w:eastAsia="宋体" w:cs="宋体"/>
          <w:sz w:val="28"/>
          <w:szCs w:val="28"/>
        </w:rPr>
        <w:t>乙方支付合同额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的100</w:t>
      </w:r>
      <w:r>
        <w:rPr>
          <w:rFonts w:hint="eastAsia" w:ascii="宋体" w:hAnsi="宋体" w:eastAsia="宋体" w:cs="宋体"/>
          <w:sz w:val="28"/>
          <w:szCs w:val="28"/>
        </w:rPr>
        <w:t>%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2B7738C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ind w:firstLine="560" w:firstLineChars="200"/>
        <w:jc w:val="both"/>
        <w:textAlignment w:val="auto"/>
        <w:rPr>
          <w:rFonts w:hint="eastAsia" w:ascii="宋体" w:hAnsi="宋体" w:eastAsia="宋体" w:cs="宋体"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kern w:val="2"/>
          <w:sz w:val="28"/>
          <w:szCs w:val="28"/>
          <w:lang w:val="en-US" w:eastAsia="zh-CN" w:bidi="ar-SA"/>
        </w:rPr>
        <w:t>乙方账户信息如下：</w:t>
      </w:r>
    </w:p>
    <w:p w14:paraId="164C5F37">
      <w:pPr>
        <w:autoSpaceDE w:val="0"/>
        <w:autoSpaceDN w:val="0"/>
        <w:spacing w:line="560" w:lineRule="exact"/>
        <w:ind w:firstLine="560" w:firstLineChars="200"/>
        <w:rPr>
          <w:rFonts w:hint="eastAsia" w:ascii="宋体" w:hAnsi="宋体" w:eastAsia="宋体" w:cs="宋体"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kern w:val="2"/>
          <w:sz w:val="28"/>
          <w:szCs w:val="28"/>
          <w:lang w:val="en-US" w:eastAsia="zh-CN" w:bidi="ar-SA"/>
        </w:rPr>
        <w:t>户  名：</w:t>
      </w:r>
      <w:r>
        <w:rPr>
          <w:rFonts w:hint="eastAsia" w:ascii="宋体" w:hAnsi="宋体" w:eastAsia="宋体" w:cs="宋体"/>
          <w:kern w:val="0"/>
          <w:sz w:val="28"/>
          <w:szCs w:val="28"/>
          <w:lang w:eastAsia="zh-CN"/>
        </w:rPr>
        <w:t>陕西中延信通信息科技有限公司</w:t>
      </w:r>
    </w:p>
    <w:p w14:paraId="74B54D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kern w:val="2"/>
          <w:sz w:val="28"/>
          <w:szCs w:val="28"/>
          <w:lang w:val="en-US" w:eastAsia="zh-CN" w:bidi="ar-SA"/>
        </w:rPr>
        <w:t>开户行：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/>
        </w:rPr>
        <w:t>华夏银行延安分行营业部</w:t>
      </w:r>
    </w:p>
    <w:p w14:paraId="4CFD23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eastAsia="宋体"/>
        </w:rPr>
      </w:pPr>
      <w:r>
        <w:rPr>
          <w:rFonts w:hint="eastAsia" w:ascii="宋体" w:hAnsi="宋体" w:eastAsia="宋体" w:cs="宋体"/>
          <w:color w:val="auto"/>
          <w:kern w:val="2"/>
          <w:sz w:val="28"/>
          <w:szCs w:val="28"/>
          <w:lang w:val="en-US" w:eastAsia="zh-CN" w:bidi="ar-SA"/>
        </w:rPr>
        <w:t>账  号：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/>
        </w:rPr>
        <w:t>17130000000099339</w:t>
      </w:r>
    </w:p>
    <w:p w14:paraId="1C86802E">
      <w:pPr>
        <w:spacing w:line="360" w:lineRule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四、违约责任</w:t>
      </w:r>
    </w:p>
    <w:p w14:paraId="49A7C1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1.甲方应按期支付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安全升级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技术服务费用。</w:t>
      </w:r>
    </w:p>
    <w:p w14:paraId="6790B8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因履行本合同引起的争议，甲、乙双方应首先通过友好协商解决。</w:t>
      </w:r>
    </w:p>
    <w:p w14:paraId="15A32489">
      <w:pPr>
        <w:spacing w:line="360" w:lineRule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五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、质保措施</w:t>
      </w:r>
    </w:p>
    <w:p w14:paraId="2D4029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、乙方应当保证所供货物的来源渠道正常，产品是全新的、未使用过的、且完全符合合同规定的质量、规格、技术指标等要求，并在质保期内、外应对由于产品（设备）设计、工艺或材料的缺陷而产生的质量问题负责。</w:t>
      </w:r>
    </w:p>
    <w:p w14:paraId="206A24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乙方完成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安全升级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技术服务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项目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后质保期一年，在质保期内，如果发现货物的质量、规格、技术指标等存在与合同中任何一项不符，采购人应在最短时间内，以书面形式向乙方提出索赔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 w14:paraId="7E58C453">
      <w:pPr>
        <w:spacing w:line="360" w:lineRule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六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、人员培训</w:t>
      </w:r>
    </w:p>
    <w:p w14:paraId="60B641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乙方</w:t>
      </w:r>
      <w:r>
        <w:rPr>
          <w:rFonts w:hint="eastAsia" w:ascii="宋体" w:hAnsi="宋体" w:eastAsia="宋体" w:cs="宋体"/>
          <w:sz w:val="28"/>
          <w:szCs w:val="28"/>
        </w:rPr>
        <w:t>提供免费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技术</w:t>
      </w:r>
      <w:r>
        <w:rPr>
          <w:rFonts w:hint="eastAsia" w:ascii="宋体" w:hAnsi="宋体" w:eastAsia="宋体" w:cs="宋体"/>
          <w:sz w:val="28"/>
          <w:szCs w:val="28"/>
        </w:rPr>
        <w:t>培训，人数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和</w:t>
      </w:r>
      <w:r>
        <w:rPr>
          <w:rFonts w:hint="eastAsia" w:ascii="宋体" w:hAnsi="宋体" w:eastAsia="宋体" w:cs="宋体"/>
          <w:sz w:val="28"/>
          <w:szCs w:val="28"/>
        </w:rPr>
        <w:t>地点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由甲方确定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 w14:paraId="3600E404">
      <w:pPr>
        <w:spacing w:line="360" w:lineRule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七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、合同争议的解决</w:t>
      </w:r>
    </w:p>
    <w:p w14:paraId="457FCE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合同执行中发生争议的，当事人双方应协商解决，协商达不成一致时，可向人民法院提请诉讼。</w:t>
      </w:r>
    </w:p>
    <w:p w14:paraId="3811B662">
      <w:pPr>
        <w:spacing w:line="360" w:lineRule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八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、 合同生效及其他</w:t>
      </w:r>
    </w:p>
    <w:p w14:paraId="156981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.</w:t>
      </w:r>
      <w:r>
        <w:rPr>
          <w:rFonts w:hint="eastAsia" w:ascii="宋体" w:hAnsi="宋体" w:eastAsia="宋体" w:cs="宋体"/>
          <w:sz w:val="28"/>
          <w:szCs w:val="28"/>
        </w:rPr>
        <w:t>如有未尽事宜，由双方依法订立补充合同。</w:t>
      </w:r>
    </w:p>
    <w:p w14:paraId="17F796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.</w:t>
      </w:r>
      <w:r>
        <w:rPr>
          <w:rFonts w:hint="eastAsia" w:ascii="宋体" w:hAnsi="宋体" w:eastAsia="宋体" w:cs="宋体"/>
          <w:sz w:val="28"/>
          <w:szCs w:val="28"/>
        </w:rPr>
        <w:t>本合同自签订之日起生效。</w:t>
      </w:r>
    </w:p>
    <w:p w14:paraId="4CD0A6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.</w:t>
      </w:r>
      <w:r>
        <w:rPr>
          <w:rFonts w:hint="eastAsia" w:ascii="宋体" w:hAnsi="宋体" w:eastAsia="宋体" w:cs="宋体"/>
          <w:sz w:val="28"/>
          <w:szCs w:val="28"/>
        </w:rPr>
        <w:t xml:space="preserve">本合同一式 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4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</w:rPr>
        <w:t>份，具有同等法律效力，甲乙双方各执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2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</w:rPr>
        <w:t>份。</w:t>
      </w:r>
    </w:p>
    <w:tbl>
      <w:tblPr>
        <w:tblStyle w:val="13"/>
        <w:tblpPr w:leftFromText="180" w:rightFromText="180" w:vertAnchor="text" w:horzAnchor="page" w:tblpX="1367" w:tblpY="636"/>
        <w:tblOverlap w:val="never"/>
        <w:tblW w:w="9613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6"/>
        <w:gridCol w:w="4847"/>
      </w:tblGrid>
      <w:tr w14:paraId="2B362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0" w:hRule="atLeast"/>
        </w:trPr>
        <w:tc>
          <w:tcPr>
            <w:tcW w:w="4766" w:type="dxa"/>
            <w:noWrap w:val="0"/>
            <w:tcMar>
              <w:top w:w="113" w:type="dxa"/>
              <w:left w:w="113" w:type="dxa"/>
              <w:bottom w:w="113" w:type="dxa"/>
              <w:right w:w="113" w:type="dxa"/>
            </w:tcMar>
            <w:vAlign w:val="top"/>
          </w:tcPr>
          <w:p w14:paraId="1645B2D5">
            <w:pPr>
              <w:autoSpaceDE w:val="0"/>
              <w:autoSpaceDN w:val="0"/>
              <w:spacing w:line="560" w:lineRule="exact"/>
              <w:jc w:val="lef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 xml:space="preserve">甲方名称：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延安市安塞区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人民检察院</w:t>
            </w:r>
          </w:p>
          <w:p w14:paraId="2CA695EB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</w:p>
          <w:p w14:paraId="197E172B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 xml:space="preserve">地 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 xml:space="preserve">  址： </w:t>
            </w:r>
          </w:p>
          <w:p w14:paraId="1F3CDDED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</w:p>
          <w:p w14:paraId="5D9F15E6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电    话：</w:t>
            </w:r>
          </w:p>
          <w:p w14:paraId="756484CB">
            <w:pPr>
              <w:pStyle w:val="2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</w:p>
          <w:p w14:paraId="2EA53771">
            <w:pPr>
              <w:rPr>
                <w:rFonts w:hint="eastAsia" w:ascii="宋体" w:hAnsi="宋体" w:eastAsia="宋体" w:cs="宋体"/>
              </w:rPr>
            </w:pPr>
          </w:p>
          <w:p w14:paraId="69C2F295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代表签字：</w:t>
            </w:r>
          </w:p>
          <w:p w14:paraId="193BE432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 xml:space="preserve">                 </w:t>
            </w:r>
          </w:p>
          <w:p w14:paraId="6631F4B0">
            <w:pPr>
              <w:pStyle w:val="10"/>
              <w:ind w:firstLine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4847" w:type="dxa"/>
            <w:noWrap w:val="0"/>
            <w:tcMar>
              <w:top w:w="113" w:type="dxa"/>
              <w:left w:w="113" w:type="dxa"/>
              <w:bottom w:w="113" w:type="dxa"/>
              <w:right w:w="113" w:type="dxa"/>
            </w:tcMar>
            <w:vAlign w:val="top"/>
          </w:tcPr>
          <w:p w14:paraId="280F4B7B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  <w:t>乙方名称：陕西中延信通信息科技有限公司</w:t>
            </w:r>
          </w:p>
          <w:p w14:paraId="55B13C12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  <w:t>地    址：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>陕西省西咸新区沣东新城世纪大道白桦林印象12楼1单元1701室</w:t>
            </w:r>
          </w:p>
          <w:p w14:paraId="2858DDC8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>开户行：华夏银行延安分行营业部</w:t>
            </w:r>
          </w:p>
          <w:p w14:paraId="762E730B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>账  号：17130000000099339</w:t>
            </w:r>
          </w:p>
          <w:p w14:paraId="37F9EC9B">
            <w:pPr>
              <w:autoSpaceDE w:val="0"/>
              <w:autoSpaceDN w:val="0"/>
              <w:spacing w:line="56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  <w:t>代表签字：</w:t>
            </w:r>
          </w:p>
          <w:p w14:paraId="18051EFA">
            <w:pPr>
              <w:spacing w:line="560" w:lineRule="exact"/>
              <w:ind w:left="210" w:leftChars="100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 xml:space="preserve"> </w:t>
            </w:r>
          </w:p>
          <w:p w14:paraId="21F7DA3B">
            <w:pPr>
              <w:pStyle w:val="10"/>
              <w:ind w:firstLine="0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合同签订日期：</w:t>
            </w:r>
          </w:p>
          <w:p w14:paraId="5537D4B8">
            <w:pPr>
              <w:pStyle w:val="10"/>
              <w:ind w:firstLine="0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     </w:t>
            </w:r>
          </w:p>
          <w:p w14:paraId="37755992">
            <w:pPr>
              <w:pStyle w:val="10"/>
              <w:ind w:firstLine="1960" w:firstLineChars="700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年  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月 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日</w:t>
            </w:r>
          </w:p>
        </w:tc>
      </w:tr>
    </w:tbl>
    <w:p w14:paraId="1DE460FA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</w:p>
    <w:p w14:paraId="6B7FD918">
      <w:pPr>
        <w:rPr>
          <w:rFonts w:ascii="仿宋" w:hAnsi="仿宋" w:eastAsia="仿宋" w:cs="仿宋"/>
          <w:sz w:val="32"/>
          <w:szCs w:val="32"/>
        </w:rPr>
      </w:pPr>
    </w:p>
    <w:p w14:paraId="2153B021">
      <w:pPr>
        <w:pStyle w:val="10"/>
        <w:rPr>
          <w:rFonts w:hint="eastAsia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fmt="decimal" w:start="1"/>
          <w:cols w:space="720" w:num="1"/>
          <w:docGrid w:type="lines" w:linePitch="312" w:charSpace="0"/>
        </w:sectPr>
      </w:pPr>
    </w:p>
    <w:p w14:paraId="624E12A1">
      <w:pPr>
        <w:pStyle w:val="10"/>
        <w:ind w:firstLine="0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附件一：</w:t>
      </w:r>
    </w:p>
    <w:p w14:paraId="57DF30EB">
      <w:pPr>
        <w:pStyle w:val="10"/>
        <w:ind w:firstLine="0"/>
        <w:jc w:val="center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延安市安塞区</w:t>
      </w:r>
      <w:r>
        <w:rPr>
          <w:rFonts w:hint="eastAsia" w:ascii="宋体" w:hAnsi="宋体" w:eastAsia="宋体" w:cs="宋体"/>
          <w:sz w:val="24"/>
          <w:szCs w:val="24"/>
        </w:rPr>
        <w:t>人民检察院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国产化USG防火墙系统安全升级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技术服务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项目</w:t>
      </w:r>
    </w:p>
    <w:tbl>
      <w:tblPr>
        <w:tblStyle w:val="13"/>
        <w:tblW w:w="5163" w:type="pct"/>
        <w:tblInd w:w="-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8"/>
        <w:gridCol w:w="1709"/>
        <w:gridCol w:w="6123"/>
      </w:tblGrid>
      <w:tr w14:paraId="2CF9F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0" w:type="pct"/>
            <w:noWrap w:val="0"/>
            <w:vAlign w:val="center"/>
          </w:tcPr>
          <w:p w14:paraId="254255F8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网络</w:t>
            </w:r>
          </w:p>
          <w:p w14:paraId="21734AE8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适应性</w:t>
            </w:r>
          </w:p>
        </w:tc>
        <w:tc>
          <w:tcPr>
            <w:tcW w:w="971" w:type="pct"/>
            <w:noWrap w:val="0"/>
            <w:vAlign w:val="top"/>
          </w:tcPr>
          <w:p w14:paraId="7BE1B8C0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接入模式</w:t>
            </w:r>
          </w:p>
        </w:tc>
        <w:tc>
          <w:tcPr>
            <w:tcW w:w="3478" w:type="pct"/>
            <w:noWrap w:val="0"/>
            <w:vAlign w:val="top"/>
          </w:tcPr>
          <w:p w14:paraId="24C0E673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支持透明、路由、混合三种工作模式</w:t>
            </w:r>
          </w:p>
        </w:tc>
      </w:tr>
      <w:tr w14:paraId="43ACD0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0" w:type="pct"/>
            <w:noWrap w:val="0"/>
            <w:vAlign w:val="center"/>
          </w:tcPr>
          <w:p w14:paraId="18C29379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访问</w:t>
            </w:r>
          </w:p>
          <w:p w14:paraId="45260F9C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控制</w:t>
            </w:r>
          </w:p>
        </w:tc>
        <w:tc>
          <w:tcPr>
            <w:tcW w:w="971" w:type="pct"/>
            <w:noWrap w:val="0"/>
            <w:vAlign w:val="top"/>
          </w:tcPr>
          <w:p w14:paraId="04FEE1D0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状态检测</w:t>
            </w:r>
          </w:p>
        </w:tc>
        <w:tc>
          <w:tcPr>
            <w:tcW w:w="3478" w:type="pct"/>
            <w:noWrap w:val="0"/>
            <w:vAlign w:val="top"/>
          </w:tcPr>
          <w:p w14:paraId="08FABB4A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基于源/目的IP地址、MAC地址、域名、端口或协议、服务、网口、时间、用户的访问控制</w:t>
            </w:r>
          </w:p>
        </w:tc>
      </w:tr>
      <w:tr w14:paraId="7D7A2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0" w:type="pct"/>
            <w:noWrap w:val="0"/>
            <w:vAlign w:val="center"/>
          </w:tcPr>
          <w:p w14:paraId="41BBB2B7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VPN</w:t>
            </w:r>
          </w:p>
        </w:tc>
        <w:tc>
          <w:tcPr>
            <w:tcW w:w="971" w:type="pct"/>
            <w:noWrap w:val="0"/>
            <w:vAlign w:val="top"/>
          </w:tcPr>
          <w:p w14:paraId="23F8E96D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IPSec VPN</w:t>
            </w:r>
          </w:p>
        </w:tc>
        <w:tc>
          <w:tcPr>
            <w:tcW w:w="3478" w:type="pct"/>
            <w:noWrap w:val="0"/>
            <w:vAlign w:val="top"/>
          </w:tcPr>
          <w:p w14:paraId="1698B11C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支持标准IPSec协议，能够与CISCO、NETSCREEN等知名厂商的VPN设备互联互通</w:t>
            </w:r>
          </w:p>
        </w:tc>
      </w:tr>
      <w:tr w14:paraId="5FB45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50" w:type="pct"/>
            <w:noWrap w:val="0"/>
            <w:vAlign w:val="center"/>
          </w:tcPr>
          <w:p w14:paraId="2556DA26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入侵</w:t>
            </w:r>
          </w:p>
          <w:p w14:paraId="6CF5B09E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防护</w:t>
            </w:r>
          </w:p>
        </w:tc>
        <w:tc>
          <w:tcPr>
            <w:tcW w:w="971" w:type="pct"/>
            <w:noWrap w:val="0"/>
            <w:vAlign w:val="top"/>
          </w:tcPr>
          <w:p w14:paraId="1FB829F6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入侵检测技术</w:t>
            </w:r>
          </w:p>
        </w:tc>
        <w:tc>
          <w:tcPr>
            <w:tcW w:w="3478" w:type="pct"/>
            <w:noWrap w:val="0"/>
            <w:vAlign w:val="top"/>
          </w:tcPr>
          <w:p w14:paraId="22E1CD23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具有自主知识产权的检测引擎，具备基于协议异常、会话状态和七层应用行为等的攻击识别功能。</w:t>
            </w:r>
          </w:p>
        </w:tc>
      </w:tr>
      <w:tr w14:paraId="65E871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50" w:type="pct"/>
            <w:noWrap w:val="0"/>
            <w:vAlign w:val="center"/>
          </w:tcPr>
          <w:p w14:paraId="500194E8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防病毒</w:t>
            </w:r>
          </w:p>
        </w:tc>
        <w:tc>
          <w:tcPr>
            <w:tcW w:w="971" w:type="pct"/>
            <w:noWrap w:val="0"/>
            <w:vAlign w:val="top"/>
          </w:tcPr>
          <w:p w14:paraId="1ACBF445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协议</w:t>
            </w:r>
          </w:p>
        </w:tc>
        <w:tc>
          <w:tcPr>
            <w:tcW w:w="3478" w:type="pct"/>
            <w:noWrap w:val="0"/>
            <w:vAlign w:val="top"/>
          </w:tcPr>
          <w:p w14:paraId="50FAECA9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支持HTTP,SMTP,FTP,PO3P,IMAP等多种协议下病毒防护，支持自定义非标准端口的HTTP,SMTP,FTP,POP3,IMAP协议中的病毒检测</w:t>
            </w:r>
          </w:p>
        </w:tc>
      </w:tr>
      <w:tr w14:paraId="6B8AE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50" w:type="pct"/>
            <w:noWrap w:val="0"/>
            <w:vAlign w:val="center"/>
          </w:tcPr>
          <w:p w14:paraId="5D004BCB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应用</w:t>
            </w:r>
          </w:p>
          <w:p w14:paraId="2AB3F6C0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监控</w:t>
            </w:r>
          </w:p>
        </w:tc>
        <w:tc>
          <w:tcPr>
            <w:tcW w:w="971" w:type="pct"/>
            <w:noWrap w:val="0"/>
            <w:vAlign w:val="top"/>
          </w:tcPr>
          <w:p w14:paraId="2D8AF2E2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支持协议</w:t>
            </w:r>
          </w:p>
        </w:tc>
        <w:tc>
          <w:tcPr>
            <w:tcW w:w="3478" w:type="pct"/>
            <w:noWrap w:val="0"/>
            <w:vAlign w:val="top"/>
          </w:tcPr>
          <w:p w14:paraId="67D21F05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支持HTTP、SMTP、FTP，还支持POP3等多种应用协议的分析识别和控制。支持协议命令进行识别和控制，支持针对关键字、附件文件名、恶意JavaScript代码等信息进行细粒度控制</w:t>
            </w:r>
          </w:p>
        </w:tc>
      </w:tr>
      <w:tr w14:paraId="0ED61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50" w:type="pct"/>
            <w:noWrap w:val="0"/>
            <w:vAlign w:val="center"/>
          </w:tcPr>
          <w:p w14:paraId="079768F9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反垃圾邮件</w:t>
            </w:r>
          </w:p>
        </w:tc>
        <w:tc>
          <w:tcPr>
            <w:tcW w:w="971" w:type="pct"/>
            <w:noWrap w:val="0"/>
            <w:vAlign w:val="top"/>
          </w:tcPr>
          <w:p w14:paraId="59AFEFF0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支持协议</w:t>
            </w:r>
          </w:p>
        </w:tc>
        <w:tc>
          <w:tcPr>
            <w:tcW w:w="3478" w:type="pct"/>
            <w:noWrap w:val="0"/>
            <w:vAlign w:val="top"/>
          </w:tcPr>
          <w:p w14:paraId="6ABA4638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支持SMTP, POP协议下的垃圾邮件检测，支持禁止邮件Open Relay功能</w:t>
            </w:r>
          </w:p>
        </w:tc>
      </w:tr>
      <w:tr w14:paraId="339366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550" w:type="pct"/>
            <w:noWrap w:val="0"/>
            <w:vAlign w:val="center"/>
          </w:tcPr>
          <w:p w14:paraId="46A8C407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虚拟防火墙</w:t>
            </w:r>
          </w:p>
        </w:tc>
        <w:tc>
          <w:tcPr>
            <w:tcW w:w="971" w:type="pct"/>
            <w:noWrap w:val="0"/>
            <w:vAlign w:val="top"/>
          </w:tcPr>
          <w:p w14:paraId="04967CE6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划分虚拟系统</w:t>
            </w:r>
          </w:p>
        </w:tc>
        <w:tc>
          <w:tcPr>
            <w:tcW w:w="3478" w:type="pct"/>
            <w:noWrap w:val="0"/>
            <w:vAlign w:val="top"/>
          </w:tcPr>
          <w:p w14:paraId="2E083FFF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可将一台物理设备，划分为多个虚拟防火墙系统</w:t>
            </w:r>
          </w:p>
        </w:tc>
      </w:tr>
      <w:tr w14:paraId="599B3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550" w:type="pct"/>
            <w:noWrap w:val="0"/>
            <w:vAlign w:val="center"/>
          </w:tcPr>
          <w:p w14:paraId="56A36CD0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漏洞</w:t>
            </w:r>
          </w:p>
          <w:p w14:paraId="4156ADD7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扫描</w:t>
            </w:r>
          </w:p>
        </w:tc>
        <w:tc>
          <w:tcPr>
            <w:tcW w:w="971" w:type="pct"/>
            <w:noWrap w:val="0"/>
            <w:vAlign w:val="top"/>
          </w:tcPr>
          <w:p w14:paraId="2D197304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内网主机漏洞扫描</w:t>
            </w:r>
          </w:p>
        </w:tc>
        <w:tc>
          <w:tcPr>
            <w:tcW w:w="3478" w:type="pct"/>
            <w:noWrap w:val="0"/>
            <w:vAlign w:val="top"/>
          </w:tcPr>
          <w:p w14:paraId="68DACB48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后门、服务探测、文件共享、系统补丁、IE漏洞等主动式扫描</w:t>
            </w:r>
          </w:p>
        </w:tc>
      </w:tr>
      <w:tr w14:paraId="7FE21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0" w:type="pct"/>
            <w:noWrap w:val="0"/>
            <w:vAlign w:val="center"/>
          </w:tcPr>
          <w:p w14:paraId="49A4A2A1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主动</w:t>
            </w:r>
          </w:p>
          <w:p w14:paraId="2C0E6367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防御</w:t>
            </w:r>
          </w:p>
        </w:tc>
        <w:tc>
          <w:tcPr>
            <w:tcW w:w="971" w:type="pct"/>
            <w:noWrap w:val="0"/>
            <w:vAlign w:val="top"/>
          </w:tcPr>
          <w:p w14:paraId="42A21079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恶意站点防护</w:t>
            </w:r>
          </w:p>
        </w:tc>
        <w:tc>
          <w:tcPr>
            <w:tcW w:w="3478" w:type="pct"/>
            <w:noWrap w:val="0"/>
            <w:vAlign w:val="top"/>
          </w:tcPr>
          <w:p w14:paraId="46E0829F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通过对访问目标URL过滤的方式，阻止对含木马网/病毒网站、钓鱼网站、僵尸网络的访问，要求内置恶意URL地址库，提供相关解决方案说明</w:t>
            </w:r>
          </w:p>
        </w:tc>
      </w:tr>
      <w:tr w14:paraId="4B8A9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0" w:type="pct"/>
            <w:vMerge w:val="restart"/>
            <w:noWrap w:val="0"/>
            <w:vAlign w:val="center"/>
          </w:tcPr>
          <w:p w14:paraId="583B128C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关联安全应用</w:t>
            </w:r>
          </w:p>
        </w:tc>
        <w:tc>
          <w:tcPr>
            <w:tcW w:w="971" w:type="pct"/>
            <w:vMerge w:val="restart"/>
            <w:noWrap w:val="0"/>
            <w:vAlign w:val="top"/>
          </w:tcPr>
          <w:p w14:paraId="16F4D419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关联安全</w:t>
            </w:r>
          </w:p>
        </w:tc>
        <w:tc>
          <w:tcPr>
            <w:tcW w:w="3478" w:type="pct"/>
            <w:noWrap w:val="0"/>
            <w:vAlign w:val="top"/>
          </w:tcPr>
          <w:p w14:paraId="6752F84B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支持关联安全标准(CSC)</w:t>
            </w:r>
          </w:p>
        </w:tc>
      </w:tr>
      <w:tr w14:paraId="36D44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0" w:type="pct"/>
            <w:vMerge w:val="continue"/>
            <w:noWrap w:val="0"/>
            <w:vAlign w:val="center"/>
          </w:tcPr>
          <w:p w14:paraId="492E63CB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</w:p>
        </w:tc>
        <w:tc>
          <w:tcPr>
            <w:tcW w:w="971" w:type="pct"/>
            <w:vMerge w:val="continue"/>
            <w:noWrap w:val="0"/>
            <w:vAlign w:val="top"/>
          </w:tcPr>
          <w:p w14:paraId="218CBBC3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</w:p>
        </w:tc>
        <w:tc>
          <w:tcPr>
            <w:tcW w:w="3478" w:type="pct"/>
            <w:noWrap w:val="0"/>
            <w:vAlign w:val="top"/>
          </w:tcPr>
          <w:p w14:paraId="4B174DC9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可与终端管理系统协同工作，实现对终端的网络准入认证控制，提供协同工作原理</w:t>
            </w:r>
          </w:p>
        </w:tc>
      </w:tr>
      <w:tr w14:paraId="71167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0" w:type="pct"/>
            <w:noWrap w:val="0"/>
            <w:vAlign w:val="center"/>
          </w:tcPr>
          <w:p w14:paraId="05395856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管理</w:t>
            </w:r>
          </w:p>
          <w:p w14:paraId="66B56830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配置</w:t>
            </w:r>
          </w:p>
        </w:tc>
        <w:tc>
          <w:tcPr>
            <w:tcW w:w="971" w:type="pct"/>
            <w:noWrap w:val="0"/>
            <w:vAlign w:val="top"/>
          </w:tcPr>
          <w:p w14:paraId="0CE7F214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系统管理</w:t>
            </w:r>
          </w:p>
        </w:tc>
        <w:tc>
          <w:tcPr>
            <w:tcW w:w="3478" w:type="pct"/>
            <w:noWrap w:val="0"/>
            <w:vAlign w:val="top"/>
          </w:tcPr>
          <w:p w14:paraId="115A5E92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支持友好的Web图形界面配置，支持远程SSH和串口命令行配置</w:t>
            </w:r>
          </w:p>
        </w:tc>
      </w:tr>
      <w:tr w14:paraId="553F5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0" w:type="pct"/>
            <w:vMerge w:val="restart"/>
            <w:noWrap w:val="0"/>
            <w:vAlign w:val="center"/>
          </w:tcPr>
          <w:p w14:paraId="452CA640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高可</w:t>
            </w:r>
          </w:p>
          <w:p w14:paraId="6072BD02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用性</w:t>
            </w:r>
          </w:p>
        </w:tc>
        <w:tc>
          <w:tcPr>
            <w:tcW w:w="971" w:type="pct"/>
            <w:vMerge w:val="restart"/>
            <w:noWrap w:val="0"/>
            <w:vAlign w:val="top"/>
          </w:tcPr>
          <w:p w14:paraId="1EE6FDB6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负载均衡</w:t>
            </w:r>
          </w:p>
        </w:tc>
        <w:tc>
          <w:tcPr>
            <w:tcW w:w="3478" w:type="pct"/>
            <w:noWrap w:val="0"/>
            <w:vAlign w:val="top"/>
          </w:tcPr>
          <w:p w14:paraId="49D987F8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支持基于VRRP技术的热备和负载均衡</w:t>
            </w:r>
          </w:p>
        </w:tc>
      </w:tr>
      <w:tr w14:paraId="7EFE67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50" w:type="pct"/>
            <w:vMerge w:val="continue"/>
            <w:noWrap w:val="0"/>
            <w:vAlign w:val="center"/>
          </w:tcPr>
          <w:p w14:paraId="6EFEAFFB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</w:p>
        </w:tc>
        <w:tc>
          <w:tcPr>
            <w:tcW w:w="971" w:type="pct"/>
            <w:vMerge w:val="continue"/>
            <w:noWrap w:val="0"/>
            <w:vAlign w:val="top"/>
          </w:tcPr>
          <w:p w14:paraId="6E5D0682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</w:p>
        </w:tc>
        <w:tc>
          <w:tcPr>
            <w:tcW w:w="3478" w:type="pct"/>
            <w:noWrap w:val="0"/>
            <w:vAlign w:val="top"/>
          </w:tcPr>
          <w:p w14:paraId="4CF30BAB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>支持多重冗余协议(MRP)，实现链路备份、端口备份、热备份、集群备份等</w:t>
            </w:r>
          </w:p>
        </w:tc>
      </w:tr>
      <w:tr w14:paraId="471CE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50" w:type="pct"/>
            <w:vMerge w:val="continue"/>
            <w:noWrap w:val="0"/>
            <w:vAlign w:val="center"/>
          </w:tcPr>
          <w:p w14:paraId="590C8D87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</w:p>
        </w:tc>
        <w:tc>
          <w:tcPr>
            <w:tcW w:w="971" w:type="pct"/>
            <w:noWrap w:val="0"/>
            <w:vAlign w:val="top"/>
          </w:tcPr>
          <w:p w14:paraId="3853C49E">
            <w:pPr>
              <w:widowControl/>
              <w:ind w:firstLine="0" w:firstLineChars="0"/>
              <w:jc w:val="center"/>
              <w:rPr>
                <w:rFonts w:hint="eastAsia" w:ascii="宋体" w:hAnsi="宋体" w:eastAsia="宋体" w:cs="宋体"/>
                <w:bCs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Cs w:val="24"/>
              </w:rPr>
              <w:t>升级方式</w:t>
            </w:r>
          </w:p>
        </w:tc>
        <w:tc>
          <w:tcPr>
            <w:tcW w:w="3478" w:type="pct"/>
            <w:noWrap w:val="0"/>
            <w:vAlign w:val="top"/>
          </w:tcPr>
          <w:p w14:paraId="64E886C9">
            <w:pPr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Cs w:val="24"/>
              </w:rPr>
              <w:t xml:space="preserve">支持灵活的升级方式，提供远程升级服务，支持包括主动、被动、定时、本地4种升级类型，定时升级服务支持按周，日，小时3类，支持用户自定义升级服务器 </w:t>
            </w:r>
          </w:p>
        </w:tc>
      </w:tr>
    </w:tbl>
    <w:p w14:paraId="6C1F69B9">
      <w:pPr>
        <w:rPr>
          <w:rFonts w:hint="eastAsia" w:ascii="宋体" w:hAnsi="宋体" w:eastAsia="宋体" w:cs="宋体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EB4674">
    <w:pPr>
      <w:pStyle w:val="11"/>
      <w:tabs>
        <w:tab w:val="clear" w:pos="4153"/>
      </w:tabs>
      <w:jc w:val="center"/>
      <w:rPr>
        <w:rFonts w:ascii="Times New Roman" w:hAnsi="Times New Roman" w:eastAsia="宋体"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2939B2">
    <w:pPr>
      <w:pStyle w:val="11"/>
      <w:tabs>
        <w:tab w:val="clear" w:pos="4153"/>
      </w:tabs>
      <w:jc w:val="center"/>
      <w:rPr>
        <w:rFonts w:hint="eastAsia" w:ascii="Times New Roman" w:hAnsi="Times New Roman" w:eastAsia="宋体" w:cs="Times New Roman"/>
        <w:lang w:val="en-US" w:eastAsia="zh-CN"/>
      </w:rPr>
    </w:pPr>
    <w:r>
      <w:rPr>
        <w:rFonts w:ascii="Times New Roman" w:hAnsi="Times New Roman" w:eastAsia="宋体" w:cs="Times New Roman"/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2219960</wp:posOffset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C66067">
                          <w:pPr>
                            <w:pStyle w:val="11"/>
                            <w:rPr>
                              <w:rFonts w:ascii="Times New Roman" w:hAnsi="Times New Roman" w:eastAsia="宋体" w:cs="Times New Roman"/>
                            </w:rPr>
                          </w:pPr>
                          <w:r>
                            <w:rPr>
                              <w:rFonts w:ascii="Times New Roman" w:hAnsi="Times New Roman" w:eastAsia="宋体" w:cs="Times New Roman"/>
                            </w:rPr>
                            <w:t xml:space="preserve">第 </w:t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t>1</w:t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t xml:space="preserve"> 页 共 </w:t>
                          </w:r>
                          <w:r>
                            <w:rPr>
                              <w:rFonts w:hint="eastAsia" w:cs="Times New Roman"/>
                              <w:lang w:val="en-US" w:eastAsia="zh-CN"/>
                            </w:rPr>
                            <w:t>4</w:t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74.8pt;margin-top:0pt;height:144pt;width:144pt;mso-position-horizontal-relative:margin;mso-wrap-style:none;z-index:251659264;mso-width-relative:page;mso-height-relative:page;" filled="f" stroked="f" coordsize="21600,21600" o:gfxdata="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A5RTY61AAAAAgBAAAPAAAAAAAAAAEAIAAAACIAAABkcnMvZG93bnJl&#10;di54bWxQSwECFAAUAAAACACHTuJA5KL+z8gBAACZAwAADgAAAAAAAAABACAAAAAj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AC66067">
                    <w:pPr>
                      <w:pStyle w:val="11"/>
                      <w:rPr>
                        <w:rFonts w:ascii="Times New Roman" w:hAnsi="Times New Roman" w:eastAsia="宋体" w:cs="Times New Roman"/>
                      </w:rPr>
                    </w:pPr>
                    <w:r>
                      <w:rPr>
                        <w:rFonts w:ascii="Times New Roman" w:hAnsi="Times New Roman" w:eastAsia="宋体" w:cs="Times New Roman"/>
                      </w:rPr>
                      <w:t xml:space="preserve">第 </w:t>
                    </w:r>
                    <w:r>
                      <w:rPr>
                        <w:rFonts w:ascii="Times New Roman" w:hAnsi="Times New Roman" w:eastAsia="宋体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eastAsia="宋体" w:cs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宋体" w:cs="Times New Roman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</w:rPr>
                      <w:t>1</w:t>
                    </w:r>
                    <w:r>
                      <w:rPr>
                        <w:rFonts w:ascii="Times New Roman" w:hAnsi="Times New Roman" w:eastAsia="宋体" w:cs="Times New Roman"/>
                      </w:rPr>
                      <w:fldChar w:fldCharType="end"/>
                    </w:r>
                    <w:r>
                      <w:rPr>
                        <w:rFonts w:ascii="Times New Roman" w:hAnsi="Times New Roman" w:eastAsia="宋体" w:cs="Times New Roman"/>
                      </w:rPr>
                      <w:t xml:space="preserve"> 页 共 </w:t>
                    </w:r>
                    <w:r>
                      <w:rPr>
                        <w:rFonts w:hint="eastAsia" w:cs="Times New Roman"/>
                        <w:lang w:val="en-US" w:eastAsia="zh-CN"/>
                      </w:rPr>
                      <w:t>4</w:t>
                    </w:r>
                    <w:r>
                      <w:rPr>
                        <w:rFonts w:ascii="Times New Roman" w:hAnsi="Times New Roman" w:eastAsia="宋体" w:cs="Times New Roma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9D42EC"/>
    <w:multiLevelType w:val="multilevel"/>
    <w:tmpl w:val="D49D42EC"/>
    <w:lvl w:ilvl="0" w:tentative="0">
      <w:start w:val="1"/>
      <w:numFmt w:val="chineseCountingThousand"/>
      <w:pStyle w:val="3"/>
      <w:lvlText w:val="%1"/>
      <w:lvlJc w:val="left"/>
      <w:pPr>
        <w:ind w:left="0" w:firstLine="0"/>
      </w:pPr>
      <w:rPr>
        <w:rFonts w:hint="eastAsia" w:ascii="Cambria" w:hAnsi="Cambria" w:eastAsia="宋体"/>
        <w:b/>
        <w:i w:val="0"/>
        <w:sz w:val="28"/>
        <w:szCs w:val="28"/>
        <w:lang w:val="en-US"/>
      </w:rPr>
    </w:lvl>
    <w:lvl w:ilvl="1" w:tentative="0">
      <w:start w:val="1"/>
      <w:numFmt w:val="decimal"/>
      <w:pStyle w:val="4"/>
      <w:isLgl/>
      <w:lvlText w:val="%1.%2"/>
      <w:lvlJc w:val="left"/>
      <w:pPr>
        <w:ind w:left="0" w:firstLine="0"/>
      </w:pPr>
      <w:rPr>
        <w:rFonts w:hint="eastAsia" w:ascii="宋体" w:hAnsi="宋体" w:eastAsia="宋体"/>
        <w:b/>
        <w:i w:val="0"/>
        <w:sz w:val="24"/>
        <w:szCs w:val="24"/>
      </w:rPr>
    </w:lvl>
    <w:lvl w:ilvl="2" w:tentative="0">
      <w:start w:val="1"/>
      <w:numFmt w:val="decimal"/>
      <w:pStyle w:val="5"/>
      <w:isLgl/>
      <w:lvlText w:val="%1.%2.%3"/>
      <w:lvlJc w:val="left"/>
      <w:pPr>
        <w:ind w:left="0" w:firstLine="0"/>
      </w:pPr>
      <w:rPr>
        <w:rFonts w:hint="eastAsia" w:ascii="宋体" w:hAnsi="宋体" w:eastAsia="宋体"/>
        <w:b/>
        <w:i w:val="0"/>
        <w:sz w:val="24"/>
        <w:szCs w:val="24"/>
      </w:rPr>
    </w:lvl>
    <w:lvl w:ilvl="3" w:tentative="0">
      <w:start w:val="1"/>
      <w:numFmt w:val="decimal"/>
      <w:pStyle w:val="6"/>
      <w:isLgl/>
      <w:lvlText w:val="%1.%2.%3.%4"/>
      <w:lvlJc w:val="left"/>
      <w:pPr>
        <w:ind w:left="0" w:firstLine="0"/>
      </w:pPr>
      <w:rPr>
        <w:rFonts w:hint="eastAsia" w:ascii="宋体" w:hAnsi="宋体" w:eastAsia="宋体"/>
        <w:b/>
        <w:i w:val="0"/>
        <w:sz w:val="24"/>
        <w:szCs w:val="24"/>
      </w:rPr>
    </w:lvl>
    <w:lvl w:ilvl="4" w:tentative="0">
      <w:start w:val="1"/>
      <w:numFmt w:val="decimal"/>
      <w:pStyle w:val="7"/>
      <w:isLgl/>
      <w:lvlText w:val="%1.%2.%3.%4.%5"/>
      <w:lvlJc w:val="left"/>
      <w:pPr>
        <w:ind w:left="0" w:firstLine="0"/>
      </w:pPr>
      <w:rPr>
        <w:rFonts w:hint="eastAsia" w:ascii="宋体" w:hAnsi="宋体" w:eastAsia="宋体"/>
        <w:b/>
        <w:i w:val="0"/>
        <w:sz w:val="24"/>
        <w:szCs w:val="24"/>
      </w:rPr>
    </w:lvl>
    <w:lvl w:ilvl="5" w:tentative="0">
      <w:start w:val="1"/>
      <w:numFmt w:val="decimal"/>
      <w:pStyle w:val="8"/>
      <w:isLgl/>
      <w:lvlText w:val="%1.%2.%3.%4.%5.%6"/>
      <w:lvlJc w:val="left"/>
      <w:pPr>
        <w:ind w:left="0" w:firstLine="0"/>
      </w:pPr>
      <w:rPr>
        <w:rFonts w:hint="eastAsia" w:ascii="Cambria" w:hAnsi="Cambria" w:eastAsia="宋体"/>
        <w:b/>
        <w:i w:val="0"/>
        <w:sz w:val="28"/>
      </w:rPr>
    </w:lvl>
    <w:lvl w:ilvl="6" w:tentative="0">
      <w:start w:val="1"/>
      <w:numFmt w:val="decimal"/>
      <w:pStyle w:val="9"/>
      <w:isLgl/>
      <w:lvlText w:val="%1.%2.%3.%4.%5.%6.%7"/>
      <w:lvlJc w:val="left"/>
      <w:pPr>
        <w:ind w:left="0" w:firstLine="0"/>
      </w:pPr>
      <w:rPr>
        <w:rFonts w:hint="eastAsia" w:ascii="Cambria" w:hAnsi="Cambria" w:eastAsia="宋体"/>
        <w:b/>
        <w:i w:val="0"/>
        <w:sz w:val="24"/>
      </w:rPr>
    </w:lvl>
    <w:lvl w:ilvl="7" w:tentative="0">
      <w:start w:val="1"/>
      <w:numFmt w:val="decimal"/>
      <w:lvlText w:val="%1.%2.%3.%4.%5.%6.%7.%8"/>
      <w:lvlJc w:val="left"/>
      <w:pPr>
        <w:ind w:left="0" w:firstLine="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C5759E"/>
    <w:rsid w:val="0AE05892"/>
    <w:rsid w:val="0C0B3C45"/>
    <w:rsid w:val="18D118B9"/>
    <w:rsid w:val="1A6A5187"/>
    <w:rsid w:val="1F1A637E"/>
    <w:rsid w:val="239C60B3"/>
    <w:rsid w:val="31AB59AD"/>
    <w:rsid w:val="36A33173"/>
    <w:rsid w:val="40E906A3"/>
    <w:rsid w:val="46E70E41"/>
    <w:rsid w:val="48FC5C57"/>
    <w:rsid w:val="531C4455"/>
    <w:rsid w:val="58C5759E"/>
    <w:rsid w:val="6AE96B77"/>
    <w:rsid w:val="71E05098"/>
    <w:rsid w:val="76BC3BCF"/>
    <w:rsid w:val="7D155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15"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outlineLvl w:val="0"/>
    </w:pPr>
    <w:rPr>
      <w:rFonts w:eastAsia="宋体" w:asciiTheme="minorAscii" w:hAnsiTheme="minorAscii"/>
      <w:b/>
      <w:bCs/>
      <w:kern w:val="44"/>
      <w:szCs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numPr>
        <w:ilvl w:val="1"/>
        <w:numId w:val="1"/>
      </w:numPr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1"/>
      </w:numPr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numPr>
        <w:ilvl w:val="3"/>
        <w:numId w:val="1"/>
      </w:numPr>
      <w:spacing w:before="280" w:beforeLines="0" w:beforeAutospacing="0" w:after="290" w:afterLines="0" w:afterAutospacing="0" w:line="372" w:lineRule="auto"/>
      <w:jc w:val="left"/>
      <w:outlineLvl w:val="3"/>
    </w:pPr>
    <w:rPr>
      <w:rFonts w:ascii="Arial" w:hAnsi="Arial" w:eastAsia="黑体" w:cs="Times New Roman"/>
      <w:sz w:val="24"/>
      <w:szCs w:val="32"/>
    </w:rPr>
  </w:style>
  <w:style w:type="paragraph" w:styleId="7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1"/>
      </w:numPr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paragraph" w:styleId="8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outlineLvl w:val="5"/>
    </w:pPr>
    <w:rPr>
      <w:rFonts w:ascii="Arial" w:hAnsi="Arial" w:eastAsia="黑体"/>
      <w:b/>
      <w:sz w:val="24"/>
    </w:rPr>
  </w:style>
  <w:style w:type="paragraph" w:styleId="9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outlineLvl w:val="6"/>
    </w:pPr>
    <w:rPr>
      <w:b/>
      <w:sz w:val="24"/>
    </w:rPr>
  </w:style>
  <w:style w:type="character" w:default="1" w:styleId="14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 w:val="0"/>
      <w:jc w:val="both"/>
    </w:pPr>
    <w:rPr>
      <w:rFonts w:ascii="Times New Roman" w:hAnsi="Times New Roman" w:eastAsia="宋体" w:cs="Times New Roman"/>
      <w:color w:val="993300"/>
      <w:kern w:val="2"/>
      <w:sz w:val="24"/>
      <w:lang w:val="en-US" w:eastAsia="zh-CN" w:bidi="ar-SA"/>
    </w:rPr>
  </w:style>
  <w:style w:type="paragraph" w:styleId="10">
    <w:name w:val="Body Text Indent 2"/>
    <w:qFormat/>
    <w:uiPriority w:val="0"/>
    <w:pPr>
      <w:widowControl w:val="0"/>
      <w:spacing w:line="640" w:lineRule="exact"/>
      <w:ind w:firstLine="645"/>
      <w:jc w:val="both"/>
    </w:pPr>
    <w:rPr>
      <w:rFonts w:ascii="楷体_GB2312" w:hAnsi="Times New Roman" w:eastAsia="楷体_GB2312" w:cs="Times New Roman"/>
      <w:kern w:val="2"/>
      <w:sz w:val="32"/>
      <w:lang w:val="en-US" w:eastAsia="zh-CN" w:bidi="ar-SA"/>
    </w:rPr>
  </w:style>
  <w:style w:type="paragraph" w:styleId="11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lang w:val="en-US" w:eastAsia="zh-CN" w:bidi="ar-SA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15">
    <w:name w:val="标题 1 Char"/>
    <w:link w:val="3"/>
    <w:qFormat/>
    <w:uiPriority w:val="9"/>
    <w:rPr>
      <w:rFonts w:eastAsia="宋体" w:asciiTheme="minorAscii" w:hAnsiTheme="minorAscii"/>
      <w:b/>
      <w:bCs/>
      <w:kern w:val="44"/>
      <w:sz w:val="21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813</Words>
  <Characters>882</Characters>
  <Lines>0</Lines>
  <Paragraphs>0</Paragraphs>
  <TotalTime>0</TotalTime>
  <ScaleCrop>false</ScaleCrop>
  <LinksUpToDate>false</LinksUpToDate>
  <CharactersWithSpaces>957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2024-12-08T06:52:00Z</dcterms:created>
  <dc:creator>Administrator</dc:creator>
  <cp:lastModifiedBy>WPS_1466433009</cp:lastModifiedBy>
  <cp:lastPrinted>2025-06-18T02:45:43Z</cp:lastPrinted>
  <dcterms:modified xsi:type="dcterms:W3CDTF">2025-06-18T02:45:47Z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149A64B69D7D4A8DBD8C9F8B9DEB2F31</vt:lpwstr>
  </property>
  <property fmtid="{D5CDD505-2E9C-101B-9397-08002B2CF9AE}" pid="4" name="KSOTemplateDocerSaveRecord">
    <vt:lpwstr>eyJoZGlkIjoiZTAwNGMxYjg5ZjY3MGFlZTYyOTFiMjdhYjIwOGJmMGUiLCJ1c2VySWQiOiIyMjM1NDIwMjgifQ==</vt:lpwstr>
  </property>
</Properties>
</file>