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E914B">
      <w:pPr>
        <w:spacing w:line="360" w:lineRule="auto"/>
        <w:jc w:val="center"/>
        <w:rPr>
          <w:rFonts w:hint="eastAsia"/>
          <w:b/>
          <w:spacing w:val="70"/>
          <w:position w:val="6"/>
          <w:sz w:val="52"/>
          <w:szCs w:val="52"/>
        </w:rPr>
      </w:pPr>
      <w:r>
        <w:rPr>
          <w:rFonts w:hint="eastAsia"/>
          <w:b/>
          <w:spacing w:val="70"/>
          <w:position w:val="6"/>
          <w:sz w:val="52"/>
          <w:szCs w:val="52"/>
          <w:lang w:val="en-US" w:eastAsia="zh-CN"/>
        </w:rPr>
        <w:t>采购</w:t>
      </w:r>
      <w:r>
        <w:rPr>
          <w:rFonts w:hint="eastAsia"/>
          <w:b/>
          <w:spacing w:val="70"/>
          <w:position w:val="6"/>
          <w:sz w:val="52"/>
          <w:szCs w:val="52"/>
        </w:rPr>
        <w:t>合同</w:t>
      </w:r>
    </w:p>
    <w:p w14:paraId="2810A21F">
      <w:pPr>
        <w:pStyle w:val="12"/>
        <w:spacing w:line="360" w:lineRule="auto"/>
        <w:ind w:left="0" w:leftChars="0" w:firstLine="0" w:firstLineChars="0"/>
        <w:rPr>
          <w:rFonts w:hint="eastAsia" w:ascii="宋体" w:hAnsi="宋体"/>
          <w:sz w:val="21"/>
          <w:szCs w:val="21"/>
          <w:highlight w:val="none"/>
        </w:rPr>
      </w:pPr>
    </w:p>
    <w:p w14:paraId="251B028C">
      <w:pPr>
        <w:pStyle w:val="12"/>
        <w:spacing w:line="360" w:lineRule="auto"/>
        <w:ind w:firstLine="420"/>
        <w:rPr>
          <w:rFonts w:hint="eastAsia" w:ascii="宋体" w:hAnsi="宋体"/>
          <w:sz w:val="21"/>
          <w:szCs w:val="21"/>
          <w:highlight w:val="none"/>
        </w:rPr>
      </w:pPr>
      <w:r>
        <w:rPr>
          <w:rFonts w:hint="eastAsia" w:ascii="宋体" w:hAnsi="宋体"/>
          <w:sz w:val="21"/>
          <w:szCs w:val="21"/>
          <w:highlight w:val="none"/>
        </w:rPr>
        <w:t>采购人（甲方）：秦岭大熊猫研究中心（陕西省珍稀野生动物救护基地）</w:t>
      </w:r>
    </w:p>
    <w:p w14:paraId="4273A584">
      <w:pPr>
        <w:pStyle w:val="12"/>
        <w:spacing w:line="360" w:lineRule="auto"/>
        <w:ind w:firstLine="420"/>
        <w:rPr>
          <w:rFonts w:hint="eastAsia" w:ascii="宋体" w:hAnsi="宋体"/>
          <w:sz w:val="21"/>
          <w:szCs w:val="21"/>
          <w:highlight w:val="none"/>
        </w:rPr>
      </w:pPr>
      <w:r>
        <w:rPr>
          <w:rFonts w:hint="eastAsia" w:ascii="宋体" w:hAnsi="宋体"/>
          <w:sz w:val="21"/>
          <w:szCs w:val="21"/>
          <w:highlight w:val="none"/>
        </w:rPr>
        <w:t>供应商（乙方）：陕西鑫珲科技有限公司</w:t>
      </w:r>
    </w:p>
    <w:p w14:paraId="6CAC298A">
      <w:pPr>
        <w:pStyle w:val="12"/>
        <w:spacing w:before="120" w:beforeLines="50" w:line="360" w:lineRule="auto"/>
        <w:ind w:firstLine="420"/>
        <w:rPr>
          <w:rFonts w:hint="eastAsia" w:ascii="宋体" w:hAnsi="宋体"/>
          <w:sz w:val="21"/>
          <w:szCs w:val="21"/>
          <w:highlight w:val="none"/>
        </w:rPr>
      </w:pPr>
      <w:r>
        <w:rPr>
          <w:rFonts w:hint="eastAsia" w:ascii="宋体" w:hAnsi="宋体"/>
          <w:sz w:val="21"/>
          <w:szCs w:val="21"/>
          <w:highlight w:val="none"/>
        </w:rPr>
        <w:t>根据《中华人民共和国政府采购法》及实施条例、《中华人民共和国民法典》等有关规定，为确保甲方采购项目的顺利实施，甲、乙双方在平等自愿原则下签订本合同，并共同遵守如下条款：</w:t>
      </w:r>
    </w:p>
    <w:p w14:paraId="4F7D813D">
      <w:pPr>
        <w:pStyle w:val="12"/>
        <w:spacing w:before="120" w:beforeLines="50" w:line="360" w:lineRule="auto"/>
        <w:ind w:firstLine="452" w:firstLineChars="150"/>
        <w:outlineLvl w:val="1"/>
        <w:rPr>
          <w:rFonts w:hint="eastAsia"/>
          <w:b/>
          <w:sz w:val="30"/>
          <w:szCs w:val="30"/>
          <w:highlight w:val="none"/>
        </w:rPr>
      </w:pPr>
      <w:bookmarkStart w:id="0" w:name="_Toc30817"/>
      <w:r>
        <w:rPr>
          <w:rFonts w:hint="eastAsia"/>
          <w:b/>
          <w:sz w:val="30"/>
          <w:szCs w:val="30"/>
          <w:highlight w:val="none"/>
        </w:rPr>
        <w:t>第一条 合同标的及数量</w:t>
      </w:r>
      <w:bookmarkEnd w:id="0"/>
    </w:p>
    <w:tbl>
      <w:tblPr>
        <w:tblStyle w:val="9"/>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799"/>
        <w:gridCol w:w="3892"/>
        <w:gridCol w:w="650"/>
        <w:gridCol w:w="650"/>
        <w:gridCol w:w="1142"/>
        <w:gridCol w:w="1257"/>
      </w:tblGrid>
      <w:tr w14:paraId="58F8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7" w:type="dxa"/>
            <w:vAlign w:val="center"/>
          </w:tcPr>
          <w:p w14:paraId="4E56BCC0">
            <w:pPr>
              <w:keepNext w:val="0"/>
              <w:keepLines w:val="0"/>
              <w:widowControl/>
              <w:suppressLineNumbers w:val="0"/>
              <w:jc w:val="center"/>
              <w:textAlignment w:val="center"/>
              <w:rPr>
                <w:rFonts w:hint="eastAsia" w:ascii="宋体" w:hAnsi="宋体" w:eastAsia="宋体" w:cs="宋体"/>
                <w:b w:val="0"/>
                <w:bCs w:val="0"/>
                <w:sz w:val="21"/>
                <w:szCs w:val="21"/>
                <w:vertAlign w:val="baseline"/>
              </w:rPr>
            </w:pPr>
            <w:bookmarkStart w:id="1" w:name="_Toc27462"/>
            <w:bookmarkStart w:id="2" w:name="_Toc15957"/>
            <w:r>
              <w:rPr>
                <w:rFonts w:hint="eastAsia" w:ascii="宋体" w:hAnsi="宋体" w:eastAsia="宋体" w:cs="宋体"/>
                <w:b w:val="0"/>
                <w:bCs w:val="0"/>
                <w:i w:val="0"/>
                <w:iCs w:val="0"/>
                <w:color w:val="000000"/>
                <w:kern w:val="0"/>
                <w:sz w:val="21"/>
                <w:szCs w:val="21"/>
                <w:u w:val="none"/>
                <w:lang w:val="en-US" w:eastAsia="zh-CN" w:bidi="ar"/>
              </w:rPr>
              <w:t>序号</w:t>
            </w:r>
          </w:p>
        </w:tc>
        <w:tc>
          <w:tcPr>
            <w:tcW w:w="799" w:type="dxa"/>
            <w:vAlign w:val="center"/>
          </w:tcPr>
          <w:p w14:paraId="2C22CD3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3892" w:type="dxa"/>
            <w:vAlign w:val="center"/>
          </w:tcPr>
          <w:p w14:paraId="06186068">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50" w:type="dxa"/>
            <w:vAlign w:val="center"/>
          </w:tcPr>
          <w:p w14:paraId="2DF59F4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采购数量</w:t>
            </w:r>
          </w:p>
        </w:tc>
        <w:tc>
          <w:tcPr>
            <w:tcW w:w="650" w:type="dxa"/>
            <w:vAlign w:val="center"/>
          </w:tcPr>
          <w:p w14:paraId="60927268">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142" w:type="dxa"/>
            <w:vAlign w:val="center"/>
          </w:tcPr>
          <w:p w14:paraId="273B9FDE">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1257" w:type="dxa"/>
            <w:vAlign w:val="center"/>
          </w:tcPr>
          <w:p w14:paraId="43905897">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总金额(元)</w:t>
            </w:r>
          </w:p>
        </w:tc>
      </w:tr>
      <w:tr w14:paraId="2BBA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7" w:type="dxa"/>
            <w:vMerge w:val="restart"/>
            <w:vAlign w:val="center"/>
          </w:tcPr>
          <w:p w14:paraId="25EB400F">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w:t>
            </w:r>
          </w:p>
        </w:tc>
        <w:tc>
          <w:tcPr>
            <w:tcW w:w="799" w:type="dxa"/>
            <w:vMerge w:val="restart"/>
            <w:vAlign w:val="center"/>
          </w:tcPr>
          <w:p w14:paraId="55473B25">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繁育实验试剂</w:t>
            </w:r>
          </w:p>
        </w:tc>
        <w:tc>
          <w:tcPr>
            <w:tcW w:w="3892" w:type="dxa"/>
            <w:vAlign w:val="center"/>
          </w:tcPr>
          <w:p w14:paraId="3A5F0F9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Irvine Scientific 90170 精子冻存液12*5ml/盒</w:t>
            </w:r>
          </w:p>
        </w:tc>
        <w:tc>
          <w:tcPr>
            <w:tcW w:w="650" w:type="dxa"/>
            <w:vAlign w:val="center"/>
          </w:tcPr>
          <w:p w14:paraId="48B5CC0B">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vAlign w:val="center"/>
          </w:tcPr>
          <w:p w14:paraId="2815169E">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盒</w:t>
            </w:r>
          </w:p>
        </w:tc>
        <w:tc>
          <w:tcPr>
            <w:tcW w:w="1142" w:type="dxa"/>
            <w:vAlign w:val="center"/>
          </w:tcPr>
          <w:p w14:paraId="1E40700F">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7050.00 </w:t>
            </w:r>
          </w:p>
        </w:tc>
        <w:tc>
          <w:tcPr>
            <w:tcW w:w="1257" w:type="dxa"/>
            <w:vAlign w:val="center"/>
          </w:tcPr>
          <w:p w14:paraId="20E8EA50">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28200.00 </w:t>
            </w:r>
          </w:p>
        </w:tc>
      </w:tr>
      <w:tr w14:paraId="44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87" w:type="dxa"/>
            <w:vMerge w:val="continue"/>
            <w:vAlign w:val="center"/>
          </w:tcPr>
          <w:p w14:paraId="501B12A2">
            <w:pPr>
              <w:jc w:val="center"/>
              <w:rPr>
                <w:rFonts w:hint="eastAsia" w:ascii="宋体" w:hAnsi="宋体" w:eastAsia="宋体" w:cs="宋体"/>
                <w:b w:val="0"/>
                <w:bCs w:val="0"/>
                <w:sz w:val="21"/>
                <w:szCs w:val="21"/>
                <w:vertAlign w:val="baseline"/>
              </w:rPr>
            </w:pPr>
          </w:p>
        </w:tc>
        <w:tc>
          <w:tcPr>
            <w:tcW w:w="799" w:type="dxa"/>
            <w:vMerge w:val="continue"/>
            <w:vAlign w:val="center"/>
          </w:tcPr>
          <w:p w14:paraId="748F2756">
            <w:pPr>
              <w:jc w:val="center"/>
              <w:rPr>
                <w:rFonts w:hint="eastAsia" w:ascii="宋体" w:hAnsi="宋体" w:eastAsia="宋体" w:cs="宋体"/>
                <w:b w:val="0"/>
                <w:bCs w:val="0"/>
                <w:sz w:val="21"/>
                <w:szCs w:val="21"/>
                <w:vertAlign w:val="baseline"/>
              </w:rPr>
            </w:pPr>
          </w:p>
        </w:tc>
        <w:tc>
          <w:tcPr>
            <w:tcW w:w="3892" w:type="dxa"/>
            <w:vAlign w:val="center"/>
          </w:tcPr>
          <w:p w14:paraId="498D026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法国卡苏冻精吸管封口粉 018815 750g/瓶</w:t>
            </w:r>
          </w:p>
        </w:tc>
        <w:tc>
          <w:tcPr>
            <w:tcW w:w="650" w:type="dxa"/>
            <w:vAlign w:val="center"/>
          </w:tcPr>
          <w:p w14:paraId="659529CA">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w:t>
            </w:r>
          </w:p>
        </w:tc>
        <w:tc>
          <w:tcPr>
            <w:tcW w:w="650" w:type="dxa"/>
            <w:vAlign w:val="center"/>
          </w:tcPr>
          <w:p w14:paraId="660D09E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瓶</w:t>
            </w:r>
          </w:p>
        </w:tc>
        <w:tc>
          <w:tcPr>
            <w:tcW w:w="1142" w:type="dxa"/>
            <w:vAlign w:val="center"/>
          </w:tcPr>
          <w:p w14:paraId="3034224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1380.00 </w:t>
            </w:r>
          </w:p>
        </w:tc>
        <w:tc>
          <w:tcPr>
            <w:tcW w:w="1257" w:type="dxa"/>
            <w:vAlign w:val="center"/>
          </w:tcPr>
          <w:p w14:paraId="461F7BF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1380.00 </w:t>
            </w:r>
          </w:p>
        </w:tc>
      </w:tr>
      <w:tr w14:paraId="3EC0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7" w:type="dxa"/>
            <w:vMerge w:val="restart"/>
            <w:vAlign w:val="center"/>
          </w:tcPr>
          <w:p w14:paraId="66F133D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2</w:t>
            </w:r>
          </w:p>
        </w:tc>
        <w:tc>
          <w:tcPr>
            <w:tcW w:w="799" w:type="dxa"/>
            <w:vMerge w:val="restart"/>
            <w:vAlign w:val="center"/>
          </w:tcPr>
          <w:p w14:paraId="140F251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激素检测试剂</w:t>
            </w:r>
          </w:p>
        </w:tc>
        <w:tc>
          <w:tcPr>
            <w:tcW w:w="3892" w:type="dxa"/>
            <w:vAlign w:val="center"/>
          </w:tcPr>
          <w:p w14:paraId="03BA852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Arbor Assays A008-25MG羊抗鼠, Goat anti-Mouse IgG  25mg/瓶</w:t>
            </w:r>
          </w:p>
        </w:tc>
        <w:tc>
          <w:tcPr>
            <w:tcW w:w="650" w:type="dxa"/>
            <w:vAlign w:val="center"/>
          </w:tcPr>
          <w:p w14:paraId="1F20EA40">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2</w:t>
            </w:r>
          </w:p>
        </w:tc>
        <w:tc>
          <w:tcPr>
            <w:tcW w:w="650" w:type="dxa"/>
            <w:vAlign w:val="center"/>
          </w:tcPr>
          <w:p w14:paraId="1E661BD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瓶</w:t>
            </w:r>
          </w:p>
        </w:tc>
        <w:tc>
          <w:tcPr>
            <w:tcW w:w="1142" w:type="dxa"/>
            <w:vAlign w:val="center"/>
          </w:tcPr>
          <w:p w14:paraId="3A1C321F">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6634.00 </w:t>
            </w:r>
          </w:p>
        </w:tc>
        <w:tc>
          <w:tcPr>
            <w:tcW w:w="1257" w:type="dxa"/>
            <w:vAlign w:val="center"/>
          </w:tcPr>
          <w:p w14:paraId="2C99436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13268.00 </w:t>
            </w:r>
          </w:p>
        </w:tc>
      </w:tr>
      <w:tr w14:paraId="3D41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487" w:type="dxa"/>
            <w:vMerge w:val="continue"/>
            <w:vAlign w:val="center"/>
          </w:tcPr>
          <w:p w14:paraId="1DAC7596">
            <w:pPr>
              <w:jc w:val="center"/>
              <w:rPr>
                <w:rFonts w:hint="eastAsia" w:ascii="宋体" w:hAnsi="宋体" w:eastAsia="宋体" w:cs="宋体"/>
                <w:b w:val="0"/>
                <w:bCs w:val="0"/>
                <w:sz w:val="21"/>
                <w:szCs w:val="21"/>
                <w:vertAlign w:val="baseline"/>
              </w:rPr>
            </w:pPr>
          </w:p>
        </w:tc>
        <w:tc>
          <w:tcPr>
            <w:tcW w:w="799" w:type="dxa"/>
            <w:vMerge w:val="continue"/>
            <w:vAlign w:val="center"/>
          </w:tcPr>
          <w:p w14:paraId="2D2D60DB">
            <w:pPr>
              <w:jc w:val="center"/>
              <w:rPr>
                <w:rFonts w:hint="eastAsia" w:ascii="宋体" w:hAnsi="宋体" w:eastAsia="宋体" w:cs="宋体"/>
                <w:b w:val="0"/>
                <w:bCs w:val="0"/>
                <w:sz w:val="21"/>
                <w:szCs w:val="21"/>
                <w:vertAlign w:val="baseline"/>
              </w:rPr>
            </w:pPr>
          </w:p>
        </w:tc>
        <w:tc>
          <w:tcPr>
            <w:tcW w:w="3892" w:type="dxa"/>
            <w:vAlign w:val="center"/>
          </w:tcPr>
          <w:p w14:paraId="3C41ECE0">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Immunochemistry</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Antigen-Down HRP Conjugate Stabilizer Diluent, 5X#6169  25ml/瓶</w:t>
            </w:r>
          </w:p>
        </w:tc>
        <w:tc>
          <w:tcPr>
            <w:tcW w:w="650" w:type="dxa"/>
            <w:vAlign w:val="center"/>
          </w:tcPr>
          <w:p w14:paraId="2DFA00C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2</w:t>
            </w:r>
          </w:p>
        </w:tc>
        <w:tc>
          <w:tcPr>
            <w:tcW w:w="650" w:type="dxa"/>
            <w:vAlign w:val="center"/>
          </w:tcPr>
          <w:p w14:paraId="09D3190C">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瓶</w:t>
            </w:r>
          </w:p>
        </w:tc>
        <w:tc>
          <w:tcPr>
            <w:tcW w:w="1142" w:type="dxa"/>
            <w:vAlign w:val="center"/>
          </w:tcPr>
          <w:p w14:paraId="51EF8F4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1770.00 </w:t>
            </w:r>
          </w:p>
        </w:tc>
        <w:tc>
          <w:tcPr>
            <w:tcW w:w="1257" w:type="dxa"/>
            <w:vAlign w:val="center"/>
          </w:tcPr>
          <w:p w14:paraId="131C880E">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3540.00 </w:t>
            </w:r>
          </w:p>
        </w:tc>
      </w:tr>
      <w:tr w14:paraId="4C5B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87" w:type="dxa"/>
            <w:vMerge w:val="continue"/>
            <w:vAlign w:val="center"/>
          </w:tcPr>
          <w:p w14:paraId="0C7A5207">
            <w:pPr>
              <w:jc w:val="center"/>
              <w:rPr>
                <w:rFonts w:hint="eastAsia" w:ascii="宋体" w:hAnsi="宋体" w:eastAsia="宋体" w:cs="宋体"/>
                <w:b w:val="0"/>
                <w:bCs w:val="0"/>
                <w:sz w:val="21"/>
                <w:szCs w:val="21"/>
                <w:vertAlign w:val="baseline"/>
              </w:rPr>
            </w:pPr>
          </w:p>
        </w:tc>
        <w:tc>
          <w:tcPr>
            <w:tcW w:w="799" w:type="dxa"/>
            <w:vMerge w:val="continue"/>
            <w:vAlign w:val="center"/>
          </w:tcPr>
          <w:p w14:paraId="51471028">
            <w:pPr>
              <w:jc w:val="center"/>
              <w:rPr>
                <w:rFonts w:hint="eastAsia" w:ascii="宋体" w:hAnsi="宋体" w:eastAsia="宋体" w:cs="宋体"/>
                <w:b w:val="0"/>
                <w:bCs w:val="0"/>
                <w:sz w:val="21"/>
                <w:szCs w:val="21"/>
                <w:vertAlign w:val="baseline"/>
              </w:rPr>
            </w:pPr>
          </w:p>
        </w:tc>
        <w:tc>
          <w:tcPr>
            <w:tcW w:w="3892" w:type="dxa"/>
            <w:vAlign w:val="center"/>
          </w:tcPr>
          <w:p w14:paraId="14997F73">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Sigma T3405 TMB,  3,3′,5,5′-Tetramethylbenzidine dihydrochloride  100TAB/盒</w:t>
            </w:r>
          </w:p>
        </w:tc>
        <w:tc>
          <w:tcPr>
            <w:tcW w:w="650" w:type="dxa"/>
            <w:vAlign w:val="center"/>
          </w:tcPr>
          <w:p w14:paraId="6E2C3E99">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2</w:t>
            </w:r>
          </w:p>
        </w:tc>
        <w:tc>
          <w:tcPr>
            <w:tcW w:w="650" w:type="dxa"/>
            <w:vAlign w:val="center"/>
          </w:tcPr>
          <w:p w14:paraId="46F3A63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盒</w:t>
            </w:r>
          </w:p>
        </w:tc>
        <w:tc>
          <w:tcPr>
            <w:tcW w:w="1142" w:type="dxa"/>
            <w:vAlign w:val="center"/>
          </w:tcPr>
          <w:p w14:paraId="5B0B1E13">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4350.00 </w:t>
            </w:r>
          </w:p>
        </w:tc>
        <w:tc>
          <w:tcPr>
            <w:tcW w:w="1257" w:type="dxa"/>
            <w:vAlign w:val="center"/>
          </w:tcPr>
          <w:p w14:paraId="00A98EF9">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8700.00 </w:t>
            </w:r>
          </w:p>
        </w:tc>
      </w:tr>
      <w:tr w14:paraId="39CD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87" w:type="dxa"/>
            <w:vMerge w:val="continue"/>
            <w:vAlign w:val="center"/>
          </w:tcPr>
          <w:p w14:paraId="46423ADD">
            <w:pPr>
              <w:jc w:val="center"/>
              <w:rPr>
                <w:rFonts w:hint="eastAsia" w:ascii="宋体" w:hAnsi="宋体" w:eastAsia="宋体" w:cs="宋体"/>
                <w:b w:val="0"/>
                <w:bCs w:val="0"/>
                <w:sz w:val="21"/>
                <w:szCs w:val="21"/>
                <w:vertAlign w:val="baseline"/>
              </w:rPr>
            </w:pPr>
          </w:p>
        </w:tc>
        <w:tc>
          <w:tcPr>
            <w:tcW w:w="799" w:type="dxa"/>
            <w:vMerge w:val="continue"/>
            <w:vAlign w:val="center"/>
          </w:tcPr>
          <w:p w14:paraId="07F44E02">
            <w:pPr>
              <w:jc w:val="center"/>
              <w:rPr>
                <w:rFonts w:hint="eastAsia" w:ascii="宋体" w:hAnsi="宋体" w:eastAsia="宋体" w:cs="宋体"/>
                <w:b w:val="0"/>
                <w:bCs w:val="0"/>
                <w:sz w:val="21"/>
                <w:szCs w:val="21"/>
                <w:vertAlign w:val="baseline"/>
              </w:rPr>
            </w:pPr>
          </w:p>
        </w:tc>
        <w:tc>
          <w:tcPr>
            <w:tcW w:w="3892" w:type="dxa"/>
            <w:vAlign w:val="center"/>
          </w:tcPr>
          <w:p w14:paraId="19942115">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雷磁KCl电极补充液  250ml/瓶</w:t>
            </w:r>
          </w:p>
        </w:tc>
        <w:tc>
          <w:tcPr>
            <w:tcW w:w="650" w:type="dxa"/>
            <w:vAlign w:val="center"/>
          </w:tcPr>
          <w:p w14:paraId="555B2028">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w:t>
            </w:r>
          </w:p>
        </w:tc>
        <w:tc>
          <w:tcPr>
            <w:tcW w:w="650" w:type="dxa"/>
            <w:vAlign w:val="center"/>
          </w:tcPr>
          <w:p w14:paraId="221E6417">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瓶</w:t>
            </w:r>
          </w:p>
        </w:tc>
        <w:tc>
          <w:tcPr>
            <w:tcW w:w="1142" w:type="dxa"/>
            <w:vAlign w:val="center"/>
          </w:tcPr>
          <w:p w14:paraId="5FA1B86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200.00 </w:t>
            </w:r>
          </w:p>
        </w:tc>
        <w:tc>
          <w:tcPr>
            <w:tcW w:w="1257" w:type="dxa"/>
            <w:vAlign w:val="center"/>
          </w:tcPr>
          <w:p w14:paraId="6DFBFFA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200.00 </w:t>
            </w:r>
          </w:p>
        </w:tc>
      </w:tr>
      <w:tr w14:paraId="62E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87" w:type="dxa"/>
            <w:vMerge w:val="continue"/>
            <w:vAlign w:val="center"/>
          </w:tcPr>
          <w:p w14:paraId="6DE8B097">
            <w:pPr>
              <w:jc w:val="center"/>
              <w:rPr>
                <w:rFonts w:hint="eastAsia" w:ascii="宋体" w:hAnsi="宋体" w:eastAsia="宋体" w:cs="宋体"/>
                <w:b w:val="0"/>
                <w:bCs w:val="0"/>
                <w:sz w:val="21"/>
                <w:szCs w:val="21"/>
                <w:vertAlign w:val="baseline"/>
              </w:rPr>
            </w:pPr>
          </w:p>
        </w:tc>
        <w:tc>
          <w:tcPr>
            <w:tcW w:w="799" w:type="dxa"/>
            <w:vMerge w:val="continue"/>
            <w:vAlign w:val="center"/>
          </w:tcPr>
          <w:p w14:paraId="6DAD3558">
            <w:pPr>
              <w:jc w:val="center"/>
              <w:rPr>
                <w:rFonts w:hint="eastAsia" w:ascii="宋体" w:hAnsi="宋体" w:eastAsia="宋体" w:cs="宋体"/>
                <w:b w:val="0"/>
                <w:bCs w:val="0"/>
                <w:sz w:val="21"/>
                <w:szCs w:val="21"/>
                <w:vertAlign w:val="baseline"/>
              </w:rPr>
            </w:pPr>
          </w:p>
        </w:tc>
        <w:tc>
          <w:tcPr>
            <w:tcW w:w="3892" w:type="dxa"/>
            <w:vAlign w:val="center"/>
          </w:tcPr>
          <w:p w14:paraId="1F2DAFD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Sigma P4922 磷酸柠檬酸盐胶囊，Phosphate-Citrate Buffer with Sodium Perborate 100CAP/盒</w:t>
            </w:r>
          </w:p>
        </w:tc>
        <w:tc>
          <w:tcPr>
            <w:tcW w:w="650" w:type="dxa"/>
            <w:vAlign w:val="center"/>
          </w:tcPr>
          <w:p w14:paraId="7A60DCD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w:t>
            </w:r>
          </w:p>
        </w:tc>
        <w:tc>
          <w:tcPr>
            <w:tcW w:w="650" w:type="dxa"/>
            <w:vAlign w:val="center"/>
          </w:tcPr>
          <w:p w14:paraId="0756F51A">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瓶</w:t>
            </w:r>
          </w:p>
        </w:tc>
        <w:tc>
          <w:tcPr>
            <w:tcW w:w="1142" w:type="dxa"/>
            <w:vAlign w:val="center"/>
          </w:tcPr>
          <w:p w14:paraId="35CA491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3250.00 </w:t>
            </w:r>
          </w:p>
        </w:tc>
        <w:tc>
          <w:tcPr>
            <w:tcW w:w="1257" w:type="dxa"/>
            <w:vAlign w:val="center"/>
          </w:tcPr>
          <w:p w14:paraId="083D075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3250.00 </w:t>
            </w:r>
          </w:p>
        </w:tc>
      </w:tr>
      <w:tr w14:paraId="6A7A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7" w:type="dxa"/>
            <w:vMerge w:val="continue"/>
            <w:vAlign w:val="center"/>
          </w:tcPr>
          <w:p w14:paraId="4D5768D4">
            <w:pPr>
              <w:jc w:val="center"/>
              <w:rPr>
                <w:rFonts w:hint="eastAsia" w:ascii="宋体" w:hAnsi="宋体" w:eastAsia="宋体" w:cs="宋体"/>
                <w:b w:val="0"/>
                <w:bCs w:val="0"/>
                <w:sz w:val="21"/>
                <w:szCs w:val="21"/>
                <w:vertAlign w:val="baseline"/>
              </w:rPr>
            </w:pPr>
          </w:p>
        </w:tc>
        <w:tc>
          <w:tcPr>
            <w:tcW w:w="799" w:type="dxa"/>
            <w:vMerge w:val="continue"/>
            <w:vAlign w:val="center"/>
          </w:tcPr>
          <w:p w14:paraId="0FE7FF5E">
            <w:pPr>
              <w:jc w:val="center"/>
              <w:rPr>
                <w:rFonts w:hint="eastAsia" w:ascii="宋体" w:hAnsi="宋体" w:eastAsia="宋体" w:cs="宋体"/>
                <w:b w:val="0"/>
                <w:bCs w:val="0"/>
                <w:sz w:val="21"/>
                <w:szCs w:val="21"/>
                <w:vertAlign w:val="baseline"/>
              </w:rPr>
            </w:pPr>
          </w:p>
        </w:tc>
        <w:tc>
          <w:tcPr>
            <w:tcW w:w="3892" w:type="dxa"/>
            <w:vAlign w:val="center"/>
          </w:tcPr>
          <w:p w14:paraId="1647423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Arbor Assays K003-H5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Cortisol ELISA Kit, 5 Plates/盒</w:t>
            </w:r>
          </w:p>
        </w:tc>
        <w:tc>
          <w:tcPr>
            <w:tcW w:w="650" w:type="dxa"/>
            <w:vAlign w:val="center"/>
          </w:tcPr>
          <w:p w14:paraId="2A7BFAF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2</w:t>
            </w:r>
          </w:p>
        </w:tc>
        <w:tc>
          <w:tcPr>
            <w:tcW w:w="650" w:type="dxa"/>
            <w:vAlign w:val="center"/>
          </w:tcPr>
          <w:p w14:paraId="5850D103">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盒</w:t>
            </w:r>
          </w:p>
        </w:tc>
        <w:tc>
          <w:tcPr>
            <w:tcW w:w="1142" w:type="dxa"/>
            <w:vAlign w:val="center"/>
          </w:tcPr>
          <w:p w14:paraId="45119F1F">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17600.00 </w:t>
            </w:r>
          </w:p>
        </w:tc>
        <w:tc>
          <w:tcPr>
            <w:tcW w:w="1257" w:type="dxa"/>
            <w:vAlign w:val="center"/>
          </w:tcPr>
          <w:p w14:paraId="2F6F281E">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35200.00 </w:t>
            </w:r>
          </w:p>
        </w:tc>
      </w:tr>
      <w:tr w14:paraId="5140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7" w:type="dxa"/>
            <w:vMerge w:val="restart"/>
            <w:vAlign w:val="center"/>
          </w:tcPr>
          <w:p w14:paraId="2BE09979">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3</w:t>
            </w:r>
          </w:p>
        </w:tc>
        <w:tc>
          <w:tcPr>
            <w:tcW w:w="799" w:type="dxa"/>
            <w:vMerge w:val="restart"/>
            <w:vAlign w:val="center"/>
          </w:tcPr>
          <w:p w14:paraId="4B72D5C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繁育试验耗材</w:t>
            </w:r>
          </w:p>
        </w:tc>
        <w:tc>
          <w:tcPr>
            <w:tcW w:w="3892" w:type="dxa"/>
            <w:vAlign w:val="center"/>
          </w:tcPr>
          <w:p w14:paraId="360870E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冻精麦管Classic IMV Technologies straw 005565 0.25 ml，2000支/包</w:t>
            </w:r>
          </w:p>
        </w:tc>
        <w:tc>
          <w:tcPr>
            <w:tcW w:w="650" w:type="dxa"/>
            <w:vAlign w:val="center"/>
          </w:tcPr>
          <w:p w14:paraId="462B8E6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3</w:t>
            </w:r>
          </w:p>
        </w:tc>
        <w:tc>
          <w:tcPr>
            <w:tcW w:w="650" w:type="dxa"/>
            <w:vAlign w:val="center"/>
          </w:tcPr>
          <w:p w14:paraId="60273B48">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包</w:t>
            </w:r>
          </w:p>
        </w:tc>
        <w:tc>
          <w:tcPr>
            <w:tcW w:w="1142" w:type="dxa"/>
            <w:vAlign w:val="center"/>
          </w:tcPr>
          <w:p w14:paraId="701FC43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790.00 </w:t>
            </w:r>
          </w:p>
        </w:tc>
        <w:tc>
          <w:tcPr>
            <w:tcW w:w="1257" w:type="dxa"/>
            <w:vAlign w:val="center"/>
          </w:tcPr>
          <w:p w14:paraId="024110C3">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2370.00 </w:t>
            </w:r>
          </w:p>
        </w:tc>
      </w:tr>
      <w:tr w14:paraId="3ECE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87" w:type="dxa"/>
            <w:vMerge w:val="continue"/>
            <w:vAlign w:val="center"/>
          </w:tcPr>
          <w:p w14:paraId="3E5530BA">
            <w:pPr>
              <w:jc w:val="center"/>
              <w:rPr>
                <w:rFonts w:hint="eastAsia" w:ascii="宋体" w:hAnsi="宋体" w:eastAsia="宋体" w:cs="宋体"/>
                <w:b w:val="0"/>
                <w:bCs w:val="0"/>
                <w:sz w:val="21"/>
                <w:szCs w:val="21"/>
                <w:vertAlign w:val="baseline"/>
              </w:rPr>
            </w:pPr>
          </w:p>
        </w:tc>
        <w:tc>
          <w:tcPr>
            <w:tcW w:w="799" w:type="dxa"/>
            <w:vMerge w:val="continue"/>
            <w:vAlign w:val="center"/>
          </w:tcPr>
          <w:p w14:paraId="624378CB">
            <w:pPr>
              <w:jc w:val="center"/>
              <w:rPr>
                <w:rFonts w:hint="eastAsia" w:ascii="宋体" w:hAnsi="宋体" w:eastAsia="宋体" w:cs="宋体"/>
                <w:b w:val="0"/>
                <w:bCs w:val="0"/>
                <w:sz w:val="21"/>
                <w:szCs w:val="21"/>
                <w:vertAlign w:val="baseline"/>
              </w:rPr>
            </w:pPr>
          </w:p>
        </w:tc>
        <w:tc>
          <w:tcPr>
            <w:tcW w:w="3892" w:type="dxa"/>
            <w:vAlign w:val="center"/>
          </w:tcPr>
          <w:p w14:paraId="7FF6A2E5">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标签纸</w:t>
            </w:r>
          </w:p>
        </w:tc>
        <w:tc>
          <w:tcPr>
            <w:tcW w:w="650" w:type="dxa"/>
            <w:vAlign w:val="center"/>
          </w:tcPr>
          <w:p w14:paraId="02A7F61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10</w:t>
            </w:r>
          </w:p>
        </w:tc>
        <w:tc>
          <w:tcPr>
            <w:tcW w:w="650" w:type="dxa"/>
            <w:vAlign w:val="center"/>
          </w:tcPr>
          <w:p w14:paraId="2B6F8C5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包</w:t>
            </w:r>
          </w:p>
        </w:tc>
        <w:tc>
          <w:tcPr>
            <w:tcW w:w="1142" w:type="dxa"/>
            <w:vAlign w:val="center"/>
          </w:tcPr>
          <w:p w14:paraId="6C0544F0">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14.00 </w:t>
            </w:r>
          </w:p>
        </w:tc>
        <w:tc>
          <w:tcPr>
            <w:tcW w:w="1257" w:type="dxa"/>
            <w:vAlign w:val="center"/>
          </w:tcPr>
          <w:p w14:paraId="698F72FC">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140.00 </w:t>
            </w:r>
          </w:p>
        </w:tc>
      </w:tr>
      <w:tr w14:paraId="587F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87" w:type="dxa"/>
            <w:vMerge w:val="continue"/>
            <w:vAlign w:val="center"/>
          </w:tcPr>
          <w:p w14:paraId="2E90293B">
            <w:pPr>
              <w:jc w:val="center"/>
              <w:rPr>
                <w:rFonts w:hint="eastAsia" w:ascii="宋体" w:hAnsi="宋体" w:eastAsia="宋体" w:cs="宋体"/>
                <w:b w:val="0"/>
                <w:bCs w:val="0"/>
                <w:sz w:val="21"/>
                <w:szCs w:val="21"/>
                <w:vertAlign w:val="baseline"/>
              </w:rPr>
            </w:pPr>
          </w:p>
        </w:tc>
        <w:tc>
          <w:tcPr>
            <w:tcW w:w="799" w:type="dxa"/>
            <w:vMerge w:val="continue"/>
            <w:vAlign w:val="center"/>
          </w:tcPr>
          <w:p w14:paraId="68026E53">
            <w:pPr>
              <w:jc w:val="center"/>
              <w:rPr>
                <w:rFonts w:hint="eastAsia" w:ascii="宋体" w:hAnsi="宋体" w:eastAsia="宋体" w:cs="宋体"/>
                <w:b w:val="0"/>
                <w:bCs w:val="0"/>
                <w:sz w:val="21"/>
                <w:szCs w:val="21"/>
                <w:vertAlign w:val="baseline"/>
              </w:rPr>
            </w:pPr>
          </w:p>
        </w:tc>
        <w:tc>
          <w:tcPr>
            <w:tcW w:w="3892" w:type="dxa"/>
            <w:vAlign w:val="center"/>
          </w:tcPr>
          <w:p w14:paraId="761D8AC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输精枪</w:t>
            </w:r>
          </w:p>
        </w:tc>
        <w:tc>
          <w:tcPr>
            <w:tcW w:w="650" w:type="dxa"/>
            <w:vAlign w:val="center"/>
          </w:tcPr>
          <w:p w14:paraId="021E460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90</w:t>
            </w:r>
          </w:p>
        </w:tc>
        <w:tc>
          <w:tcPr>
            <w:tcW w:w="650" w:type="dxa"/>
            <w:vAlign w:val="center"/>
          </w:tcPr>
          <w:p w14:paraId="03B7DC11">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个</w:t>
            </w:r>
          </w:p>
        </w:tc>
        <w:tc>
          <w:tcPr>
            <w:tcW w:w="1142" w:type="dxa"/>
            <w:vAlign w:val="center"/>
          </w:tcPr>
          <w:p w14:paraId="2714FFA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38.00 </w:t>
            </w:r>
          </w:p>
        </w:tc>
        <w:tc>
          <w:tcPr>
            <w:tcW w:w="1257" w:type="dxa"/>
            <w:vAlign w:val="center"/>
          </w:tcPr>
          <w:p w14:paraId="46E8B2C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3420.00 </w:t>
            </w:r>
          </w:p>
        </w:tc>
      </w:tr>
      <w:tr w14:paraId="5575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7" w:type="dxa"/>
            <w:vMerge w:val="continue"/>
            <w:vAlign w:val="center"/>
          </w:tcPr>
          <w:p w14:paraId="4FF1339E">
            <w:pPr>
              <w:jc w:val="center"/>
              <w:rPr>
                <w:rFonts w:hint="eastAsia" w:ascii="宋体" w:hAnsi="宋体" w:eastAsia="宋体" w:cs="宋体"/>
                <w:b w:val="0"/>
                <w:bCs w:val="0"/>
                <w:sz w:val="21"/>
                <w:szCs w:val="21"/>
                <w:vertAlign w:val="baseline"/>
              </w:rPr>
            </w:pPr>
          </w:p>
        </w:tc>
        <w:tc>
          <w:tcPr>
            <w:tcW w:w="799" w:type="dxa"/>
            <w:vMerge w:val="continue"/>
            <w:vAlign w:val="center"/>
          </w:tcPr>
          <w:p w14:paraId="517494FE">
            <w:pPr>
              <w:jc w:val="center"/>
              <w:rPr>
                <w:rFonts w:hint="eastAsia" w:ascii="宋体" w:hAnsi="宋体" w:eastAsia="宋体" w:cs="宋体"/>
                <w:b w:val="0"/>
                <w:bCs w:val="0"/>
                <w:sz w:val="21"/>
                <w:szCs w:val="21"/>
                <w:vertAlign w:val="baseline"/>
              </w:rPr>
            </w:pPr>
          </w:p>
        </w:tc>
        <w:tc>
          <w:tcPr>
            <w:tcW w:w="3892" w:type="dxa"/>
            <w:vAlign w:val="center"/>
          </w:tcPr>
          <w:p w14:paraId="37587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康健   透明硬质试管 12*75      </w:t>
            </w:r>
          </w:p>
          <w:p w14:paraId="00EE9E6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 250支/盒*18盒/箱（PS）</w:t>
            </w:r>
          </w:p>
        </w:tc>
        <w:tc>
          <w:tcPr>
            <w:tcW w:w="650" w:type="dxa"/>
            <w:vAlign w:val="center"/>
          </w:tcPr>
          <w:p w14:paraId="148CED57">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5</w:t>
            </w:r>
          </w:p>
        </w:tc>
        <w:tc>
          <w:tcPr>
            <w:tcW w:w="650" w:type="dxa"/>
            <w:vAlign w:val="center"/>
          </w:tcPr>
          <w:p w14:paraId="3638D448">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箱</w:t>
            </w:r>
          </w:p>
        </w:tc>
        <w:tc>
          <w:tcPr>
            <w:tcW w:w="1142" w:type="dxa"/>
            <w:vAlign w:val="center"/>
          </w:tcPr>
          <w:p w14:paraId="575446FB">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870.00 </w:t>
            </w:r>
          </w:p>
        </w:tc>
        <w:tc>
          <w:tcPr>
            <w:tcW w:w="1257" w:type="dxa"/>
            <w:vAlign w:val="center"/>
          </w:tcPr>
          <w:p w14:paraId="4131B409">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4350.00 </w:t>
            </w:r>
          </w:p>
        </w:tc>
      </w:tr>
      <w:tr w14:paraId="2612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87" w:type="dxa"/>
            <w:vMerge w:val="continue"/>
            <w:vAlign w:val="center"/>
          </w:tcPr>
          <w:p w14:paraId="73193EA8">
            <w:pPr>
              <w:jc w:val="center"/>
              <w:rPr>
                <w:rFonts w:hint="eastAsia" w:ascii="宋体" w:hAnsi="宋体" w:eastAsia="宋体" w:cs="宋体"/>
                <w:b w:val="0"/>
                <w:bCs w:val="0"/>
                <w:sz w:val="21"/>
                <w:szCs w:val="21"/>
                <w:vertAlign w:val="baseline"/>
              </w:rPr>
            </w:pPr>
          </w:p>
        </w:tc>
        <w:tc>
          <w:tcPr>
            <w:tcW w:w="799" w:type="dxa"/>
            <w:vMerge w:val="continue"/>
            <w:vAlign w:val="center"/>
          </w:tcPr>
          <w:p w14:paraId="2EF999D2">
            <w:pPr>
              <w:jc w:val="center"/>
              <w:rPr>
                <w:rFonts w:hint="eastAsia" w:ascii="宋体" w:hAnsi="宋体" w:eastAsia="宋体" w:cs="宋体"/>
                <w:b w:val="0"/>
                <w:bCs w:val="0"/>
                <w:sz w:val="21"/>
                <w:szCs w:val="21"/>
                <w:vertAlign w:val="baseline"/>
              </w:rPr>
            </w:pPr>
          </w:p>
        </w:tc>
        <w:tc>
          <w:tcPr>
            <w:tcW w:w="3892" w:type="dxa"/>
            <w:vAlign w:val="center"/>
          </w:tcPr>
          <w:p w14:paraId="3AE1243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康健317 冻存管5ml 200支/包</w:t>
            </w:r>
          </w:p>
        </w:tc>
        <w:tc>
          <w:tcPr>
            <w:tcW w:w="650" w:type="dxa"/>
            <w:vAlign w:val="center"/>
          </w:tcPr>
          <w:p w14:paraId="2EBA5CA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28</w:t>
            </w:r>
          </w:p>
        </w:tc>
        <w:tc>
          <w:tcPr>
            <w:tcW w:w="650" w:type="dxa"/>
            <w:vAlign w:val="center"/>
          </w:tcPr>
          <w:p w14:paraId="512286F9">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包</w:t>
            </w:r>
          </w:p>
        </w:tc>
        <w:tc>
          <w:tcPr>
            <w:tcW w:w="1142" w:type="dxa"/>
            <w:vAlign w:val="center"/>
          </w:tcPr>
          <w:p w14:paraId="04953F35">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300.00 </w:t>
            </w:r>
          </w:p>
        </w:tc>
        <w:tc>
          <w:tcPr>
            <w:tcW w:w="1257" w:type="dxa"/>
            <w:vAlign w:val="center"/>
          </w:tcPr>
          <w:p w14:paraId="25A026CC">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8400.00 </w:t>
            </w:r>
          </w:p>
        </w:tc>
      </w:tr>
      <w:tr w14:paraId="1F4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87" w:type="dxa"/>
            <w:vMerge w:val="continue"/>
            <w:vAlign w:val="center"/>
          </w:tcPr>
          <w:p w14:paraId="6E3FE8F6">
            <w:pPr>
              <w:jc w:val="center"/>
              <w:rPr>
                <w:rFonts w:hint="eastAsia" w:ascii="宋体" w:hAnsi="宋体" w:eastAsia="宋体" w:cs="宋体"/>
                <w:b w:val="0"/>
                <w:bCs w:val="0"/>
                <w:sz w:val="21"/>
                <w:szCs w:val="21"/>
                <w:vertAlign w:val="baseline"/>
              </w:rPr>
            </w:pPr>
          </w:p>
        </w:tc>
        <w:tc>
          <w:tcPr>
            <w:tcW w:w="799" w:type="dxa"/>
            <w:vMerge w:val="continue"/>
            <w:vAlign w:val="center"/>
          </w:tcPr>
          <w:p w14:paraId="765E388D">
            <w:pPr>
              <w:jc w:val="center"/>
              <w:rPr>
                <w:rFonts w:hint="eastAsia" w:ascii="宋体" w:hAnsi="宋体" w:eastAsia="宋体" w:cs="宋体"/>
                <w:b w:val="0"/>
                <w:bCs w:val="0"/>
                <w:sz w:val="21"/>
                <w:szCs w:val="21"/>
                <w:vertAlign w:val="baseline"/>
              </w:rPr>
            </w:pPr>
          </w:p>
        </w:tc>
        <w:tc>
          <w:tcPr>
            <w:tcW w:w="3892" w:type="dxa"/>
            <w:vAlign w:val="center"/>
          </w:tcPr>
          <w:p w14:paraId="52172247">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Axygen T-200-C-L 200ul无色移液器吸头 1000支/包</w:t>
            </w:r>
          </w:p>
        </w:tc>
        <w:tc>
          <w:tcPr>
            <w:tcW w:w="650" w:type="dxa"/>
            <w:vAlign w:val="center"/>
          </w:tcPr>
          <w:p w14:paraId="1720B144">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30</w:t>
            </w:r>
          </w:p>
        </w:tc>
        <w:tc>
          <w:tcPr>
            <w:tcW w:w="650" w:type="dxa"/>
            <w:vAlign w:val="center"/>
          </w:tcPr>
          <w:p w14:paraId="6849C7A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包</w:t>
            </w:r>
          </w:p>
        </w:tc>
        <w:tc>
          <w:tcPr>
            <w:tcW w:w="1142" w:type="dxa"/>
            <w:vAlign w:val="center"/>
          </w:tcPr>
          <w:p w14:paraId="40011BB6">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180.00 </w:t>
            </w:r>
          </w:p>
        </w:tc>
        <w:tc>
          <w:tcPr>
            <w:tcW w:w="1257" w:type="dxa"/>
            <w:vAlign w:val="center"/>
          </w:tcPr>
          <w:p w14:paraId="15E3204D">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5400.00 </w:t>
            </w:r>
          </w:p>
        </w:tc>
      </w:tr>
      <w:tr w14:paraId="0FE9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620" w:type="dxa"/>
            <w:gridSpan w:val="6"/>
            <w:vAlign w:val="center"/>
          </w:tcPr>
          <w:p w14:paraId="7F42D807">
            <w:pPr>
              <w:keepNext w:val="0"/>
              <w:keepLines w:val="0"/>
              <w:widowControl/>
              <w:suppressLineNumbers w:val="0"/>
              <w:jc w:val="both"/>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  合          计：大写：壹拾壹万柒仟捌佰壹拾捌元整  </w:t>
            </w:r>
          </w:p>
        </w:tc>
        <w:tc>
          <w:tcPr>
            <w:tcW w:w="1257" w:type="dxa"/>
            <w:vAlign w:val="center"/>
          </w:tcPr>
          <w:p w14:paraId="312AA9E2">
            <w:pPr>
              <w:keepNext w:val="0"/>
              <w:keepLines w:val="0"/>
              <w:widowControl/>
              <w:suppressLineNumbers w:val="0"/>
              <w:jc w:val="center"/>
              <w:textAlignment w:val="center"/>
              <w:rPr>
                <w:rFonts w:hint="eastAsia" w:ascii="宋体" w:hAnsi="宋体" w:eastAsia="宋体" w:cs="宋体"/>
                <w:b w:val="0"/>
                <w:bCs w:val="0"/>
                <w:sz w:val="21"/>
                <w:szCs w:val="21"/>
                <w:vertAlign w:val="baseline"/>
              </w:rPr>
            </w:pPr>
            <w:r>
              <w:rPr>
                <w:rFonts w:hint="eastAsia" w:ascii="宋体" w:hAnsi="宋体" w:eastAsia="宋体" w:cs="宋体"/>
                <w:b w:val="0"/>
                <w:bCs w:val="0"/>
                <w:i w:val="0"/>
                <w:iCs w:val="0"/>
                <w:color w:val="000000"/>
                <w:kern w:val="0"/>
                <w:sz w:val="21"/>
                <w:szCs w:val="21"/>
                <w:u w:val="none"/>
                <w:lang w:val="en-US" w:eastAsia="zh-CN" w:bidi="ar"/>
              </w:rPr>
              <w:t xml:space="preserve">117818.00 </w:t>
            </w:r>
          </w:p>
        </w:tc>
      </w:tr>
      <w:bookmarkEnd w:id="1"/>
    </w:tbl>
    <w:p w14:paraId="2DFB37A6">
      <w:pPr>
        <w:pStyle w:val="12"/>
        <w:spacing w:before="120" w:beforeLines="50" w:line="360" w:lineRule="auto"/>
        <w:ind w:firstLine="452" w:firstLineChars="150"/>
        <w:outlineLvl w:val="1"/>
        <w:rPr>
          <w:rFonts w:hint="eastAsia" w:ascii="Calibri" w:hAnsi="Calibri" w:eastAsia="宋体" w:cs="宋体"/>
          <w:b/>
          <w:sz w:val="30"/>
          <w:szCs w:val="30"/>
          <w:highlight w:val="none"/>
        </w:rPr>
      </w:pPr>
      <w:r>
        <w:rPr>
          <w:rFonts w:hint="eastAsia" w:ascii="Calibri" w:hAnsi="Calibri" w:eastAsia="宋体" w:cs="宋体"/>
          <w:b/>
          <w:sz w:val="30"/>
          <w:szCs w:val="30"/>
          <w:highlight w:val="none"/>
        </w:rPr>
        <w:t>第二条 合同价款</w:t>
      </w:r>
      <w:bookmarkEnd w:id="2"/>
    </w:p>
    <w:p w14:paraId="47E4BA34">
      <w:pPr>
        <w:spacing w:before="0" w:after="0" w:line="360" w:lineRule="auto"/>
        <w:ind w:firstLine="516" w:firstLineChars="246"/>
        <w:outlineLvl w:val="9"/>
        <w:rPr>
          <w:rFonts w:hint="eastAsia" w:ascii="宋体" w:hAnsi="宋体" w:eastAsia="宋体"/>
          <w:b w:val="0"/>
          <w:sz w:val="21"/>
          <w:szCs w:val="21"/>
          <w:highlight w:val="none"/>
        </w:rPr>
      </w:pPr>
      <w:r>
        <w:rPr>
          <w:rFonts w:hint="eastAsia" w:ascii="宋体" w:hAnsi="宋体" w:eastAsia="宋体"/>
          <w:b w:val="0"/>
          <w:sz w:val="21"/>
          <w:szCs w:val="21"/>
          <w:highlight w:val="none"/>
        </w:rPr>
        <w:t>1.合同总价：人民币（大写）</w:t>
      </w:r>
      <w:r>
        <w:rPr>
          <w:rFonts w:hint="eastAsia" w:ascii="宋体" w:hAnsi="宋体" w:eastAsia="宋体"/>
          <w:b w:val="0"/>
          <w:sz w:val="21"/>
          <w:szCs w:val="21"/>
          <w:highlight w:val="none"/>
          <w:u w:val="single"/>
        </w:rPr>
        <w:t xml:space="preserve">壹拾壹万柒仟捌佰壹拾捌元整  </w:t>
      </w:r>
      <w:r>
        <w:rPr>
          <w:rFonts w:hint="eastAsia" w:ascii="宋体" w:hAnsi="宋体" w:eastAsia="宋体"/>
          <w:b w:val="0"/>
          <w:sz w:val="21"/>
          <w:szCs w:val="21"/>
          <w:highlight w:val="none"/>
        </w:rPr>
        <w:t xml:space="preserve"> ，（￥</w:t>
      </w:r>
      <w:r>
        <w:rPr>
          <w:rFonts w:hint="eastAsia" w:ascii="宋体" w:hAnsi="宋体" w:eastAsia="宋体"/>
          <w:b w:val="0"/>
          <w:sz w:val="21"/>
          <w:szCs w:val="21"/>
          <w:highlight w:val="none"/>
          <w:u w:val="single"/>
        </w:rPr>
        <w:t xml:space="preserve"> 117818.00 </w:t>
      </w:r>
      <w:r>
        <w:rPr>
          <w:rFonts w:hint="eastAsia" w:ascii="宋体" w:hAnsi="宋体" w:eastAsia="宋体"/>
          <w:b w:val="0"/>
          <w:sz w:val="21"/>
          <w:szCs w:val="21"/>
          <w:highlight w:val="none"/>
        </w:rPr>
        <w:t xml:space="preserve"> ）。</w:t>
      </w:r>
    </w:p>
    <w:p w14:paraId="0A91F8CE">
      <w:pPr>
        <w:spacing w:before="0" w:after="0" w:line="360" w:lineRule="auto"/>
        <w:ind w:firstLine="516" w:firstLineChars="246"/>
        <w:outlineLvl w:val="9"/>
        <w:rPr>
          <w:rFonts w:hint="eastAsia" w:ascii="宋体" w:hAnsi="宋体" w:eastAsia="宋体"/>
          <w:b w:val="0"/>
          <w:sz w:val="21"/>
          <w:szCs w:val="21"/>
          <w:highlight w:val="none"/>
        </w:rPr>
      </w:pPr>
      <w:r>
        <w:rPr>
          <w:rFonts w:hint="eastAsia" w:ascii="宋体" w:hAnsi="宋体" w:eastAsia="宋体"/>
          <w:b w:val="0"/>
          <w:sz w:val="21"/>
          <w:szCs w:val="21"/>
          <w:highlight w:val="none"/>
        </w:rPr>
        <w:t>2.本合同总价是货物（产品）设计、材料、制造、包装、运输、安装、调试、检测、验收合格交付使用之前及保修期内保修服务与备用物件等其他有关各项的含税费用。</w:t>
      </w:r>
    </w:p>
    <w:p w14:paraId="382C5766">
      <w:pPr>
        <w:spacing w:before="0" w:after="0" w:line="360" w:lineRule="auto"/>
        <w:ind w:firstLine="516" w:firstLineChars="246"/>
        <w:outlineLvl w:val="9"/>
        <w:rPr>
          <w:rFonts w:hint="eastAsia" w:ascii="宋体" w:hAnsi="宋体" w:eastAsia="宋体"/>
          <w:b w:val="0"/>
          <w:sz w:val="21"/>
          <w:szCs w:val="21"/>
          <w:highlight w:val="none"/>
        </w:rPr>
      </w:pPr>
      <w:r>
        <w:rPr>
          <w:rFonts w:hint="eastAsia" w:ascii="宋体" w:hAnsi="宋体" w:eastAsia="宋体"/>
          <w:b w:val="0"/>
          <w:sz w:val="21"/>
          <w:szCs w:val="21"/>
          <w:highlight w:val="none"/>
        </w:rPr>
        <w:t>3.本合同总价还包含乙方应当提供的伴随服务和售后服务费用。</w:t>
      </w:r>
    </w:p>
    <w:p w14:paraId="74655B2F">
      <w:pPr>
        <w:spacing w:before="0" w:after="0" w:line="360" w:lineRule="auto"/>
        <w:ind w:firstLine="516" w:firstLineChars="246"/>
        <w:outlineLvl w:val="9"/>
        <w:rPr>
          <w:rFonts w:hint="eastAsia" w:ascii="宋体" w:hAnsi="宋体" w:eastAsia="宋体"/>
          <w:b w:val="0"/>
          <w:sz w:val="21"/>
          <w:szCs w:val="21"/>
          <w:highlight w:val="none"/>
        </w:rPr>
      </w:pPr>
      <w:r>
        <w:rPr>
          <w:rFonts w:hint="eastAsia" w:ascii="宋体" w:hAnsi="宋体" w:eastAsia="宋体"/>
          <w:b w:val="0"/>
          <w:sz w:val="21"/>
          <w:szCs w:val="21"/>
          <w:highlight w:val="none"/>
        </w:rPr>
        <w:t>4.本合同执行期间合同总价不变，甲方无须另向乙方支付本合同规定之外的其他任何费用。</w:t>
      </w:r>
    </w:p>
    <w:p w14:paraId="069BC373">
      <w:pPr>
        <w:spacing w:before="0" w:after="0" w:line="360" w:lineRule="auto"/>
        <w:ind w:firstLine="516" w:firstLineChars="246"/>
        <w:outlineLvl w:val="9"/>
        <w:rPr>
          <w:rFonts w:hint="eastAsia" w:ascii="宋体" w:hAnsi="宋体" w:eastAsia="宋体"/>
          <w:b w:val="0"/>
          <w:sz w:val="21"/>
          <w:szCs w:val="21"/>
          <w:highlight w:val="none"/>
        </w:rPr>
      </w:pPr>
      <w:r>
        <w:rPr>
          <w:rFonts w:hint="eastAsia" w:ascii="宋体" w:hAnsi="宋体"/>
          <w:b w:val="0"/>
          <w:sz w:val="21"/>
          <w:szCs w:val="21"/>
          <w:highlight w:val="none"/>
          <w:lang w:val="en-US" w:eastAsia="zh-CN"/>
        </w:rPr>
        <w:t>5.</w:t>
      </w:r>
      <w:r>
        <w:rPr>
          <w:rFonts w:hint="eastAsia" w:ascii="宋体" w:hAnsi="宋体" w:eastAsia="宋体"/>
          <w:b w:val="0"/>
          <w:sz w:val="21"/>
          <w:szCs w:val="21"/>
          <w:highlight w:val="none"/>
        </w:rPr>
        <w:t>乙方不得因市场价格波动、原材料涨价等任何原因要求甲方追加合同价款，否则甲方有权解除合同并要求乙方承担违约责任。</w:t>
      </w:r>
    </w:p>
    <w:p w14:paraId="1B438DBD">
      <w:pPr>
        <w:pStyle w:val="12"/>
        <w:spacing w:before="120" w:beforeLines="50" w:after="120" w:afterLines="50" w:line="360" w:lineRule="auto"/>
        <w:ind w:firstLine="500" w:firstLineChars="166"/>
        <w:outlineLvl w:val="1"/>
        <w:rPr>
          <w:rFonts w:hint="eastAsia" w:ascii="宋体" w:hAnsi="宋体" w:eastAsia="宋体" w:cs="宋体"/>
          <w:b/>
          <w:sz w:val="30"/>
          <w:szCs w:val="30"/>
          <w:highlight w:val="none"/>
        </w:rPr>
      </w:pPr>
      <w:bookmarkStart w:id="3" w:name="_Toc6491"/>
      <w:r>
        <w:rPr>
          <w:rFonts w:hint="eastAsia" w:ascii="宋体" w:hAnsi="宋体" w:eastAsia="宋体" w:cs="宋体"/>
          <w:b/>
          <w:sz w:val="30"/>
          <w:szCs w:val="30"/>
          <w:highlight w:val="none"/>
        </w:rPr>
        <w:t>第三条 货款支付</w:t>
      </w:r>
      <w:bookmarkEnd w:id="3"/>
    </w:p>
    <w:p w14:paraId="2A7D6FDA">
      <w:pPr>
        <w:spacing w:before="0" w:after="0" w:line="360" w:lineRule="auto"/>
        <w:ind w:firstLine="516" w:firstLineChars="246"/>
        <w:outlineLvl w:val="9"/>
        <w:rPr>
          <w:rFonts w:hint="default" w:ascii="宋体" w:hAnsi="宋体" w:eastAsia="宋体"/>
          <w:b w:val="0"/>
          <w:sz w:val="21"/>
          <w:szCs w:val="21"/>
          <w:highlight w:val="none"/>
          <w:lang w:val="en-US" w:eastAsia="zh-CN"/>
        </w:rPr>
      </w:pPr>
      <w:r>
        <w:rPr>
          <w:rFonts w:hint="eastAsia" w:ascii="宋体" w:hAnsi="宋体" w:eastAsia="宋体"/>
          <w:b w:val="0"/>
          <w:sz w:val="21"/>
          <w:szCs w:val="21"/>
          <w:highlight w:val="none"/>
          <w:lang w:val="en-US" w:eastAsia="zh-CN"/>
        </w:rPr>
        <w:t>1</w:t>
      </w:r>
      <w:r>
        <w:rPr>
          <w:rFonts w:hint="eastAsia" w:ascii="宋体" w:hAnsi="宋体"/>
          <w:b w:val="0"/>
          <w:sz w:val="21"/>
          <w:szCs w:val="21"/>
          <w:highlight w:val="none"/>
          <w:lang w:val="en-US" w:eastAsia="zh-CN"/>
        </w:rPr>
        <w:t>.</w:t>
      </w:r>
      <w:r>
        <w:rPr>
          <w:rFonts w:hint="eastAsia" w:ascii="宋体" w:hAnsi="宋体" w:eastAsia="宋体"/>
          <w:b w:val="0"/>
          <w:sz w:val="21"/>
          <w:szCs w:val="21"/>
          <w:highlight w:val="none"/>
          <w:lang w:val="en-US" w:eastAsia="zh-CN"/>
        </w:rPr>
        <w:t>付款条件说明：</w:t>
      </w:r>
      <w:r>
        <w:rPr>
          <w:rFonts w:hint="eastAsia" w:ascii="宋体" w:hAnsi="宋体"/>
          <w:b w:val="0"/>
          <w:sz w:val="21"/>
          <w:szCs w:val="21"/>
          <w:highlight w:val="none"/>
          <w:lang w:val="en-US" w:eastAsia="zh-CN"/>
        </w:rPr>
        <w:t>货物符合质量要求，验收合格并出具书面验收合格报告后，一次性支付合同总金额100%。</w:t>
      </w:r>
    </w:p>
    <w:p w14:paraId="130406AD">
      <w:pPr>
        <w:spacing w:before="0" w:after="0" w:line="360" w:lineRule="auto"/>
        <w:ind w:firstLine="516" w:firstLineChars="246"/>
        <w:outlineLvl w:val="9"/>
        <w:rPr>
          <w:rFonts w:hint="eastAsia" w:ascii="宋体" w:hAnsi="宋体" w:eastAsia="宋体"/>
          <w:b w:val="0"/>
          <w:sz w:val="21"/>
          <w:szCs w:val="21"/>
          <w:highlight w:val="none"/>
        </w:rPr>
      </w:pPr>
      <w:r>
        <w:rPr>
          <w:rFonts w:hint="eastAsia" w:ascii="宋体" w:hAnsi="宋体"/>
          <w:b w:val="0"/>
          <w:sz w:val="21"/>
          <w:szCs w:val="21"/>
          <w:highlight w:val="none"/>
          <w:lang w:val="en-US" w:eastAsia="zh-CN"/>
        </w:rPr>
        <w:t>2.支付</w:t>
      </w:r>
      <w:r>
        <w:rPr>
          <w:rFonts w:hint="eastAsia" w:ascii="宋体" w:hAnsi="宋体" w:eastAsia="宋体"/>
          <w:b w:val="0"/>
          <w:sz w:val="21"/>
          <w:szCs w:val="21"/>
          <w:highlight w:val="none"/>
        </w:rPr>
        <w:t>方式：银行转账。</w:t>
      </w:r>
    </w:p>
    <w:p w14:paraId="126874FD">
      <w:pPr>
        <w:spacing w:before="0" w:after="0" w:line="360" w:lineRule="auto"/>
        <w:ind w:firstLine="516" w:firstLineChars="246"/>
        <w:outlineLvl w:val="9"/>
        <w:rPr>
          <w:rFonts w:hint="eastAsia" w:ascii="宋体" w:hAnsi="宋体" w:eastAsia="宋体"/>
          <w:b w:val="0"/>
          <w:sz w:val="21"/>
          <w:szCs w:val="21"/>
          <w:highlight w:val="none"/>
        </w:rPr>
      </w:pPr>
      <w:r>
        <w:rPr>
          <w:rFonts w:hint="eastAsia" w:ascii="宋体" w:hAnsi="宋体"/>
          <w:b w:val="0"/>
          <w:sz w:val="21"/>
          <w:szCs w:val="21"/>
          <w:highlight w:val="none"/>
          <w:lang w:val="en-US" w:eastAsia="zh-CN"/>
        </w:rPr>
        <w:t>3.</w:t>
      </w:r>
      <w:r>
        <w:rPr>
          <w:rFonts w:hint="eastAsia" w:ascii="宋体" w:hAnsi="宋体" w:eastAsia="宋体"/>
          <w:b w:val="0"/>
          <w:sz w:val="21"/>
          <w:szCs w:val="21"/>
          <w:highlight w:val="none"/>
        </w:rPr>
        <w:t>乙方应在申请付款时，向甲方提供合法有效、等额的增值税专用发票及验收合格报告原件，否则甲方有权顺延付款，且不承担任何逾期付款责任。</w:t>
      </w:r>
    </w:p>
    <w:p w14:paraId="420CB92C">
      <w:pPr>
        <w:pStyle w:val="12"/>
        <w:spacing w:before="120" w:beforeLines="50" w:after="120" w:afterLines="50" w:line="360" w:lineRule="auto"/>
        <w:ind w:firstLine="500" w:firstLineChars="166"/>
        <w:outlineLvl w:val="1"/>
        <w:rPr>
          <w:rFonts w:hint="eastAsia" w:ascii="宋体" w:hAnsi="宋体"/>
          <w:b/>
          <w:sz w:val="30"/>
          <w:szCs w:val="30"/>
          <w:highlight w:val="none"/>
        </w:rPr>
      </w:pPr>
      <w:bookmarkStart w:id="4" w:name="_Toc25139"/>
      <w:r>
        <w:rPr>
          <w:rFonts w:hint="eastAsia" w:ascii="宋体" w:hAnsi="宋体"/>
          <w:b/>
          <w:sz w:val="30"/>
          <w:szCs w:val="30"/>
          <w:highlight w:val="none"/>
        </w:rPr>
        <w:t>第四条 交货时间与地点</w:t>
      </w:r>
      <w:bookmarkEnd w:id="4"/>
    </w:p>
    <w:p w14:paraId="7D501F5C">
      <w:pPr>
        <w:pStyle w:val="12"/>
        <w:spacing w:line="360" w:lineRule="auto"/>
        <w:ind w:firstLine="561" w:firstLineChars="0"/>
        <w:rPr>
          <w:rFonts w:hint="eastAsia" w:ascii="宋体" w:hAnsi="宋体"/>
          <w:sz w:val="21"/>
          <w:szCs w:val="21"/>
          <w:highlight w:val="none"/>
        </w:rPr>
      </w:pPr>
      <w:r>
        <w:rPr>
          <w:rFonts w:hint="eastAsia" w:ascii="宋体" w:hAnsi="宋体"/>
          <w:sz w:val="21"/>
          <w:szCs w:val="21"/>
          <w:highlight w:val="none"/>
        </w:rPr>
        <w:t>乙方在合同签订生效之日起，按甲方指定时间、地点交货。</w:t>
      </w:r>
    </w:p>
    <w:p w14:paraId="4F764948">
      <w:pPr>
        <w:pStyle w:val="12"/>
        <w:numPr>
          <w:ilvl w:val="0"/>
          <w:numId w:val="1"/>
        </w:numPr>
        <w:spacing w:line="360" w:lineRule="auto"/>
        <w:ind w:firstLine="561"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交货时间（交货期）：</w:t>
      </w:r>
      <w:r>
        <w:rPr>
          <w:rFonts w:hint="eastAsia" w:ascii="宋体" w:hAnsi="宋体" w:cs="宋体"/>
          <w:sz w:val="21"/>
          <w:szCs w:val="21"/>
          <w:highlight w:val="none"/>
          <w:lang w:val="en-US" w:eastAsia="zh-CN"/>
        </w:rPr>
        <w:t>60天（按照甲方实际使用时间交货），甲方在使用前告知乙方实际使用试剂供应数量和交货时间，直到本合同所需试剂供应完成终止。（自合同签订生效次日起计算，遇不可抗力需延期交货的，乙方应在不可抗力发生后 3 个工作日内书面通知甲方并提供有效证明，经甲方书面同意后方可延期，否则视为乙方逾期交货）。</w:t>
      </w:r>
    </w:p>
    <w:p w14:paraId="4652D45E">
      <w:pPr>
        <w:pStyle w:val="12"/>
        <w:numPr>
          <w:ilvl w:val="0"/>
          <w:numId w:val="1"/>
        </w:numPr>
        <w:spacing w:line="360" w:lineRule="auto"/>
        <w:ind w:firstLine="561"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交货地点：</w:t>
      </w:r>
      <w:r>
        <w:rPr>
          <w:rFonts w:hint="eastAsia" w:ascii="宋体" w:hAnsi="宋体" w:cs="宋体"/>
          <w:sz w:val="21"/>
          <w:szCs w:val="21"/>
          <w:highlight w:val="none"/>
          <w:lang w:val="en-US" w:eastAsia="zh-CN"/>
        </w:rPr>
        <w:t>秦岭大熊猫研究中心。</w:t>
      </w:r>
    </w:p>
    <w:p w14:paraId="6DAF2637">
      <w:pPr>
        <w:pStyle w:val="12"/>
        <w:spacing w:before="120" w:beforeLines="50" w:after="120" w:afterLines="50" w:line="360" w:lineRule="auto"/>
        <w:ind w:firstLine="500" w:firstLineChars="166"/>
        <w:outlineLvl w:val="1"/>
        <w:rPr>
          <w:rFonts w:hint="eastAsia" w:ascii="宋体" w:hAnsi="宋体"/>
          <w:b/>
          <w:sz w:val="30"/>
          <w:szCs w:val="30"/>
          <w:highlight w:val="none"/>
        </w:rPr>
      </w:pPr>
      <w:bookmarkStart w:id="5" w:name="_Toc29408"/>
      <w:r>
        <w:rPr>
          <w:rFonts w:hint="eastAsia" w:ascii="宋体" w:hAnsi="宋体"/>
          <w:b/>
          <w:sz w:val="30"/>
          <w:szCs w:val="30"/>
          <w:highlight w:val="none"/>
        </w:rPr>
        <w:t>第五条 质量保证</w:t>
      </w:r>
      <w:bookmarkEnd w:id="5"/>
    </w:p>
    <w:p w14:paraId="75184545">
      <w:pPr>
        <w:pStyle w:val="12"/>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1.乙方须提供全新的、未使用过的合格正品货物，完全符合合同规定的质量、规格和性能的要求。</w:t>
      </w:r>
    </w:p>
    <w:p w14:paraId="74C087EB">
      <w:pPr>
        <w:pStyle w:val="12"/>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.质量标准按照最新颁布的国家标准、行业标准或制造商企业标准确定，上述标准不一致的，以严格标准为准。同时需满足甲方大熊猫繁育、实验相关的专项技术要求（如有具体技术参数附件，按附件执行）。</w:t>
      </w:r>
    </w:p>
    <w:p w14:paraId="6514ECA9">
      <w:pPr>
        <w:pStyle w:val="12"/>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.乙方所提供货物还应符合国家和陕西省有关安全、环保、节能之规定。且需提供相关检测报告（如环保检测报告、安全认证证书等）作为验收依据。</w:t>
      </w:r>
    </w:p>
    <w:p w14:paraId="78083E11">
      <w:pPr>
        <w:pStyle w:val="12"/>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.货物制造质量出现问题，乙方应负责三包（包修、包换、包退），费用由乙方负担。自货物验收合格之日起计算，期限</w:t>
      </w:r>
      <w:r>
        <w:rPr>
          <w:rFonts w:hint="eastAsia" w:ascii="宋体" w:hAnsi="宋体"/>
          <w:color w:val="auto"/>
          <w:sz w:val="21"/>
          <w:szCs w:val="21"/>
          <w:highlight w:val="none"/>
          <w:lang w:val="en-US" w:eastAsia="zh-CN"/>
        </w:rPr>
        <w:t>为</w:t>
      </w:r>
      <w:r>
        <w:rPr>
          <w:rFonts w:hint="eastAsia" w:ascii="宋体" w:hAnsi="宋体"/>
          <w:color w:val="auto"/>
          <w:sz w:val="21"/>
          <w:szCs w:val="21"/>
          <w:highlight w:val="none"/>
        </w:rPr>
        <w:t xml:space="preserve"> 1 </w:t>
      </w:r>
      <w:r>
        <w:rPr>
          <w:rFonts w:hint="eastAsia" w:ascii="宋体" w:hAnsi="宋体"/>
          <w:color w:val="auto"/>
          <w:sz w:val="21"/>
          <w:szCs w:val="21"/>
          <w:highlight w:val="none"/>
          <w:lang w:val="en-US" w:eastAsia="zh-CN"/>
        </w:rPr>
        <w:t>年</w:t>
      </w:r>
      <w:r>
        <w:rPr>
          <w:rFonts w:hint="eastAsia" w:ascii="宋体" w:hAnsi="宋体"/>
          <w:color w:val="auto"/>
          <w:sz w:val="21"/>
          <w:szCs w:val="21"/>
          <w:highlight w:val="none"/>
        </w:rPr>
        <w:t>。</w:t>
      </w:r>
    </w:p>
    <w:p w14:paraId="4B5BA4E4">
      <w:pPr>
        <w:pStyle w:val="12"/>
        <w:spacing w:line="360" w:lineRule="auto"/>
        <w:ind w:firstLine="525" w:firstLineChars="25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5.所有产品质量必须符合国家有关规范和相关政策。所有货物必须是未使用过的新产品，质量优良、渠道正当。</w:t>
      </w:r>
    </w:p>
    <w:p w14:paraId="24E3DFD1">
      <w:pPr>
        <w:pStyle w:val="12"/>
        <w:spacing w:line="360" w:lineRule="auto"/>
        <w:ind w:firstLine="525" w:firstLineChars="25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6.</w:t>
      </w:r>
      <w:r>
        <w:rPr>
          <w:rFonts w:hint="default" w:ascii="宋体" w:hAnsi="宋体"/>
          <w:color w:val="auto"/>
          <w:sz w:val="21"/>
          <w:szCs w:val="21"/>
          <w:highlight w:val="none"/>
          <w:lang w:val="en-US" w:eastAsia="zh-CN"/>
        </w:rPr>
        <w:t>乙方应在交货时随货物提供产品合格证、质量检验报告、使用说明书、原厂保修卡等完整技术资料，否则甲方有权拒绝验收。</w:t>
      </w:r>
    </w:p>
    <w:p w14:paraId="348C848B">
      <w:pPr>
        <w:pStyle w:val="12"/>
        <w:spacing w:line="360" w:lineRule="auto"/>
        <w:ind w:firstLine="525" w:firstLineChars="250"/>
        <w:rPr>
          <w:rFonts w:hint="default" w:ascii="宋体" w:hAnsi="宋体"/>
          <w:color w:val="auto"/>
          <w:sz w:val="21"/>
          <w:szCs w:val="21"/>
          <w:highlight w:val="none"/>
          <w:lang w:val="en-US" w:eastAsia="zh-CN"/>
        </w:rPr>
      </w:pPr>
    </w:p>
    <w:p w14:paraId="29F33AEC">
      <w:pPr>
        <w:pStyle w:val="12"/>
        <w:spacing w:before="120" w:beforeLines="50" w:after="120" w:afterLines="50" w:line="360" w:lineRule="auto"/>
        <w:ind w:firstLine="602"/>
        <w:outlineLvl w:val="1"/>
        <w:rPr>
          <w:rFonts w:hint="eastAsia" w:ascii="宋体" w:hAnsi="宋体"/>
          <w:b/>
          <w:sz w:val="30"/>
          <w:szCs w:val="30"/>
          <w:highlight w:val="none"/>
        </w:rPr>
      </w:pPr>
      <w:bookmarkStart w:id="6" w:name="_Toc21612"/>
      <w:r>
        <w:rPr>
          <w:rFonts w:hint="eastAsia" w:ascii="宋体" w:hAnsi="宋体"/>
          <w:b/>
          <w:sz w:val="30"/>
          <w:szCs w:val="30"/>
          <w:highlight w:val="none"/>
        </w:rPr>
        <w:t>第六条 权利保证</w:t>
      </w:r>
      <w:bookmarkEnd w:id="6"/>
    </w:p>
    <w:p w14:paraId="3DAB09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1.乙方保证对其出售的货物享有合法的权利。</w:t>
      </w:r>
    </w:p>
    <w:p w14:paraId="5ED898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2.乙方保证对其出售的货物上不存在任何未曾向甲方透露的担保物权，如抵押权、质押权、留置权。</w:t>
      </w:r>
    </w:p>
    <w:p w14:paraId="32AF5B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3.乙方保证对其出售的货物或其任何一部分没有侵犯第三方的专利权、版权、商标权或其他权利。</w:t>
      </w:r>
    </w:p>
    <w:p w14:paraId="1A0B2588">
      <w:pPr>
        <w:pStyle w:val="12"/>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4.如甲方在使用该货物构成上述侵权的，则由乙方承担全部责任。乙方应立即停止侵权行为，消除影响，并赔偿甲方因此遭受的全部损失（包括但不限于罚款、诉讼费、律师费、商誉损失等）。</w:t>
      </w:r>
    </w:p>
    <w:p w14:paraId="22B32B1F">
      <w:pPr>
        <w:pStyle w:val="12"/>
        <w:spacing w:before="120" w:beforeLines="50" w:after="120" w:afterLines="50" w:line="360" w:lineRule="auto"/>
        <w:ind w:firstLine="500" w:firstLineChars="166"/>
        <w:outlineLvl w:val="1"/>
        <w:rPr>
          <w:rFonts w:hint="eastAsia" w:ascii="宋体" w:hAnsi="宋体"/>
          <w:sz w:val="30"/>
          <w:szCs w:val="30"/>
          <w:highlight w:val="none"/>
        </w:rPr>
      </w:pPr>
      <w:bookmarkStart w:id="7" w:name="_Toc13688"/>
      <w:r>
        <w:rPr>
          <w:rFonts w:hint="eastAsia" w:ascii="宋体" w:hAnsi="宋体"/>
          <w:b/>
          <w:sz w:val="30"/>
          <w:szCs w:val="30"/>
          <w:highlight w:val="none"/>
        </w:rPr>
        <w:t>第七条 包装要求与运输方式</w:t>
      </w:r>
      <w:bookmarkEnd w:id="7"/>
      <w:r>
        <w:rPr>
          <w:rFonts w:hint="eastAsia" w:ascii="宋体" w:hAnsi="宋体"/>
          <w:b/>
          <w:sz w:val="30"/>
          <w:szCs w:val="30"/>
          <w:highlight w:val="none"/>
        </w:rPr>
        <w:t xml:space="preserve">  </w:t>
      </w:r>
      <w:r>
        <w:rPr>
          <w:rFonts w:hint="eastAsia" w:ascii="宋体" w:hAnsi="宋体"/>
          <w:sz w:val="30"/>
          <w:szCs w:val="30"/>
          <w:highlight w:val="none"/>
        </w:rPr>
        <w:t xml:space="preserve"> </w:t>
      </w:r>
    </w:p>
    <w:p w14:paraId="7FBEF971">
      <w:pPr>
        <w:pStyle w:val="12"/>
        <w:spacing w:line="360" w:lineRule="auto"/>
        <w:ind w:left="141" w:leftChars="67" w:firstLine="315" w:firstLineChars="150"/>
        <w:rPr>
          <w:rFonts w:hint="eastAsia" w:ascii="宋体" w:hAnsi="宋体"/>
          <w:sz w:val="21"/>
          <w:szCs w:val="21"/>
          <w:highlight w:val="none"/>
        </w:rPr>
      </w:pPr>
      <w:r>
        <w:rPr>
          <w:rFonts w:hint="eastAsia" w:ascii="宋体" w:hAnsi="宋体"/>
          <w:sz w:val="21"/>
          <w:szCs w:val="21"/>
          <w:highlight w:val="none"/>
        </w:rPr>
        <w:t>1.除合同另有规定外，乙方提供的全部货物均应按标准保护措施进行包装，该包装应适应于远距离运输、防潮、防震、防锈和防野蛮装卸，以确保货物安全运抵指定地点。包装材料应符</w:t>
      </w:r>
      <w:r>
        <w:rPr>
          <w:rFonts w:hint="eastAsia" w:ascii="宋体" w:hAnsi="宋体"/>
          <w:sz w:val="21"/>
          <w:szCs w:val="21"/>
          <w:highlight w:val="none"/>
          <w:lang w:val="en-US" w:eastAsia="zh-CN"/>
        </w:rPr>
        <w:t>.</w:t>
      </w:r>
      <w:r>
        <w:rPr>
          <w:rFonts w:hint="eastAsia" w:ascii="宋体" w:hAnsi="宋体"/>
          <w:sz w:val="21"/>
          <w:szCs w:val="21"/>
          <w:highlight w:val="none"/>
        </w:rPr>
        <w:t>合环保要求，且每个包装单元需标注清晰的货物名称、规格、数量、生产日期、保质期（如有）、生产厂家、防潮 / 易碎等警示标识。</w:t>
      </w:r>
    </w:p>
    <w:p w14:paraId="71FEBEFD">
      <w:pPr>
        <w:pStyle w:val="12"/>
        <w:spacing w:line="360" w:lineRule="auto"/>
        <w:ind w:left="141" w:leftChars="67" w:firstLine="315" w:firstLineChars="150"/>
        <w:rPr>
          <w:rFonts w:hint="eastAsia" w:ascii="宋体" w:hAnsi="宋体"/>
          <w:sz w:val="21"/>
          <w:szCs w:val="21"/>
          <w:highlight w:val="none"/>
        </w:rPr>
      </w:pPr>
      <w:r>
        <w:rPr>
          <w:rFonts w:hint="eastAsia" w:ascii="宋体" w:hAnsi="宋体"/>
          <w:sz w:val="21"/>
          <w:szCs w:val="21"/>
          <w:highlight w:val="none"/>
        </w:rPr>
        <w:t>2.每一包装单元应附详细的装箱单和质量合格证。</w:t>
      </w:r>
    </w:p>
    <w:p w14:paraId="2FF406B9">
      <w:pPr>
        <w:pStyle w:val="12"/>
        <w:spacing w:line="360" w:lineRule="auto"/>
        <w:ind w:left="141" w:leftChars="67" w:firstLine="315" w:firstLineChars="150"/>
        <w:rPr>
          <w:rFonts w:hint="default" w:ascii="宋体" w:hAnsi="宋体" w:eastAsia="宋体"/>
          <w:sz w:val="21"/>
          <w:szCs w:val="21"/>
          <w:highlight w:val="none"/>
          <w:lang w:val="en-US" w:eastAsia="zh-CN"/>
        </w:rPr>
      </w:pPr>
      <w:r>
        <w:rPr>
          <w:rFonts w:hint="eastAsia" w:ascii="宋体" w:hAnsi="宋体"/>
          <w:sz w:val="21"/>
          <w:szCs w:val="21"/>
          <w:highlight w:val="none"/>
        </w:rPr>
        <w:t>3.货物（产品）运输方式：</w:t>
      </w:r>
      <w:r>
        <w:rPr>
          <w:rFonts w:hint="eastAsia" w:ascii="宋体" w:hAnsi="宋体"/>
          <w:sz w:val="21"/>
          <w:szCs w:val="21"/>
          <w:highlight w:val="none"/>
          <w:u w:val="single"/>
        </w:rPr>
        <w:t xml:space="preserve">  特快专递  </w:t>
      </w:r>
      <w:r>
        <w:rPr>
          <w:rFonts w:hint="eastAsia" w:ascii="宋体" w:hAnsi="宋体"/>
          <w:sz w:val="21"/>
          <w:szCs w:val="21"/>
          <w:highlight w:val="none"/>
        </w:rPr>
        <w:t>。</w:t>
      </w:r>
      <w:r>
        <w:rPr>
          <w:rFonts w:hint="eastAsia" w:ascii="宋体" w:hAnsi="宋体"/>
          <w:sz w:val="21"/>
          <w:szCs w:val="21"/>
          <w:highlight w:val="none"/>
          <w:lang w:val="en-US" w:eastAsia="zh-CN"/>
        </w:rPr>
        <w:t>.特殊试剂需冷链运输的应按照实际运输要求运输，因运输储存方式造成的损失，由乙方承担。</w:t>
      </w:r>
    </w:p>
    <w:p w14:paraId="3A04D027">
      <w:pPr>
        <w:pStyle w:val="12"/>
        <w:spacing w:line="360" w:lineRule="auto"/>
        <w:ind w:left="141" w:leftChars="67" w:firstLine="315" w:firstLineChars="150"/>
        <w:rPr>
          <w:rFonts w:hint="eastAsia" w:ascii="宋体" w:hAnsi="宋体"/>
          <w:sz w:val="21"/>
          <w:szCs w:val="21"/>
          <w:highlight w:val="none"/>
        </w:rPr>
      </w:pPr>
      <w:r>
        <w:rPr>
          <w:rFonts w:hint="eastAsia" w:ascii="宋体" w:hAnsi="宋体"/>
          <w:sz w:val="21"/>
          <w:szCs w:val="21"/>
          <w:highlight w:val="none"/>
        </w:rPr>
        <w:t>乙方负责选择具备相应资质的运输服务商，运输过程中的货物毁损、灭失风险由乙方承担，乙方应在货物毁损、灭失后 24 小时内通知甲方，并在 7 日内完成补货或换货，否则视为乙方违约。</w:t>
      </w:r>
    </w:p>
    <w:p w14:paraId="58CC1725">
      <w:pPr>
        <w:pStyle w:val="12"/>
        <w:spacing w:line="360" w:lineRule="auto"/>
        <w:ind w:left="141" w:leftChars="67" w:firstLine="315" w:firstLineChars="150"/>
        <w:rPr>
          <w:rFonts w:hint="eastAsia" w:ascii="宋体" w:hAnsi="宋体"/>
          <w:sz w:val="21"/>
          <w:szCs w:val="21"/>
          <w:highlight w:val="none"/>
        </w:rPr>
      </w:pPr>
      <w:r>
        <w:rPr>
          <w:rFonts w:hint="eastAsia" w:ascii="宋体" w:hAnsi="宋体"/>
          <w:sz w:val="21"/>
          <w:szCs w:val="21"/>
          <w:highlight w:val="none"/>
        </w:rPr>
        <w:t>乙方应在货物发出后 24 小时内，将运输单号、货物明细、预计送达时间等信息书面通知甲方，以便甲方做好收货准备。</w:t>
      </w:r>
    </w:p>
    <w:p w14:paraId="7A821697">
      <w:pPr>
        <w:pStyle w:val="12"/>
        <w:spacing w:before="120" w:beforeLines="50" w:after="120" w:afterLines="50" w:line="360" w:lineRule="auto"/>
        <w:ind w:firstLine="349" w:firstLineChars="116"/>
        <w:outlineLvl w:val="1"/>
        <w:rPr>
          <w:rFonts w:hint="eastAsia" w:ascii="宋体" w:hAnsi="宋体"/>
          <w:sz w:val="30"/>
          <w:szCs w:val="30"/>
          <w:highlight w:val="none"/>
        </w:rPr>
      </w:pPr>
      <w:bookmarkStart w:id="8" w:name="_Toc32757"/>
      <w:r>
        <w:rPr>
          <w:rFonts w:hint="eastAsia" w:ascii="宋体" w:hAnsi="宋体"/>
          <w:b/>
          <w:sz w:val="30"/>
          <w:szCs w:val="30"/>
          <w:highlight w:val="none"/>
        </w:rPr>
        <w:t>第八条 货物验收</w:t>
      </w:r>
      <w:bookmarkEnd w:id="8"/>
    </w:p>
    <w:p w14:paraId="0399176B">
      <w:pPr>
        <w:pStyle w:val="12"/>
        <w:spacing w:line="360" w:lineRule="auto"/>
        <w:ind w:left="141" w:leftChars="67" w:firstLine="315" w:firstLineChars="150"/>
        <w:rPr>
          <w:rFonts w:hint="eastAsia" w:ascii="宋体" w:hAnsi="宋体"/>
          <w:sz w:val="21"/>
          <w:szCs w:val="21"/>
          <w:highlight w:val="none"/>
        </w:rPr>
      </w:pPr>
      <w:r>
        <w:rPr>
          <w:rFonts w:hint="eastAsia" w:ascii="宋体" w:hAnsi="宋体"/>
          <w:sz w:val="21"/>
          <w:szCs w:val="21"/>
          <w:highlight w:val="none"/>
        </w:rPr>
        <w:t>1.货物验收由甲方组织，乙方配合，并按下列程序进行：货物到达交货地点后，甲方在 3 个工作日内组织验收，乙方应派员到场配合；由使用单位根据合同对货物的名称、品牌、规格、产地、进行检查。</w:t>
      </w:r>
    </w:p>
    <w:p w14:paraId="086561BA">
      <w:pPr>
        <w:pStyle w:val="12"/>
        <w:spacing w:line="360" w:lineRule="auto"/>
        <w:ind w:firstLine="525" w:firstLineChars="250"/>
        <w:rPr>
          <w:rFonts w:hint="eastAsia" w:ascii="宋体" w:hAnsi="宋体"/>
          <w:sz w:val="21"/>
          <w:szCs w:val="21"/>
          <w:highlight w:val="none"/>
        </w:rPr>
      </w:pPr>
      <w:r>
        <w:rPr>
          <w:rFonts w:hint="eastAsia" w:ascii="宋体" w:hAnsi="宋体"/>
          <w:sz w:val="21"/>
          <w:szCs w:val="21"/>
          <w:highlight w:val="none"/>
        </w:rPr>
        <w:t>2.货物验收依据：</w:t>
      </w:r>
    </w:p>
    <w:p w14:paraId="218136B8">
      <w:pPr>
        <w:pStyle w:val="2"/>
        <w:spacing w:line="360" w:lineRule="auto"/>
        <w:ind w:firstLineChars="200"/>
        <w:rPr>
          <w:rFonts w:hint="eastAsia" w:ascii="宋体" w:hAnsi="宋体"/>
          <w:szCs w:val="21"/>
          <w:highlight w:val="none"/>
        </w:rPr>
      </w:pPr>
      <w:r>
        <w:rPr>
          <w:rFonts w:hint="eastAsia" w:ascii="宋体" w:hAnsi="宋体"/>
          <w:szCs w:val="21"/>
          <w:highlight w:val="none"/>
        </w:rPr>
        <w:t>（1）合同文本及合同补充文件（条款</w:t>
      </w:r>
      <w:r>
        <w:rPr>
          <w:rFonts w:hint="eastAsia" w:ascii="宋体" w:hAnsi="宋体"/>
          <w:szCs w:val="21"/>
          <w:highlight w:val="none"/>
          <w:lang w:eastAsia="zh-CN"/>
        </w:rPr>
        <w:t>）</w:t>
      </w:r>
      <w:r>
        <w:rPr>
          <w:rFonts w:hint="eastAsia" w:ascii="宋体" w:hAnsi="宋体"/>
          <w:szCs w:val="21"/>
          <w:highlight w:val="none"/>
        </w:rPr>
        <w:t>；</w:t>
      </w:r>
    </w:p>
    <w:p w14:paraId="72AD2022">
      <w:pPr>
        <w:pStyle w:val="2"/>
        <w:spacing w:line="360" w:lineRule="auto"/>
        <w:ind w:firstLineChars="200"/>
        <w:rPr>
          <w:rFonts w:hint="eastAsia" w:ascii="宋体" w:hAnsi="宋体"/>
          <w:szCs w:val="21"/>
          <w:highlight w:val="none"/>
        </w:rPr>
      </w:pPr>
      <w:r>
        <w:rPr>
          <w:rFonts w:hint="eastAsia" w:ascii="宋体" w:hAnsi="宋体"/>
          <w:szCs w:val="21"/>
          <w:highlight w:val="none"/>
        </w:rPr>
        <w:t>（2）产品的合法来源渠道证明文件、证明材料；</w:t>
      </w:r>
    </w:p>
    <w:p w14:paraId="52E113C4">
      <w:pPr>
        <w:pStyle w:val="2"/>
        <w:spacing w:line="360" w:lineRule="auto"/>
        <w:ind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3</w:t>
      </w:r>
      <w:r>
        <w:rPr>
          <w:rFonts w:hint="eastAsia" w:ascii="宋体" w:hAnsi="宋体"/>
          <w:sz w:val="21"/>
          <w:szCs w:val="21"/>
          <w:highlight w:val="none"/>
          <w:lang w:eastAsia="zh-CN"/>
        </w:rPr>
        <w:t>）</w:t>
      </w:r>
      <w:r>
        <w:rPr>
          <w:rFonts w:hint="eastAsia" w:ascii="宋体" w:hAnsi="宋体"/>
          <w:sz w:val="21"/>
          <w:szCs w:val="21"/>
          <w:highlight w:val="none"/>
        </w:rPr>
        <w:t>货物清单</w:t>
      </w:r>
      <w:r>
        <w:rPr>
          <w:rFonts w:hint="eastAsia" w:ascii="宋体" w:hAnsi="宋体"/>
          <w:sz w:val="21"/>
          <w:szCs w:val="21"/>
          <w:highlight w:val="none"/>
          <w:lang w:eastAsia="zh-CN"/>
        </w:rPr>
        <w:t>；</w:t>
      </w:r>
    </w:p>
    <w:p w14:paraId="52F56683">
      <w:pPr>
        <w:pStyle w:val="2"/>
        <w:spacing w:line="360" w:lineRule="auto"/>
        <w:ind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rPr>
        <w:t>生产厂家的企业资质、货物的执行标准</w:t>
      </w:r>
      <w:r>
        <w:rPr>
          <w:rFonts w:hint="eastAsia" w:ascii="宋体" w:hAnsi="宋体"/>
          <w:sz w:val="21"/>
          <w:szCs w:val="21"/>
          <w:highlight w:val="none"/>
          <w:lang w:eastAsia="zh-CN"/>
        </w:rPr>
        <w:t>。</w:t>
      </w:r>
    </w:p>
    <w:p w14:paraId="3195B7FF">
      <w:pPr>
        <w:pStyle w:val="2"/>
        <w:spacing w:line="360" w:lineRule="auto"/>
        <w:ind w:firstLineChars="200"/>
        <w:rPr>
          <w:rFonts w:hint="eastAsia" w:ascii="宋体" w:hAnsi="宋体"/>
          <w:sz w:val="21"/>
          <w:szCs w:val="21"/>
          <w:highlight w:val="none"/>
          <w:lang w:eastAsia="zh-CN"/>
        </w:rPr>
      </w:pPr>
      <w:r>
        <w:rPr>
          <w:rFonts w:hint="eastAsia" w:ascii="宋体" w:hAnsi="宋体"/>
          <w:sz w:val="21"/>
          <w:szCs w:val="21"/>
          <w:highlight w:val="none"/>
          <w:lang w:eastAsia="zh-CN"/>
        </w:rPr>
        <w:t>（5）乙方提供的产品合格证、质量检验报告、检测报告等技术资料；</w:t>
      </w:r>
    </w:p>
    <w:p w14:paraId="17ED74F7">
      <w:pPr>
        <w:pStyle w:val="2"/>
        <w:spacing w:line="360" w:lineRule="auto"/>
        <w:ind w:firstLineChars="200"/>
        <w:rPr>
          <w:rFonts w:hint="eastAsia" w:ascii="宋体" w:hAnsi="宋体"/>
          <w:sz w:val="21"/>
          <w:szCs w:val="21"/>
          <w:highlight w:val="none"/>
          <w:lang w:eastAsia="zh-CN"/>
        </w:rPr>
      </w:pPr>
      <w:r>
        <w:rPr>
          <w:rFonts w:hint="eastAsia" w:ascii="宋体" w:hAnsi="宋体"/>
          <w:sz w:val="21"/>
          <w:szCs w:val="21"/>
          <w:highlight w:val="none"/>
          <w:lang w:eastAsia="zh-CN"/>
        </w:rPr>
        <w:t>（6）甲方大熊猫繁育相关专项技术要求（如有）。</w:t>
      </w:r>
    </w:p>
    <w:p w14:paraId="2A16F76B">
      <w:pPr>
        <w:pStyle w:val="12"/>
        <w:spacing w:line="360" w:lineRule="auto"/>
        <w:ind w:firstLine="525" w:firstLineChars="250"/>
        <w:rPr>
          <w:rFonts w:hint="eastAsia" w:ascii="宋体" w:hAnsi="宋体"/>
          <w:sz w:val="21"/>
          <w:szCs w:val="21"/>
          <w:highlight w:val="none"/>
        </w:rPr>
      </w:pPr>
      <w:r>
        <w:rPr>
          <w:rFonts w:hint="eastAsia" w:ascii="宋体" w:hAnsi="宋体"/>
          <w:sz w:val="21"/>
          <w:szCs w:val="21"/>
          <w:highlight w:val="none"/>
        </w:rPr>
        <w:t>3.货物验收时发现问题的处理办法：</w:t>
      </w:r>
    </w:p>
    <w:p w14:paraId="252A3C9E">
      <w:pPr>
        <w:pStyle w:val="12"/>
        <w:spacing w:line="360" w:lineRule="auto"/>
        <w:ind w:firstLine="420"/>
        <w:rPr>
          <w:rFonts w:hint="eastAsia" w:ascii="宋体" w:hAnsi="宋体"/>
          <w:sz w:val="21"/>
          <w:szCs w:val="21"/>
          <w:highlight w:val="none"/>
        </w:rPr>
      </w:pPr>
      <w:r>
        <w:rPr>
          <w:rFonts w:hint="eastAsia" w:ascii="宋体" w:hAnsi="宋体"/>
          <w:sz w:val="21"/>
          <w:szCs w:val="21"/>
          <w:highlight w:val="none"/>
        </w:rPr>
        <w:t>（1）乙方提供不符合本合同规定的货物（产品），甲方有权拒绝接受；</w:t>
      </w:r>
    </w:p>
    <w:p w14:paraId="2356757E">
      <w:pPr>
        <w:pStyle w:val="12"/>
        <w:spacing w:line="360" w:lineRule="auto"/>
        <w:ind w:firstLine="420"/>
        <w:rPr>
          <w:rFonts w:hint="eastAsia" w:ascii="宋体" w:hAnsi="宋体" w:eastAsia="宋体"/>
          <w:sz w:val="21"/>
          <w:szCs w:val="21"/>
          <w:highlight w:val="none"/>
          <w:lang w:eastAsia="zh-CN"/>
        </w:rPr>
      </w:pPr>
      <w:r>
        <w:rPr>
          <w:rFonts w:hint="eastAsia" w:ascii="宋体" w:hAnsi="宋体"/>
          <w:sz w:val="21"/>
          <w:szCs w:val="21"/>
          <w:highlight w:val="none"/>
        </w:rPr>
        <w:t>（2）如发现所交付的货物有短装、次品、损坏或其它不符合标准及本合同规定之情形者，甲方有权要求更换货物（产品）或退货，乙方应在甲方提出要求后 7 日内完成更换或退货，并承担由此产生的全部费用；同时甲方应做出详尽的现场记录，或由甲乙双方签署备忘录，此现场记录或备忘录可用作补充、缺失和更换损坏部件或更换整个货物（产品）的有效证据，由此产生的时间延误与有关费用由乙方承担，验收期限相应顺延；（3）若货物经 2 次更换后仍不符合合同要求，甲方有权解除合同，乙方应按合同总金额的 30% 向甲方支付违约金，并赔偿甲方全部损失。</w:t>
      </w:r>
    </w:p>
    <w:p w14:paraId="0727705A">
      <w:pPr>
        <w:pStyle w:val="12"/>
        <w:spacing w:before="120" w:beforeLines="50" w:after="120" w:afterLines="50" w:line="360" w:lineRule="auto"/>
        <w:ind w:firstLine="500" w:firstLineChars="166"/>
        <w:outlineLvl w:val="1"/>
        <w:rPr>
          <w:rFonts w:hint="eastAsia"/>
          <w:b/>
          <w:sz w:val="30"/>
          <w:szCs w:val="30"/>
          <w:highlight w:val="none"/>
        </w:rPr>
      </w:pPr>
      <w:bookmarkStart w:id="9" w:name="_Toc7056"/>
      <w:r>
        <w:rPr>
          <w:rFonts w:hint="eastAsia"/>
          <w:b/>
          <w:sz w:val="30"/>
          <w:szCs w:val="30"/>
          <w:highlight w:val="none"/>
        </w:rPr>
        <w:t>第九条 售后服务</w:t>
      </w:r>
      <w:bookmarkEnd w:id="9"/>
    </w:p>
    <w:p w14:paraId="179256E6">
      <w:pPr>
        <w:pStyle w:val="12"/>
        <w:spacing w:line="360" w:lineRule="auto"/>
        <w:ind w:firstLine="420"/>
        <w:rPr>
          <w:rFonts w:hint="eastAsia" w:ascii="宋体" w:hAnsi="宋体"/>
          <w:sz w:val="21"/>
          <w:szCs w:val="21"/>
          <w:highlight w:val="none"/>
          <w:lang w:eastAsia="zh-CN"/>
        </w:rPr>
      </w:pPr>
      <w:r>
        <w:rPr>
          <w:rFonts w:hint="eastAsia"/>
          <w:kern w:val="0"/>
          <w:sz w:val="21"/>
          <w:szCs w:val="21"/>
          <w:highlight w:val="none"/>
        </w:rPr>
        <w:t>乙方应按照国家有关法律法规和“三包”规定以及</w:t>
      </w:r>
      <w:r>
        <w:rPr>
          <w:rFonts w:hint="eastAsia"/>
          <w:kern w:val="0"/>
          <w:sz w:val="21"/>
          <w:szCs w:val="21"/>
          <w:highlight w:val="none"/>
          <w:lang w:val="en-US" w:eastAsia="zh-CN"/>
        </w:rPr>
        <w:t>招标</w:t>
      </w:r>
      <w:r>
        <w:rPr>
          <w:rFonts w:hint="eastAsia"/>
          <w:kern w:val="0"/>
          <w:sz w:val="21"/>
          <w:szCs w:val="21"/>
          <w:highlight w:val="none"/>
        </w:rPr>
        <w:t>文件要求和</w:t>
      </w:r>
      <w:r>
        <w:rPr>
          <w:rFonts w:hint="eastAsia"/>
          <w:kern w:val="0"/>
          <w:sz w:val="21"/>
          <w:szCs w:val="21"/>
          <w:highlight w:val="none"/>
          <w:lang w:val="en-US" w:eastAsia="zh-CN"/>
        </w:rPr>
        <w:t>投标</w:t>
      </w:r>
      <w:r>
        <w:rPr>
          <w:rFonts w:hint="eastAsia"/>
          <w:kern w:val="0"/>
          <w:sz w:val="21"/>
          <w:szCs w:val="21"/>
          <w:highlight w:val="none"/>
        </w:rPr>
        <w:t>文件的“服务承诺”提供服务。</w:t>
      </w:r>
    </w:p>
    <w:p w14:paraId="002DE326">
      <w:pPr>
        <w:widowControl/>
        <w:spacing w:before="120" w:beforeLines="50" w:after="120" w:afterLines="50" w:line="360" w:lineRule="auto"/>
        <w:ind w:firstLine="452" w:firstLineChars="150"/>
        <w:jc w:val="left"/>
        <w:outlineLvl w:val="1"/>
        <w:rPr>
          <w:rFonts w:hint="eastAsia" w:ascii="宋体" w:hAnsi="宋体"/>
          <w:b/>
          <w:sz w:val="30"/>
          <w:szCs w:val="30"/>
          <w:highlight w:val="none"/>
        </w:rPr>
      </w:pPr>
      <w:bookmarkStart w:id="10" w:name="_Toc16002"/>
      <w:r>
        <w:rPr>
          <w:rFonts w:hint="eastAsia" w:ascii="宋体" w:hAnsi="宋体"/>
          <w:b/>
          <w:sz w:val="30"/>
          <w:szCs w:val="30"/>
          <w:highlight w:val="none"/>
        </w:rPr>
        <w:t>第十条 违约责任</w:t>
      </w:r>
    </w:p>
    <w:p w14:paraId="6E186882">
      <w:pPr>
        <w:widowControl/>
        <w:spacing w:before="0" w:beforeLines="-2147483648" w:after="0" w:afterLines="-2147483648" w:line="360" w:lineRule="auto"/>
        <w:ind w:firstLine="420" w:firstLineChars="200"/>
        <w:jc w:val="left"/>
        <w:outlineLvl w:val="9"/>
        <w:rPr>
          <w:rFonts w:hint="eastAsia" w:ascii="宋体" w:hAnsi="宋体" w:cs="宋体"/>
          <w:b w:val="0"/>
          <w:color w:val="000000"/>
          <w:kern w:val="0"/>
          <w:sz w:val="21"/>
          <w:szCs w:val="21"/>
          <w:highlight w:val="none"/>
        </w:rPr>
      </w:pPr>
      <w:r>
        <w:rPr>
          <w:rFonts w:hint="eastAsia" w:ascii="宋体" w:hAnsi="宋体" w:cs="宋体"/>
          <w:b w:val="0"/>
          <w:color w:val="000000"/>
          <w:kern w:val="0"/>
          <w:sz w:val="21"/>
          <w:szCs w:val="21"/>
          <w:highlight w:val="none"/>
          <w:lang w:val="en-US" w:eastAsia="zh-CN"/>
        </w:rPr>
        <w:t>1.</w:t>
      </w:r>
      <w:r>
        <w:rPr>
          <w:rFonts w:hint="eastAsia" w:ascii="宋体" w:hAnsi="宋体" w:cs="宋体"/>
          <w:b w:val="0"/>
          <w:color w:val="000000"/>
          <w:kern w:val="0"/>
          <w:sz w:val="21"/>
          <w:szCs w:val="21"/>
          <w:highlight w:val="none"/>
        </w:rPr>
        <w:t xml:space="preserve">乙方逾期交货的，每逾期 1 日，应按合同总金额的 </w:t>
      </w:r>
      <w:r>
        <w:rPr>
          <w:rFonts w:hint="eastAsia" w:ascii="宋体" w:hAnsi="宋体" w:cs="宋体"/>
          <w:b w:val="0"/>
          <w:color w:val="000000"/>
          <w:kern w:val="0"/>
          <w:sz w:val="21"/>
          <w:szCs w:val="21"/>
          <w:highlight w:val="none"/>
          <w:lang w:val="en-US" w:eastAsia="zh-CN"/>
        </w:rPr>
        <w:t xml:space="preserve">1 </w:t>
      </w:r>
      <w:r>
        <w:rPr>
          <w:rFonts w:hint="eastAsia" w:ascii="宋体" w:hAnsi="宋体" w:cs="宋体"/>
          <w:b w:val="0"/>
          <w:color w:val="000000"/>
          <w:kern w:val="0"/>
          <w:sz w:val="21"/>
          <w:szCs w:val="21"/>
          <w:highlight w:val="none"/>
        </w:rPr>
        <w:t>% 向甲方支付违约金；逾期超过</w:t>
      </w:r>
      <w:r>
        <w:rPr>
          <w:rFonts w:hint="eastAsia" w:ascii="宋体" w:hAnsi="宋体" w:cs="宋体"/>
          <w:b w:val="0"/>
          <w:color w:val="000000"/>
          <w:kern w:val="0"/>
          <w:sz w:val="21"/>
          <w:szCs w:val="21"/>
          <w:highlight w:val="none"/>
          <w:lang w:val="en-US" w:eastAsia="zh-CN"/>
        </w:rPr>
        <w:t>30</w:t>
      </w:r>
      <w:r>
        <w:rPr>
          <w:rFonts w:hint="eastAsia" w:ascii="宋体" w:hAnsi="宋体" w:cs="宋体"/>
          <w:b w:val="0"/>
          <w:color w:val="000000"/>
          <w:kern w:val="0"/>
          <w:sz w:val="21"/>
          <w:szCs w:val="21"/>
          <w:highlight w:val="none"/>
        </w:rPr>
        <w:t>日的，甲方有权单方解除合同，乙方应在合同解除后 10 日内退还甲方已支付款项（如有），并按合同总金额的 30% 向甲方支付违约金，若违约金不足以弥补甲方损失（包括但不限于另行采购替代货物的差价、运输费、检测费、停工损失、律师费、诉讼费等），乙方还应补足差额。</w:t>
      </w:r>
    </w:p>
    <w:p w14:paraId="29209820">
      <w:pPr>
        <w:widowControl/>
        <w:spacing w:before="0" w:beforeLines="-2147483648" w:after="0" w:afterLines="-2147483648" w:line="360" w:lineRule="auto"/>
        <w:ind w:firstLine="420" w:firstLineChars="200"/>
        <w:jc w:val="left"/>
        <w:outlineLvl w:val="9"/>
        <w:rPr>
          <w:rFonts w:hint="eastAsia" w:ascii="宋体" w:hAnsi="宋体" w:cs="宋体"/>
          <w:b w:val="0"/>
          <w:color w:val="000000"/>
          <w:kern w:val="0"/>
          <w:sz w:val="21"/>
          <w:szCs w:val="21"/>
          <w:highlight w:val="none"/>
        </w:rPr>
      </w:pPr>
      <w:r>
        <w:rPr>
          <w:rFonts w:hint="eastAsia" w:ascii="宋体" w:hAnsi="宋体" w:cs="宋体"/>
          <w:b w:val="0"/>
          <w:color w:val="000000"/>
          <w:kern w:val="0"/>
          <w:sz w:val="21"/>
          <w:szCs w:val="21"/>
          <w:highlight w:val="none"/>
          <w:lang w:val="en-US" w:eastAsia="zh-CN"/>
        </w:rPr>
        <w:t>2.</w:t>
      </w:r>
      <w:r>
        <w:rPr>
          <w:rFonts w:hint="eastAsia" w:ascii="宋体" w:hAnsi="宋体" w:cs="宋体"/>
          <w:b w:val="0"/>
          <w:color w:val="000000"/>
          <w:kern w:val="0"/>
          <w:sz w:val="21"/>
          <w:szCs w:val="21"/>
          <w:highlight w:val="none"/>
        </w:rPr>
        <w:t>乙方交付的货物不符合合同约定的质量标准、规格型号或技术要求的，甲方有权要求乙方在 7 日内采取更换、补货、维修等补救措施，相关费用由乙方承担，且交货期不予顺延；若经 2 次补救后货物仍不符合约定，或乙方未按要求履行补救义务，甲方有权解除合同，乙方应按合同总金额的 30% 支付违约金，并赔偿甲方全部损失。</w:t>
      </w:r>
    </w:p>
    <w:p w14:paraId="35917421">
      <w:pPr>
        <w:widowControl/>
        <w:spacing w:before="0" w:beforeLines="-2147483648" w:after="0" w:afterLines="-2147483648" w:line="360" w:lineRule="auto"/>
        <w:ind w:firstLine="420" w:firstLineChars="200"/>
        <w:jc w:val="left"/>
        <w:outlineLvl w:val="9"/>
        <w:rPr>
          <w:rFonts w:hint="eastAsia" w:ascii="宋体" w:hAnsi="宋体" w:cs="宋体"/>
          <w:b w:val="0"/>
          <w:color w:val="000000"/>
          <w:kern w:val="0"/>
          <w:sz w:val="21"/>
          <w:szCs w:val="21"/>
          <w:highlight w:val="none"/>
        </w:rPr>
      </w:pPr>
      <w:r>
        <w:rPr>
          <w:rFonts w:hint="eastAsia" w:ascii="宋体" w:hAnsi="宋体" w:cs="宋体"/>
          <w:b w:val="0"/>
          <w:color w:val="000000"/>
          <w:kern w:val="0"/>
          <w:sz w:val="21"/>
          <w:szCs w:val="21"/>
          <w:highlight w:val="none"/>
          <w:lang w:val="en-US" w:eastAsia="zh-CN"/>
        </w:rPr>
        <w:t>3.</w:t>
      </w:r>
      <w:r>
        <w:rPr>
          <w:rFonts w:hint="eastAsia" w:ascii="宋体" w:hAnsi="宋体" w:cs="宋体"/>
          <w:b w:val="0"/>
          <w:color w:val="000000"/>
          <w:kern w:val="0"/>
          <w:sz w:val="21"/>
          <w:szCs w:val="21"/>
          <w:highlight w:val="none"/>
        </w:rPr>
        <w:t xml:space="preserve">乙方未按约定提供售后服务（包括但不限于质保期内未按时响应维修需求、未按承诺完成维修或更换、未提供备用货物等），每逾期 1 日应按合同总金额的 % 支付违约金；逾期超过 7 日的，甲方有权委托第三方提供服务，费用由乙方承担，同时乙方应按合同总金额的 </w:t>
      </w:r>
      <w:r>
        <w:rPr>
          <w:rFonts w:hint="eastAsia" w:ascii="宋体" w:hAnsi="宋体" w:cs="宋体"/>
          <w:b w:val="0"/>
          <w:color w:val="000000"/>
          <w:kern w:val="0"/>
          <w:sz w:val="21"/>
          <w:szCs w:val="21"/>
          <w:highlight w:val="none"/>
          <w:lang w:val="en-US" w:eastAsia="zh-CN"/>
        </w:rPr>
        <w:t>2</w:t>
      </w:r>
      <w:r>
        <w:rPr>
          <w:rFonts w:hint="eastAsia" w:ascii="宋体" w:hAnsi="宋体" w:cs="宋体"/>
          <w:b w:val="0"/>
          <w:color w:val="000000"/>
          <w:kern w:val="0"/>
          <w:sz w:val="21"/>
          <w:szCs w:val="21"/>
          <w:highlight w:val="none"/>
        </w:rPr>
        <w:t>0% 支付违约金，造成甲方损失的另行赔偿。</w:t>
      </w:r>
    </w:p>
    <w:p w14:paraId="01AD7AEB">
      <w:pPr>
        <w:widowControl/>
        <w:spacing w:before="0" w:beforeLines="-2147483648" w:after="0" w:afterLines="-2147483648" w:line="360" w:lineRule="auto"/>
        <w:ind w:firstLine="420" w:firstLineChars="200"/>
        <w:jc w:val="left"/>
        <w:outlineLvl w:val="9"/>
        <w:rPr>
          <w:rFonts w:hint="eastAsia" w:ascii="宋体" w:hAnsi="宋体" w:cs="宋体"/>
          <w:b w:val="0"/>
          <w:color w:val="000000"/>
          <w:kern w:val="0"/>
          <w:sz w:val="21"/>
          <w:szCs w:val="21"/>
          <w:highlight w:val="none"/>
        </w:rPr>
      </w:pPr>
      <w:r>
        <w:rPr>
          <w:rFonts w:hint="eastAsia" w:ascii="宋体" w:hAnsi="宋体" w:cs="宋体"/>
          <w:b w:val="0"/>
          <w:color w:val="000000"/>
          <w:kern w:val="0"/>
          <w:sz w:val="21"/>
          <w:szCs w:val="21"/>
          <w:highlight w:val="none"/>
          <w:lang w:val="en-US" w:eastAsia="zh-CN"/>
        </w:rPr>
        <w:t>4.</w:t>
      </w:r>
      <w:r>
        <w:rPr>
          <w:rFonts w:hint="eastAsia" w:ascii="宋体" w:hAnsi="宋体" w:cs="宋体"/>
          <w:b w:val="0"/>
          <w:color w:val="000000"/>
          <w:kern w:val="0"/>
          <w:sz w:val="21"/>
          <w:szCs w:val="21"/>
          <w:highlight w:val="none"/>
        </w:rPr>
        <w:t xml:space="preserve">乙方存在虚假陈述、提供假冒伪劣货物、侵犯第三方知识产权等违约行为的，甲方有权立即解除合同，乙方应按合同总金额的 </w:t>
      </w:r>
      <w:r>
        <w:rPr>
          <w:rFonts w:hint="eastAsia" w:ascii="宋体" w:hAnsi="宋体" w:cs="宋体"/>
          <w:b w:val="0"/>
          <w:color w:val="000000"/>
          <w:kern w:val="0"/>
          <w:sz w:val="21"/>
          <w:szCs w:val="21"/>
          <w:highlight w:val="none"/>
          <w:lang w:val="en-US" w:eastAsia="zh-CN"/>
        </w:rPr>
        <w:t>2</w:t>
      </w:r>
      <w:r>
        <w:rPr>
          <w:rFonts w:hint="eastAsia" w:ascii="宋体" w:hAnsi="宋体" w:cs="宋体"/>
          <w:b w:val="0"/>
          <w:color w:val="000000"/>
          <w:kern w:val="0"/>
          <w:sz w:val="21"/>
          <w:szCs w:val="21"/>
          <w:highlight w:val="none"/>
        </w:rPr>
        <w:t>0% 支付违约金，并赔偿甲方因此遭受的全部损失（包括但不限于罚款、赔偿金、律师费、诉讼费、商誉损失等），甲方有权将相关情况报送监管部门。</w:t>
      </w:r>
    </w:p>
    <w:p w14:paraId="63E170EF">
      <w:pPr>
        <w:widowControl/>
        <w:spacing w:before="0" w:beforeLines="-2147483648" w:after="0" w:afterLines="-2147483648" w:line="360" w:lineRule="auto"/>
        <w:ind w:firstLine="420" w:firstLineChars="200"/>
        <w:jc w:val="left"/>
        <w:outlineLvl w:val="9"/>
        <w:rPr>
          <w:rFonts w:hint="eastAsia" w:ascii="宋体" w:hAnsi="宋体"/>
          <w:b/>
          <w:sz w:val="30"/>
          <w:szCs w:val="30"/>
          <w:highlight w:val="none"/>
        </w:rPr>
      </w:pPr>
      <w:r>
        <w:rPr>
          <w:rFonts w:hint="eastAsia" w:ascii="宋体" w:hAnsi="宋体" w:cs="宋体"/>
          <w:b w:val="0"/>
          <w:color w:val="000000"/>
          <w:kern w:val="0"/>
          <w:sz w:val="21"/>
          <w:szCs w:val="21"/>
          <w:highlight w:val="none"/>
          <w:lang w:val="en-US" w:eastAsia="zh-CN"/>
        </w:rPr>
        <w:t>5.</w:t>
      </w:r>
      <w:r>
        <w:rPr>
          <w:rFonts w:hint="eastAsia" w:ascii="宋体" w:hAnsi="宋体" w:cs="宋体"/>
          <w:b w:val="0"/>
          <w:color w:val="000000"/>
          <w:kern w:val="0"/>
          <w:sz w:val="21"/>
          <w:szCs w:val="21"/>
          <w:highlight w:val="none"/>
        </w:rPr>
        <w:t xml:space="preserve">任何一方违反本合同其他约定的，应在收到对方书面通知后 5 日内纠正；逾期未纠正的，应按合同总金额的 </w:t>
      </w:r>
      <w:r>
        <w:rPr>
          <w:rFonts w:hint="eastAsia" w:ascii="宋体" w:hAnsi="宋体" w:cs="宋体"/>
          <w:b w:val="0"/>
          <w:color w:val="000000"/>
          <w:kern w:val="0"/>
          <w:sz w:val="21"/>
          <w:szCs w:val="21"/>
          <w:highlight w:val="none"/>
          <w:lang w:val="en-US" w:eastAsia="zh-CN"/>
        </w:rPr>
        <w:t>1</w:t>
      </w:r>
      <w:r>
        <w:rPr>
          <w:rFonts w:hint="eastAsia" w:ascii="宋体" w:hAnsi="宋体" w:cs="宋体"/>
          <w:b w:val="0"/>
          <w:color w:val="000000"/>
          <w:kern w:val="0"/>
          <w:sz w:val="21"/>
          <w:szCs w:val="21"/>
          <w:highlight w:val="none"/>
        </w:rPr>
        <w:t>0% 支付违约金，造成对方损失的，应另行赔偿。</w:t>
      </w:r>
    </w:p>
    <w:p w14:paraId="6DB77D4B">
      <w:pPr>
        <w:widowControl/>
        <w:spacing w:before="120" w:beforeLines="50" w:after="120" w:afterLines="50" w:line="360" w:lineRule="auto"/>
        <w:ind w:firstLine="452" w:firstLineChars="150"/>
        <w:jc w:val="left"/>
        <w:outlineLvl w:val="1"/>
        <w:rPr>
          <w:rFonts w:hint="eastAsia" w:ascii="宋体" w:hAnsi="宋体" w:cs="宋体"/>
          <w:color w:val="000000"/>
          <w:kern w:val="0"/>
          <w:sz w:val="30"/>
          <w:szCs w:val="30"/>
          <w:highlight w:val="none"/>
        </w:rPr>
      </w:pPr>
      <w:r>
        <w:rPr>
          <w:rFonts w:hint="eastAsia" w:ascii="宋体" w:hAnsi="宋体" w:cs="宋体"/>
          <w:b/>
          <w:color w:val="000000"/>
          <w:kern w:val="0"/>
          <w:sz w:val="30"/>
          <w:szCs w:val="30"/>
          <w:highlight w:val="none"/>
          <w:lang w:val="en-US" w:eastAsia="zh-CN"/>
        </w:rPr>
        <w:t xml:space="preserve">第十一条 </w:t>
      </w:r>
      <w:r>
        <w:rPr>
          <w:rFonts w:hint="eastAsia" w:ascii="宋体" w:hAnsi="宋体" w:cs="宋体"/>
          <w:b/>
          <w:color w:val="000000"/>
          <w:kern w:val="0"/>
          <w:sz w:val="30"/>
          <w:szCs w:val="30"/>
          <w:highlight w:val="none"/>
        </w:rPr>
        <w:t>合同的变更和终止</w:t>
      </w:r>
      <w:bookmarkEnd w:id="10"/>
    </w:p>
    <w:p w14:paraId="510978E3">
      <w:pPr>
        <w:widowControl w:val="0"/>
        <w:spacing w:line="360" w:lineRule="auto"/>
        <w:ind w:firstLine="420" w:firstLineChars="200"/>
        <w:jc w:val="left"/>
        <w:rPr>
          <w:rFonts w:hint="eastAsia" w:ascii="宋体" w:hAnsi="宋体" w:cs="宋体"/>
          <w:b/>
          <w:color w:val="000000"/>
          <w:kern w:val="0"/>
          <w:sz w:val="30"/>
          <w:szCs w:val="30"/>
          <w:highlight w:val="none"/>
        </w:rPr>
      </w:pP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除《中华人民共和国政府采购法》第49条、第50条第二款规定的情形外，本合同一经签订，甲乙双方不得擅自变更、中止或终止合同。</w:t>
      </w:r>
      <w:bookmarkStart w:id="11" w:name="_Toc12126"/>
    </w:p>
    <w:p w14:paraId="58615B32">
      <w:pPr>
        <w:widowControl w:val="0"/>
        <w:spacing w:line="360" w:lineRule="auto"/>
        <w:ind w:firstLine="420" w:firstLineChars="200"/>
        <w:jc w:val="left"/>
        <w:rPr>
          <w:rFonts w:hint="eastAsia" w:ascii="宋体" w:hAnsi="宋体" w:cs="宋体"/>
          <w:b w:val="0"/>
          <w:color w:val="000000"/>
          <w:kern w:val="0"/>
          <w:sz w:val="21"/>
          <w:szCs w:val="21"/>
          <w:highlight w:val="none"/>
        </w:rPr>
      </w:pPr>
      <w:r>
        <w:rPr>
          <w:rFonts w:hint="eastAsia" w:ascii="宋体" w:hAnsi="宋体" w:cs="宋体"/>
          <w:b w:val="0"/>
          <w:color w:val="000000"/>
          <w:kern w:val="0"/>
          <w:sz w:val="21"/>
          <w:szCs w:val="21"/>
          <w:highlight w:val="none"/>
          <w:lang w:val="en-US" w:eastAsia="zh-CN"/>
        </w:rPr>
        <w:t>2.</w:t>
      </w:r>
      <w:r>
        <w:rPr>
          <w:rFonts w:hint="eastAsia" w:ascii="宋体" w:hAnsi="宋体" w:cs="宋体"/>
          <w:b w:val="0"/>
          <w:color w:val="000000"/>
          <w:kern w:val="0"/>
          <w:sz w:val="21"/>
          <w:szCs w:val="21"/>
          <w:highlight w:val="none"/>
        </w:rPr>
        <w:t>如需变更合同内容，应由双方协商一致并签订书面补充协议，补充协议与本合同具有同等法律效力。</w:t>
      </w:r>
    </w:p>
    <w:p w14:paraId="0944E004">
      <w:pPr>
        <w:widowControl w:val="0"/>
        <w:spacing w:line="360" w:lineRule="auto"/>
        <w:ind w:firstLine="420" w:firstLineChars="200"/>
        <w:jc w:val="left"/>
        <w:rPr>
          <w:rFonts w:hint="eastAsia" w:ascii="宋体" w:hAnsi="宋体" w:cs="宋体"/>
          <w:b w:val="0"/>
          <w:color w:val="000000"/>
          <w:kern w:val="0"/>
          <w:sz w:val="21"/>
          <w:szCs w:val="21"/>
          <w:highlight w:val="none"/>
        </w:rPr>
      </w:pPr>
      <w:r>
        <w:rPr>
          <w:rFonts w:hint="eastAsia" w:ascii="宋体" w:hAnsi="宋体" w:cs="宋体"/>
          <w:b w:val="0"/>
          <w:color w:val="000000"/>
          <w:kern w:val="0"/>
          <w:sz w:val="21"/>
          <w:szCs w:val="21"/>
          <w:highlight w:val="none"/>
          <w:lang w:val="en-US" w:eastAsia="zh-CN"/>
        </w:rPr>
        <w:t>3.</w:t>
      </w:r>
      <w:r>
        <w:rPr>
          <w:rFonts w:hint="eastAsia" w:ascii="宋体" w:hAnsi="宋体" w:cs="宋体"/>
          <w:b w:val="0"/>
          <w:color w:val="000000"/>
          <w:kern w:val="0"/>
          <w:sz w:val="21"/>
          <w:szCs w:val="21"/>
          <w:highlight w:val="none"/>
        </w:rPr>
        <w:t>因乙方违约导致甲方解除合同的，乙方应在合同解除后 10 日内退还甲方已支付的全部款项（如有），并承担相应的违约责任；因甲方原因需解除合同的，应提前 15 日书面通知乙方，双方协商处理后续事宜。</w:t>
      </w:r>
    </w:p>
    <w:p w14:paraId="6C0BF6A8">
      <w:pPr>
        <w:widowControl/>
        <w:spacing w:line="360" w:lineRule="auto"/>
        <w:ind w:firstLine="602" w:firstLineChars="200"/>
        <w:jc w:val="left"/>
        <w:rPr>
          <w:rFonts w:hint="eastAsia" w:ascii="宋体" w:hAnsi="宋体" w:cs="宋体"/>
          <w:b/>
          <w:color w:val="000000"/>
          <w:kern w:val="0"/>
          <w:sz w:val="30"/>
          <w:szCs w:val="30"/>
          <w:highlight w:val="none"/>
        </w:rPr>
      </w:pPr>
      <w:r>
        <w:rPr>
          <w:rFonts w:hint="eastAsia" w:ascii="宋体" w:hAnsi="宋体" w:cs="宋体"/>
          <w:b/>
          <w:color w:val="000000"/>
          <w:kern w:val="0"/>
          <w:sz w:val="30"/>
          <w:szCs w:val="30"/>
          <w:highlight w:val="none"/>
        </w:rPr>
        <w:t>第十</w:t>
      </w:r>
      <w:r>
        <w:rPr>
          <w:rFonts w:hint="eastAsia" w:ascii="宋体" w:hAnsi="宋体" w:cs="宋体"/>
          <w:b/>
          <w:color w:val="000000"/>
          <w:kern w:val="0"/>
          <w:sz w:val="30"/>
          <w:szCs w:val="30"/>
          <w:highlight w:val="none"/>
          <w:lang w:val="en-US" w:eastAsia="zh-CN"/>
        </w:rPr>
        <w:t>二</w:t>
      </w:r>
      <w:r>
        <w:rPr>
          <w:rFonts w:hint="eastAsia" w:ascii="宋体" w:hAnsi="宋体" w:cs="宋体"/>
          <w:b/>
          <w:color w:val="000000"/>
          <w:kern w:val="0"/>
          <w:sz w:val="30"/>
          <w:szCs w:val="30"/>
          <w:highlight w:val="none"/>
        </w:rPr>
        <w:t>条 争议的解决</w:t>
      </w:r>
      <w:bookmarkEnd w:id="11"/>
    </w:p>
    <w:p w14:paraId="593A9D4E">
      <w:pPr>
        <w:pStyle w:val="12"/>
        <w:spacing w:line="360" w:lineRule="auto"/>
        <w:ind w:firstLine="420"/>
        <w:rPr>
          <w:rFonts w:hint="eastAsia" w:ascii="宋体" w:hAnsi="宋体"/>
          <w:sz w:val="21"/>
          <w:szCs w:val="21"/>
          <w:highlight w:val="none"/>
        </w:rPr>
      </w:pPr>
      <w:r>
        <w:rPr>
          <w:rFonts w:hint="eastAsia" w:ascii="宋体" w:hAnsi="宋体"/>
          <w:sz w:val="21"/>
          <w:szCs w:val="21"/>
          <w:highlight w:val="none"/>
        </w:rPr>
        <w:t>1.因货物的质量问题发生争议，由质量技术监督部门或其指定的质量鉴定机构进行质量鉴定。货物符合标准的，鉴定费由甲方承担；货物不符合质量标准的，鉴定费由乙方承担。</w:t>
      </w:r>
    </w:p>
    <w:p w14:paraId="7F5A377D">
      <w:pPr>
        <w:pStyle w:val="12"/>
        <w:spacing w:line="360" w:lineRule="auto"/>
        <w:ind w:firstLine="420"/>
        <w:rPr>
          <w:rFonts w:hint="eastAsia" w:ascii="宋体" w:hAnsi="宋体"/>
          <w:kern w:val="0"/>
          <w:sz w:val="21"/>
          <w:szCs w:val="21"/>
          <w:highlight w:val="none"/>
        </w:rPr>
      </w:pPr>
      <w:r>
        <w:rPr>
          <w:rFonts w:hint="eastAsia" w:ascii="宋体" w:hAnsi="宋体"/>
          <w:kern w:val="0"/>
          <w:sz w:val="21"/>
          <w:szCs w:val="21"/>
          <w:highlight w:val="none"/>
        </w:rPr>
        <w:t>2.因履行本合同引起的或与本合同有关的争议，甲、乙双方应首先通过友好协商解决，如果协商不成，则采取以下第_</w:t>
      </w:r>
      <w:r>
        <w:rPr>
          <w:rFonts w:hint="eastAsia" w:ascii="宋体" w:hAnsi="宋体"/>
          <w:kern w:val="0"/>
          <w:sz w:val="21"/>
          <w:szCs w:val="21"/>
          <w:highlight w:val="none"/>
          <w:lang w:val="en-US" w:eastAsia="zh-CN"/>
        </w:rPr>
        <w:t>1</w:t>
      </w:r>
      <w:r>
        <w:rPr>
          <w:rFonts w:hint="eastAsia" w:ascii="宋体" w:hAnsi="宋体"/>
          <w:kern w:val="0"/>
          <w:sz w:val="21"/>
          <w:szCs w:val="21"/>
          <w:highlight w:val="none"/>
        </w:rPr>
        <w:t>_种方式解决争议：</w:t>
      </w:r>
    </w:p>
    <w:p w14:paraId="2CD4BB36">
      <w:pPr>
        <w:pStyle w:val="12"/>
        <w:spacing w:line="360" w:lineRule="auto"/>
        <w:ind w:firstLine="420"/>
        <w:rPr>
          <w:rFonts w:hint="eastAsia" w:ascii="宋体" w:hAnsi="宋体"/>
          <w:kern w:val="0"/>
          <w:sz w:val="21"/>
          <w:szCs w:val="21"/>
          <w:highlight w:val="none"/>
        </w:rPr>
      </w:pPr>
      <w:r>
        <w:rPr>
          <w:rFonts w:hint="eastAsia" w:ascii="宋体" w:hAnsi="宋体"/>
          <w:kern w:val="0"/>
          <w:sz w:val="21"/>
          <w:szCs w:val="21"/>
          <w:highlight w:val="none"/>
        </w:rPr>
        <w:t>（1）向甲方所在地有管辖权的人民法院提起诉讼；</w:t>
      </w:r>
    </w:p>
    <w:p w14:paraId="3E4C8D9A">
      <w:pPr>
        <w:pStyle w:val="12"/>
        <w:spacing w:line="360" w:lineRule="auto"/>
        <w:ind w:firstLine="420"/>
        <w:rPr>
          <w:rFonts w:hint="eastAsia" w:ascii="宋体" w:hAnsi="宋体"/>
          <w:kern w:val="0"/>
          <w:sz w:val="21"/>
          <w:szCs w:val="21"/>
          <w:highlight w:val="none"/>
        </w:rPr>
      </w:pPr>
      <w:r>
        <w:rPr>
          <w:rFonts w:hint="eastAsia" w:ascii="宋体" w:hAnsi="宋体"/>
          <w:kern w:val="0"/>
          <w:sz w:val="21"/>
          <w:szCs w:val="21"/>
          <w:highlight w:val="none"/>
        </w:rPr>
        <w:t>（2）向</w:t>
      </w:r>
      <w:r>
        <w:rPr>
          <w:rFonts w:hint="eastAsia" w:ascii="宋体" w:hAnsi="宋体"/>
          <w:kern w:val="0"/>
          <w:sz w:val="21"/>
          <w:szCs w:val="21"/>
          <w:highlight w:val="none"/>
          <w:u w:val="single"/>
          <w:lang w:val="en-US" w:eastAsia="zh-CN"/>
        </w:rPr>
        <w:t xml:space="preserve">  西安  </w:t>
      </w:r>
      <w:r>
        <w:rPr>
          <w:rFonts w:hint="eastAsia" w:ascii="宋体" w:hAnsi="宋体"/>
          <w:kern w:val="0"/>
          <w:sz w:val="21"/>
          <w:szCs w:val="21"/>
          <w:highlight w:val="none"/>
        </w:rPr>
        <w:t>仲裁委员会按其仲裁规则申请仲裁。</w:t>
      </w:r>
    </w:p>
    <w:p w14:paraId="30DA759E">
      <w:pPr>
        <w:pStyle w:val="12"/>
        <w:spacing w:line="360" w:lineRule="auto"/>
        <w:ind w:firstLine="420"/>
        <w:rPr>
          <w:rFonts w:hint="eastAsia" w:ascii="宋体" w:hAnsi="宋体"/>
          <w:kern w:val="0"/>
          <w:sz w:val="21"/>
          <w:szCs w:val="21"/>
          <w:highlight w:val="none"/>
        </w:rPr>
      </w:pPr>
      <w:r>
        <w:rPr>
          <w:rFonts w:hint="eastAsia" w:ascii="宋体" w:hAnsi="宋体"/>
          <w:kern w:val="0"/>
          <w:sz w:val="21"/>
          <w:szCs w:val="21"/>
          <w:highlight w:val="none"/>
        </w:rPr>
        <w:t>3.在仲裁期间，本合同应继续履行。</w:t>
      </w:r>
    </w:p>
    <w:p w14:paraId="3FF587F4">
      <w:pPr>
        <w:snapToGrid w:val="0"/>
        <w:spacing w:before="120" w:beforeLines="50" w:after="120" w:afterLines="50" w:line="360" w:lineRule="auto"/>
        <w:ind w:firstLine="452" w:firstLineChars="150"/>
        <w:outlineLvl w:val="1"/>
        <w:rPr>
          <w:rFonts w:hint="eastAsia"/>
          <w:b/>
          <w:kern w:val="0"/>
          <w:sz w:val="30"/>
          <w:szCs w:val="30"/>
          <w:highlight w:val="none"/>
        </w:rPr>
      </w:pPr>
      <w:bookmarkStart w:id="12" w:name="_Toc18656"/>
      <w:r>
        <w:rPr>
          <w:rFonts w:hint="eastAsia"/>
          <w:b/>
          <w:sz w:val="30"/>
          <w:szCs w:val="30"/>
          <w:highlight w:val="none"/>
        </w:rPr>
        <w:t>第十</w:t>
      </w:r>
      <w:r>
        <w:rPr>
          <w:rFonts w:hint="eastAsia"/>
          <w:b/>
          <w:sz w:val="30"/>
          <w:szCs w:val="30"/>
          <w:highlight w:val="none"/>
          <w:lang w:val="en-US" w:eastAsia="zh-CN"/>
        </w:rPr>
        <w:t>三</w:t>
      </w:r>
      <w:r>
        <w:rPr>
          <w:rFonts w:hint="eastAsia"/>
          <w:b/>
          <w:sz w:val="30"/>
          <w:szCs w:val="30"/>
          <w:highlight w:val="none"/>
        </w:rPr>
        <w:t xml:space="preserve">条 </w:t>
      </w:r>
      <w:r>
        <w:rPr>
          <w:rFonts w:hint="eastAsia"/>
          <w:b/>
          <w:kern w:val="0"/>
          <w:sz w:val="30"/>
          <w:szCs w:val="30"/>
          <w:highlight w:val="none"/>
        </w:rPr>
        <w:t>合同生效及其他</w:t>
      </w:r>
      <w:bookmarkEnd w:id="12"/>
    </w:p>
    <w:p w14:paraId="79848AE3">
      <w:pPr>
        <w:snapToGrid w:val="0"/>
        <w:spacing w:line="360" w:lineRule="auto"/>
        <w:ind w:firstLine="539"/>
        <w:rPr>
          <w:rFonts w:hint="eastAsia" w:ascii="宋体" w:hAnsi="宋体"/>
          <w:szCs w:val="21"/>
          <w:highlight w:val="none"/>
        </w:rPr>
      </w:pPr>
      <w:r>
        <w:rPr>
          <w:rFonts w:hint="eastAsia" w:ascii="宋体" w:hAnsi="宋体" w:cs="宋体"/>
          <w:color w:val="000000"/>
          <w:kern w:val="0"/>
          <w:szCs w:val="21"/>
          <w:highlight w:val="none"/>
        </w:rPr>
        <w:t>1.</w:t>
      </w:r>
      <w:r>
        <w:rPr>
          <w:rFonts w:hint="eastAsia" w:ascii="宋体" w:hAnsi="宋体"/>
          <w:szCs w:val="21"/>
          <w:highlight w:val="none"/>
        </w:rPr>
        <w:t>如有未尽事宜，由双方依法订立补充合同。</w:t>
      </w:r>
    </w:p>
    <w:p w14:paraId="096A773F">
      <w:pPr>
        <w:snapToGrid w:val="0"/>
        <w:spacing w:line="360" w:lineRule="auto"/>
        <w:ind w:firstLine="539"/>
        <w:rPr>
          <w:rFonts w:hint="eastAsia" w:ascii="宋体" w:hAnsi="宋体"/>
          <w:kern w:val="0"/>
          <w:szCs w:val="21"/>
          <w:highlight w:val="none"/>
        </w:rPr>
      </w:pPr>
      <w:r>
        <w:rPr>
          <w:rFonts w:hint="eastAsia" w:ascii="宋体" w:hAnsi="宋体"/>
          <w:kern w:val="0"/>
          <w:szCs w:val="21"/>
          <w:highlight w:val="none"/>
        </w:rPr>
        <w:t>2.本合同自签订之日起生效。</w:t>
      </w:r>
    </w:p>
    <w:p w14:paraId="29290763">
      <w:pPr>
        <w:snapToGrid w:val="0"/>
        <w:spacing w:line="360" w:lineRule="auto"/>
        <w:ind w:firstLine="539"/>
        <w:rPr>
          <w:rFonts w:hint="eastAsia" w:ascii="宋体" w:hAnsi="宋体" w:eastAsia="宋体"/>
          <w:kern w:val="0"/>
          <w:szCs w:val="21"/>
          <w:highlight w:val="none"/>
          <w:lang w:eastAsia="zh-CN"/>
        </w:rPr>
      </w:pPr>
      <w:r>
        <w:rPr>
          <w:rFonts w:hint="eastAsia" w:ascii="宋体" w:hAnsi="宋体"/>
          <w:kern w:val="0"/>
          <w:szCs w:val="21"/>
          <w:highlight w:val="none"/>
        </w:rPr>
        <w:t>3.本合同一式_</w:t>
      </w:r>
      <w:r>
        <w:rPr>
          <w:rFonts w:hint="eastAsia" w:ascii="宋体" w:hAnsi="宋体"/>
          <w:kern w:val="0"/>
          <w:szCs w:val="21"/>
          <w:highlight w:val="none"/>
          <w:lang w:val="en-US" w:eastAsia="zh-CN"/>
        </w:rPr>
        <w:t>叁</w:t>
      </w:r>
      <w:r>
        <w:rPr>
          <w:rFonts w:hint="eastAsia" w:ascii="宋体" w:hAnsi="宋体"/>
          <w:kern w:val="0"/>
          <w:szCs w:val="21"/>
          <w:highlight w:val="none"/>
        </w:rPr>
        <w:t>_份，具有同等法律效力，甲方_</w:t>
      </w:r>
      <w:r>
        <w:rPr>
          <w:rFonts w:hint="eastAsia" w:ascii="宋体" w:hAnsi="宋体"/>
          <w:kern w:val="0"/>
          <w:szCs w:val="21"/>
          <w:highlight w:val="none"/>
          <w:lang w:val="en-US" w:eastAsia="zh-CN"/>
        </w:rPr>
        <w:t>贰</w:t>
      </w:r>
      <w:r>
        <w:rPr>
          <w:rFonts w:hint="eastAsia" w:ascii="宋体" w:hAnsi="宋体"/>
          <w:kern w:val="0"/>
          <w:szCs w:val="21"/>
          <w:highlight w:val="none"/>
        </w:rPr>
        <w:t>_份</w:t>
      </w:r>
      <w:r>
        <w:rPr>
          <w:rFonts w:hint="eastAsia" w:ascii="宋体" w:hAnsi="宋体"/>
          <w:kern w:val="0"/>
          <w:szCs w:val="21"/>
          <w:highlight w:val="none"/>
          <w:lang w:eastAsia="zh-CN"/>
        </w:rPr>
        <w:t>，</w:t>
      </w:r>
      <w:r>
        <w:rPr>
          <w:rFonts w:hint="eastAsia" w:ascii="宋体" w:hAnsi="宋体"/>
          <w:kern w:val="0"/>
          <w:szCs w:val="21"/>
          <w:highlight w:val="none"/>
        </w:rPr>
        <w:t>乙</w:t>
      </w:r>
      <w:r>
        <w:rPr>
          <w:rFonts w:hint="eastAsia" w:ascii="宋体" w:hAnsi="宋体"/>
          <w:kern w:val="0"/>
          <w:szCs w:val="21"/>
          <w:highlight w:val="none"/>
          <w:lang w:val="en-US" w:eastAsia="zh-CN"/>
        </w:rPr>
        <w:t>方</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lang w:eastAsia="zh-CN"/>
        </w:rPr>
        <w:t>壹</w:t>
      </w:r>
      <w:r>
        <w:rPr>
          <w:rFonts w:hint="eastAsia" w:ascii="宋体" w:hAnsi="宋体"/>
          <w:kern w:val="0"/>
          <w:szCs w:val="21"/>
          <w:highlight w:val="none"/>
        </w:rPr>
        <w:t>_份</w:t>
      </w:r>
      <w:r>
        <w:rPr>
          <w:rFonts w:hint="eastAsia" w:ascii="宋体" w:hAnsi="宋体"/>
          <w:kern w:val="0"/>
          <w:szCs w:val="21"/>
          <w:highlight w:val="none"/>
          <w:lang w:eastAsia="zh-CN"/>
        </w:rPr>
        <w:t>。</w:t>
      </w:r>
    </w:p>
    <w:tbl>
      <w:tblPr>
        <w:tblStyle w:val="8"/>
        <w:tblpPr w:leftFromText="180" w:rightFromText="180" w:vertAnchor="text" w:horzAnchor="page" w:tblpX="1742" w:tblpY="254"/>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328"/>
      </w:tblGrid>
      <w:tr w14:paraId="2656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425" w:type="dxa"/>
            <w:tcBorders>
              <w:tl2br w:val="nil"/>
              <w:tr2bl w:val="nil"/>
            </w:tcBorders>
            <w:shd w:val="clear" w:color="auto" w:fill="D8D8D8"/>
            <w:vAlign w:val="center"/>
          </w:tcPr>
          <w:p w14:paraId="66A3758E">
            <w:pPr>
              <w:spacing w:line="360" w:lineRule="auto"/>
              <w:jc w:val="center"/>
              <w:rPr>
                <w:rFonts w:hint="eastAsia" w:ascii="宋体" w:hAnsi="宋体" w:eastAsia="宋体" w:cs="宋体"/>
                <w:b/>
                <w:bCs w:val="0"/>
                <w:color w:val="000000" w:themeColor="text1"/>
                <w:sz w:val="24"/>
                <w:szCs w:val="24"/>
                <w:highlight w:val="none"/>
                <w:shd w:val="clear" w:color="FFFFFF" w:fill="D9D9D9"/>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FFFFFF" w:fill="D9D9D9"/>
                <w14:textFill>
                  <w14:solidFill>
                    <w14:schemeClr w14:val="tx1"/>
                  </w14:solidFill>
                </w14:textFill>
              </w:rPr>
              <w:t>甲  方</w:t>
            </w:r>
          </w:p>
        </w:tc>
        <w:tc>
          <w:tcPr>
            <w:tcW w:w="4328" w:type="dxa"/>
            <w:tcBorders>
              <w:tl2br w:val="nil"/>
              <w:tr2bl w:val="nil"/>
            </w:tcBorders>
            <w:shd w:val="clear" w:color="auto" w:fill="D8D8D8"/>
            <w:vAlign w:val="center"/>
          </w:tcPr>
          <w:p w14:paraId="01A0D8F5">
            <w:pPr>
              <w:spacing w:line="360" w:lineRule="auto"/>
              <w:jc w:val="center"/>
              <w:rPr>
                <w:rFonts w:hint="eastAsia" w:ascii="宋体" w:hAnsi="宋体" w:eastAsia="宋体" w:cs="宋体"/>
                <w:b/>
                <w:bCs w:val="0"/>
                <w:color w:val="000000" w:themeColor="text1"/>
                <w:sz w:val="24"/>
                <w:szCs w:val="24"/>
                <w:highlight w:val="none"/>
                <w:shd w:val="clear" w:color="FFFFFF" w:fill="D9D9D9"/>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FFFFFF" w:fill="D9D9D9"/>
                <w14:textFill>
                  <w14:solidFill>
                    <w14:schemeClr w14:val="tx1"/>
                  </w14:solidFill>
                </w14:textFill>
              </w:rPr>
              <w:t>乙  方</w:t>
            </w:r>
          </w:p>
        </w:tc>
      </w:tr>
      <w:tr w14:paraId="3EC8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4425" w:type="dxa"/>
            <w:tcBorders>
              <w:tl2br w:val="nil"/>
              <w:tr2bl w:val="nil"/>
            </w:tcBorders>
            <w:vAlign w:val="center"/>
          </w:tcPr>
          <w:p w14:paraId="35080D24">
            <w:pPr>
              <w:spacing w:line="240" w:lineRule="auto"/>
              <w:ind w:left="0" w:hanging="630" w:hangingChars="3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甲方</w:t>
            </w:r>
            <w:r>
              <w:rPr>
                <w:rFonts w:hint="eastAsia" w:ascii="宋体" w:hAnsi="宋体" w:cs="宋体"/>
                <w:color w:val="000000"/>
                <w:sz w:val="21"/>
                <w:szCs w:val="21"/>
                <w:highlight w:val="none"/>
                <w:shd w:val="clear" w:color="auto" w:fill="auto"/>
                <w:lang w:eastAsia="zh-CN"/>
              </w:rPr>
              <w:t>：</w:t>
            </w:r>
            <w:r>
              <w:rPr>
                <w:rFonts w:hint="eastAsia" w:ascii="宋体" w:hAnsi="宋体" w:cs="宋体"/>
                <w:color w:val="000000"/>
                <w:sz w:val="21"/>
                <w:szCs w:val="21"/>
                <w:highlight w:val="none"/>
                <w:shd w:val="clear" w:color="auto" w:fill="auto"/>
                <w:lang w:val="en-US" w:eastAsia="zh-CN"/>
              </w:rPr>
              <w:t xml:space="preserve">秦岭大熊猫研究中心（陕西省珍稀野生动物救护基地）  </w:t>
            </w:r>
            <w:r>
              <w:rPr>
                <w:rFonts w:hint="eastAsia" w:ascii="宋体" w:hAnsi="宋体" w:eastAsia="宋体" w:cs="宋体"/>
                <w:color w:val="000000"/>
                <w:sz w:val="21"/>
                <w:szCs w:val="21"/>
                <w:highlight w:val="none"/>
                <w:shd w:val="clear" w:color="auto" w:fill="auto"/>
              </w:rPr>
              <w:t>（公章）</w:t>
            </w:r>
          </w:p>
        </w:tc>
        <w:tc>
          <w:tcPr>
            <w:tcW w:w="4328" w:type="dxa"/>
            <w:tcBorders>
              <w:tl2br w:val="nil"/>
              <w:tr2bl w:val="nil"/>
            </w:tcBorders>
            <w:vAlign w:val="center"/>
          </w:tcPr>
          <w:p w14:paraId="4AC33D9D">
            <w:pPr>
              <w:spacing w:line="24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乙方：</w:t>
            </w:r>
            <w:r>
              <w:rPr>
                <w:rFonts w:hint="eastAsia" w:ascii="宋体" w:hAnsi="宋体" w:eastAsia="宋体" w:cs="宋体"/>
                <w:color w:val="000000"/>
                <w:sz w:val="21"/>
                <w:szCs w:val="21"/>
                <w:highlight w:val="none"/>
              </w:rPr>
              <w:t>陕西鑫珲科技有限公司</w:t>
            </w:r>
            <w:r>
              <w:rPr>
                <w:rFonts w:hint="eastAsia" w:ascii="宋体" w:hAnsi="宋体" w:cs="宋体"/>
                <w:color w:val="000000"/>
                <w:sz w:val="21"/>
                <w:szCs w:val="21"/>
                <w:highlight w:val="none"/>
              </w:rPr>
              <w:t xml:space="preserve"> </w:t>
            </w:r>
          </w:p>
          <w:p w14:paraId="0F9C04D6">
            <w:pPr>
              <w:spacing w:line="240" w:lineRule="exact"/>
              <w:ind w:firstLine="1050" w:firstLineChars="5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（公章）</w:t>
            </w:r>
          </w:p>
        </w:tc>
      </w:tr>
      <w:tr w14:paraId="2B23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exact"/>
        </w:trPr>
        <w:tc>
          <w:tcPr>
            <w:tcW w:w="4425" w:type="dxa"/>
            <w:tcBorders>
              <w:tl2br w:val="nil"/>
              <w:tr2bl w:val="nil"/>
            </w:tcBorders>
            <w:vAlign w:val="center"/>
          </w:tcPr>
          <w:p w14:paraId="05559AA2">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val="en-US" w:eastAsia="zh-CN"/>
              </w:rPr>
              <w:t>西安市周至县楼观台</w:t>
            </w:r>
          </w:p>
        </w:tc>
        <w:tc>
          <w:tcPr>
            <w:tcW w:w="4328" w:type="dxa"/>
            <w:tcBorders>
              <w:tl2br w:val="nil"/>
              <w:tr2bl w:val="nil"/>
            </w:tcBorders>
            <w:vAlign w:val="center"/>
          </w:tcPr>
          <w:p w14:paraId="5375B36C">
            <w:pPr>
              <w:pStyle w:val="2"/>
              <w:autoSpaceDE w:val="0"/>
              <w:autoSpaceDN w:val="0"/>
              <w:ind w:left="0" w:firstLine="0" w:firstLineChars="0"/>
              <w:rPr>
                <w:rFonts w:hint="eastAsia" w:asciiTheme="minorEastAsia" w:hAnsiTheme="minorEastAsia" w:eastAsiaTheme="minorEastAsia" w:cstheme="minorEastAsia"/>
                <w:sz w:val="21"/>
                <w:szCs w:val="21"/>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eastAsia="zh-CN"/>
              </w:rPr>
              <w:t>：</w:t>
            </w:r>
            <w:r>
              <w:rPr>
                <w:rFonts w:hint="eastAsia" w:asciiTheme="minorEastAsia" w:hAnsiTheme="minorEastAsia" w:eastAsiaTheme="minorEastAsia" w:cstheme="minorEastAsia"/>
                <w:sz w:val="21"/>
                <w:szCs w:val="21"/>
              </w:rPr>
              <w:t>陕西省西安市雁塔区明德门</w:t>
            </w:r>
          </w:p>
          <w:p w14:paraId="5141DBEF">
            <w:pPr>
              <w:pStyle w:val="2"/>
              <w:ind w:firstLine="630" w:firstLineChars="300"/>
              <w:rPr>
                <w:rFonts w:hint="eastAsia"/>
                <w:sz w:val="21"/>
                <w:szCs w:val="21"/>
                <w:lang w:val="en-US" w:eastAsia="zh-CN"/>
              </w:rPr>
            </w:pPr>
            <w:r>
              <w:rPr>
                <w:rFonts w:hint="eastAsia"/>
                <w:sz w:val="21"/>
                <w:szCs w:val="21"/>
                <w:lang w:val="en-US" w:eastAsia="zh-CN"/>
              </w:rPr>
              <w:t>长江沣泽园B座1610</w:t>
            </w:r>
          </w:p>
        </w:tc>
      </w:tr>
      <w:tr w14:paraId="3CD3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425" w:type="dxa"/>
            <w:tcBorders>
              <w:tl2br w:val="nil"/>
              <w:tr2bl w:val="nil"/>
            </w:tcBorders>
            <w:vAlign w:val="center"/>
          </w:tcPr>
          <w:p w14:paraId="43AAD554">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邮编：</w:t>
            </w:r>
            <w:r>
              <w:rPr>
                <w:rFonts w:hint="eastAsia" w:ascii="宋体" w:hAnsi="宋体" w:cs="宋体"/>
                <w:color w:val="000000"/>
                <w:sz w:val="21"/>
                <w:szCs w:val="21"/>
                <w:highlight w:val="none"/>
                <w:lang w:val="en-US" w:eastAsia="zh-CN"/>
              </w:rPr>
              <w:t>710402</w:t>
            </w:r>
          </w:p>
        </w:tc>
        <w:tc>
          <w:tcPr>
            <w:tcW w:w="4328" w:type="dxa"/>
            <w:tcBorders>
              <w:tl2br w:val="nil"/>
              <w:tr2bl w:val="nil"/>
            </w:tcBorders>
            <w:vAlign w:val="center"/>
          </w:tcPr>
          <w:p w14:paraId="243C8971">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邮编：71</w:t>
            </w:r>
            <w:r>
              <w:rPr>
                <w:rFonts w:hint="eastAsia" w:ascii="宋体" w:hAnsi="宋体" w:cs="宋体"/>
                <w:color w:val="000000"/>
                <w:sz w:val="21"/>
                <w:szCs w:val="21"/>
                <w:highlight w:val="none"/>
                <w:lang w:val="en-US" w:eastAsia="zh-CN"/>
              </w:rPr>
              <w:t>0065</w:t>
            </w:r>
          </w:p>
        </w:tc>
      </w:tr>
      <w:tr w14:paraId="5DC5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425" w:type="dxa"/>
            <w:tcBorders>
              <w:tl2br w:val="nil"/>
              <w:tr2bl w:val="nil"/>
            </w:tcBorders>
            <w:vAlign w:val="center"/>
          </w:tcPr>
          <w:p w14:paraId="64E6C043">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法定代表人：</w:t>
            </w:r>
            <w:r>
              <w:rPr>
                <w:rFonts w:hint="eastAsia" w:ascii="宋体" w:hAnsi="宋体" w:cs="宋体"/>
                <w:color w:val="000000"/>
                <w:sz w:val="21"/>
                <w:szCs w:val="21"/>
                <w:highlight w:val="none"/>
                <w:lang w:val="en-US" w:eastAsia="zh-CN"/>
              </w:rPr>
              <w:t>罗晓斌</w:t>
            </w:r>
          </w:p>
        </w:tc>
        <w:tc>
          <w:tcPr>
            <w:tcW w:w="4328" w:type="dxa"/>
            <w:tcBorders>
              <w:tl2br w:val="nil"/>
              <w:tr2bl w:val="nil"/>
            </w:tcBorders>
            <w:vAlign w:val="center"/>
          </w:tcPr>
          <w:p w14:paraId="46FD1508">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法定代表人：</w:t>
            </w:r>
            <w:r>
              <w:rPr>
                <w:rFonts w:hint="eastAsia" w:ascii="宋体" w:hAnsi="宋体" w:cs="宋体"/>
                <w:color w:val="000000"/>
                <w:sz w:val="21"/>
                <w:szCs w:val="21"/>
                <w:highlight w:val="none"/>
                <w:lang w:val="en-US" w:eastAsia="zh-CN"/>
              </w:rPr>
              <w:t>韩月仙</w:t>
            </w:r>
          </w:p>
        </w:tc>
      </w:tr>
      <w:tr w14:paraId="149E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425" w:type="dxa"/>
            <w:tcBorders>
              <w:tl2br w:val="nil"/>
              <w:tr2bl w:val="nil"/>
            </w:tcBorders>
            <w:vAlign w:val="center"/>
          </w:tcPr>
          <w:p w14:paraId="2603EE36">
            <w:pPr>
              <w:spacing w:line="36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委托代理</w:t>
            </w:r>
            <w:r>
              <w:rPr>
                <w:rFonts w:hint="eastAsia" w:ascii="宋体" w:hAnsi="宋体" w:eastAsia="宋体" w:cs="宋体"/>
                <w:color w:val="000000"/>
                <w:sz w:val="21"/>
                <w:szCs w:val="21"/>
                <w:highlight w:val="none"/>
              </w:rPr>
              <w:t>人：（签字）</w:t>
            </w:r>
          </w:p>
        </w:tc>
        <w:tc>
          <w:tcPr>
            <w:tcW w:w="4328" w:type="dxa"/>
            <w:tcBorders>
              <w:tl2br w:val="nil"/>
              <w:tr2bl w:val="nil"/>
            </w:tcBorders>
            <w:vAlign w:val="center"/>
          </w:tcPr>
          <w:p w14:paraId="037B4863">
            <w:pPr>
              <w:spacing w:line="36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委托代理</w:t>
            </w:r>
            <w:r>
              <w:rPr>
                <w:rFonts w:hint="eastAsia" w:ascii="宋体" w:hAnsi="宋体" w:eastAsia="宋体" w:cs="宋体"/>
                <w:color w:val="000000"/>
                <w:sz w:val="21"/>
                <w:szCs w:val="21"/>
                <w:highlight w:val="none"/>
              </w:rPr>
              <w:t>人：（签字）</w:t>
            </w:r>
          </w:p>
        </w:tc>
      </w:tr>
      <w:tr w14:paraId="540B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425" w:type="dxa"/>
            <w:tcBorders>
              <w:tl2br w:val="nil"/>
              <w:tr2bl w:val="nil"/>
            </w:tcBorders>
            <w:vAlign w:val="center"/>
          </w:tcPr>
          <w:p w14:paraId="3402564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   029-85180155</w:t>
            </w:r>
          </w:p>
        </w:tc>
        <w:tc>
          <w:tcPr>
            <w:tcW w:w="4328" w:type="dxa"/>
            <w:tcBorders>
              <w:tl2br w:val="nil"/>
              <w:tr2bl w:val="nil"/>
            </w:tcBorders>
            <w:vAlign w:val="center"/>
          </w:tcPr>
          <w:p w14:paraId="3D0487D8">
            <w:pPr>
              <w:autoSpaceDE/>
              <w:autoSpaceDN/>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val="en-US" w:eastAsia="zh-CN"/>
              </w:rPr>
              <w:t>18629568877</w:t>
            </w:r>
          </w:p>
        </w:tc>
      </w:tr>
      <w:tr w14:paraId="7DEF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425" w:type="dxa"/>
            <w:tcBorders>
              <w:tl2br w:val="nil"/>
              <w:tr2bl w:val="nil"/>
            </w:tcBorders>
            <w:vAlign w:val="center"/>
          </w:tcPr>
          <w:p w14:paraId="41F47F4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开户银行：中国农业银行周至县支行</w:t>
            </w:r>
          </w:p>
        </w:tc>
        <w:tc>
          <w:tcPr>
            <w:tcW w:w="4328" w:type="dxa"/>
            <w:tcBorders>
              <w:tl2br w:val="nil"/>
              <w:tr2bl w:val="nil"/>
            </w:tcBorders>
            <w:vAlign w:val="center"/>
          </w:tcPr>
          <w:p w14:paraId="5E3D7D6D">
            <w:pPr>
              <w:spacing w:line="240" w:lineRule="auto"/>
              <w:ind w:left="1050" w:leftChars="0" w:hanging="1050" w:hangingChars="5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开户银行：</w:t>
            </w:r>
            <w:r>
              <w:rPr>
                <w:rFonts w:hint="eastAsia" w:ascii="宋体" w:hAnsi="宋体"/>
                <w:sz w:val="21"/>
                <w:szCs w:val="21"/>
                <w:highlight w:val="none"/>
                <w:lang w:eastAsia="zh-CN"/>
              </w:rPr>
              <w:t>中</w:t>
            </w:r>
            <w:r>
              <w:rPr>
                <w:rFonts w:hint="eastAsia" w:asciiTheme="minorEastAsia" w:hAnsiTheme="minorEastAsia" w:eastAsiaTheme="minorEastAsia" w:cstheme="minorEastAsia"/>
                <w:sz w:val="21"/>
                <w:szCs w:val="21"/>
              </w:rPr>
              <w:t>国民生银行西安枫林绿洲支行</w:t>
            </w:r>
          </w:p>
        </w:tc>
      </w:tr>
      <w:tr w14:paraId="4A26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425" w:type="dxa"/>
            <w:tcBorders>
              <w:tl2br w:val="nil"/>
              <w:tr2bl w:val="nil"/>
            </w:tcBorders>
            <w:vAlign w:val="center"/>
          </w:tcPr>
          <w:p w14:paraId="6B7CE220">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账号：26165701040012878</w:t>
            </w:r>
          </w:p>
        </w:tc>
        <w:tc>
          <w:tcPr>
            <w:tcW w:w="4328" w:type="dxa"/>
            <w:tcBorders>
              <w:tl2br w:val="nil"/>
              <w:tr2bl w:val="nil"/>
            </w:tcBorders>
            <w:vAlign w:val="center"/>
          </w:tcPr>
          <w:p w14:paraId="64893C3D">
            <w:pPr>
              <w:autoSpaceDE w:val="0"/>
              <w:autoSpaceDN w:val="0"/>
              <w:spacing w:line="440" w:lineRule="exact"/>
              <w:rPr>
                <w:rFonts w:hint="default" w:ascii="宋体" w:hAnsi="宋体" w:cs="宋体" w:eastAsiaTheme="minorEastAsia"/>
                <w:color w:val="000000"/>
                <w:sz w:val="21"/>
                <w:szCs w:val="21"/>
                <w:highlight w:val="none"/>
                <w:lang w:val="en-US" w:eastAsia="zh-CN"/>
              </w:rPr>
            </w:pPr>
            <w:r>
              <w:rPr>
                <w:rFonts w:hint="eastAsia" w:ascii="宋体" w:hAnsi="宋体" w:eastAsia="宋体" w:cs="宋体"/>
                <w:color w:val="000000"/>
                <w:sz w:val="21"/>
                <w:szCs w:val="21"/>
                <w:highlight w:val="none"/>
              </w:rPr>
              <w:t>账号：</w:t>
            </w:r>
            <w:r>
              <w:rPr>
                <w:rFonts w:hint="eastAsia" w:asciiTheme="minorEastAsia" w:hAnsiTheme="minorEastAsia" w:eastAsiaTheme="minorEastAsia" w:cstheme="minorEastAsia"/>
                <w:sz w:val="21"/>
                <w:szCs w:val="21"/>
                <w:lang w:val="en-US" w:eastAsia="zh-CN"/>
              </w:rPr>
              <w:t>645911283</w:t>
            </w:r>
            <w:bookmarkStart w:id="13" w:name="_GoBack"/>
            <w:bookmarkEnd w:id="13"/>
          </w:p>
        </w:tc>
      </w:tr>
      <w:tr w14:paraId="50A6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4425" w:type="dxa"/>
            <w:tcBorders>
              <w:tl2br w:val="nil"/>
              <w:tr2bl w:val="nil"/>
            </w:tcBorders>
            <w:vAlign w:val="center"/>
          </w:tcPr>
          <w:p w14:paraId="2DAFCC9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日期：  </w:t>
            </w:r>
            <w:r>
              <w:rPr>
                <w:rFonts w:hint="eastAsia" w:ascii="宋体" w:hAnsi="宋体" w:cs="宋体"/>
                <w:color w:val="000000"/>
                <w:sz w:val="21"/>
                <w:szCs w:val="21"/>
                <w:highlight w:val="none"/>
                <w:lang w:val="en-US" w:eastAsia="zh-CN"/>
              </w:rPr>
              <w:t>2025</w:t>
            </w:r>
            <w:r>
              <w:rPr>
                <w:rFonts w:hint="eastAsia" w:ascii="宋体" w:hAnsi="宋体" w:eastAsia="宋体" w:cs="宋体"/>
                <w:color w:val="000000"/>
                <w:sz w:val="21"/>
                <w:szCs w:val="21"/>
                <w:highlight w:val="none"/>
              </w:rPr>
              <w:t xml:space="preserve"> 年</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w:t>
            </w:r>
          </w:p>
        </w:tc>
        <w:tc>
          <w:tcPr>
            <w:tcW w:w="4328" w:type="dxa"/>
            <w:tcBorders>
              <w:tl2br w:val="nil"/>
              <w:tr2bl w:val="nil"/>
            </w:tcBorders>
            <w:vAlign w:val="center"/>
          </w:tcPr>
          <w:p w14:paraId="3E8FBC7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日期： </w:t>
            </w:r>
            <w:r>
              <w:rPr>
                <w:rFonts w:hint="eastAsia" w:ascii="宋体" w:hAnsi="宋体" w:cs="宋体"/>
                <w:color w:val="000000"/>
                <w:sz w:val="21"/>
                <w:szCs w:val="21"/>
                <w:highlight w:val="none"/>
                <w:lang w:val="en-US" w:eastAsia="zh-CN"/>
              </w:rPr>
              <w:t>2025</w:t>
            </w:r>
            <w:r>
              <w:rPr>
                <w:rFonts w:hint="eastAsia" w:ascii="宋体" w:hAnsi="宋体" w:eastAsia="宋体" w:cs="宋体"/>
                <w:color w:val="000000"/>
                <w:sz w:val="21"/>
                <w:szCs w:val="21"/>
                <w:highlight w:val="none"/>
              </w:rPr>
              <w:t xml:space="preserve"> 年</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月</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w:t>
            </w:r>
          </w:p>
        </w:tc>
      </w:tr>
    </w:tbl>
    <w:p w14:paraId="40592765">
      <w:pPr>
        <w:pStyle w:val="2"/>
        <w:spacing w:line="20" w:lineRule="exact"/>
        <w:ind w:left="0" w:leftChars="0" w:firstLine="0" w:firstLineChars="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453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7F92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B7F92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8890C"/>
    <w:multiLevelType w:val="singleLevel"/>
    <w:tmpl w:val="11A889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Yzc2N2I5YTQ4MzhiNTg5NjhiZjM3YzA3ZWU2OGYifQ=="/>
  </w:docVars>
  <w:rsids>
    <w:rsidRoot w:val="00000000"/>
    <w:rsid w:val="01EC20E2"/>
    <w:rsid w:val="03D64DF8"/>
    <w:rsid w:val="04F81A6C"/>
    <w:rsid w:val="06881C50"/>
    <w:rsid w:val="0935611C"/>
    <w:rsid w:val="09B55C05"/>
    <w:rsid w:val="0C181998"/>
    <w:rsid w:val="0C2B2187"/>
    <w:rsid w:val="0DF8514A"/>
    <w:rsid w:val="0EA650D7"/>
    <w:rsid w:val="0ECF68B1"/>
    <w:rsid w:val="0EF32D02"/>
    <w:rsid w:val="0FB81BA8"/>
    <w:rsid w:val="11CE710E"/>
    <w:rsid w:val="130C4392"/>
    <w:rsid w:val="147A17CF"/>
    <w:rsid w:val="15322321"/>
    <w:rsid w:val="153B0F5F"/>
    <w:rsid w:val="15CF7A00"/>
    <w:rsid w:val="166E7112"/>
    <w:rsid w:val="178766DD"/>
    <w:rsid w:val="19EA6AAF"/>
    <w:rsid w:val="1C4A1A87"/>
    <w:rsid w:val="1C4F4C77"/>
    <w:rsid w:val="20FC6435"/>
    <w:rsid w:val="22EE13BE"/>
    <w:rsid w:val="23BF5E61"/>
    <w:rsid w:val="296F294F"/>
    <w:rsid w:val="2AEA2A35"/>
    <w:rsid w:val="2B783D27"/>
    <w:rsid w:val="2FE63763"/>
    <w:rsid w:val="38FB262F"/>
    <w:rsid w:val="3A044809"/>
    <w:rsid w:val="3AD508F3"/>
    <w:rsid w:val="3D956B7F"/>
    <w:rsid w:val="3FB64E02"/>
    <w:rsid w:val="412907A1"/>
    <w:rsid w:val="41D710AA"/>
    <w:rsid w:val="432A399E"/>
    <w:rsid w:val="46204D7C"/>
    <w:rsid w:val="462645DC"/>
    <w:rsid w:val="47637D1D"/>
    <w:rsid w:val="48B93E8D"/>
    <w:rsid w:val="490C343D"/>
    <w:rsid w:val="4A152119"/>
    <w:rsid w:val="4A34774F"/>
    <w:rsid w:val="4A6A13C3"/>
    <w:rsid w:val="4CE511D4"/>
    <w:rsid w:val="4EF836EE"/>
    <w:rsid w:val="4FC60739"/>
    <w:rsid w:val="509D0049"/>
    <w:rsid w:val="50CE4F6B"/>
    <w:rsid w:val="50D15CF8"/>
    <w:rsid w:val="530B5EA3"/>
    <w:rsid w:val="56814800"/>
    <w:rsid w:val="56C34335"/>
    <w:rsid w:val="573B29D0"/>
    <w:rsid w:val="59A815C0"/>
    <w:rsid w:val="5D3B3D06"/>
    <w:rsid w:val="64BB664B"/>
    <w:rsid w:val="67691C69"/>
    <w:rsid w:val="68721DCD"/>
    <w:rsid w:val="6932430A"/>
    <w:rsid w:val="69DF4B8A"/>
    <w:rsid w:val="69F10D61"/>
    <w:rsid w:val="6B3063EA"/>
    <w:rsid w:val="6B5E5F82"/>
    <w:rsid w:val="726879D6"/>
    <w:rsid w:val="73A0600D"/>
    <w:rsid w:val="74F160B9"/>
    <w:rsid w:val="751C23B4"/>
    <w:rsid w:val="76D17279"/>
    <w:rsid w:val="7D7D498E"/>
    <w:rsid w:val="7DAC5273"/>
    <w:rsid w:val="7E4D25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2"/>
    <w:qFormat/>
    <w:uiPriority w:val="0"/>
    <w:pPr>
      <w:keepNext/>
      <w:keepLines/>
      <w:spacing w:before="260" w:after="260" w:line="500" w:lineRule="exact"/>
      <w:outlineLvl w:val="1"/>
    </w:pPr>
    <w:rPr>
      <w:rFonts w:ascii="Arial" w:hAnsi="Arial" w:eastAsia="黑体"/>
      <w:b/>
      <w:sz w:val="28"/>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next w:val="1"/>
    <w:unhideWhenUsed/>
    <w:qFormat/>
    <w:uiPriority w:val="99"/>
    <w:rPr>
      <w:b/>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样式 首行缩进:  2 字符"/>
    <w:basedOn w:val="1"/>
    <w:qFormat/>
    <w:uiPriority w:val="0"/>
    <w:pPr>
      <w:spacing w:line="400" w:lineRule="exact"/>
      <w:ind w:firstLine="200" w:firstLineChars="200"/>
    </w:pPr>
    <w:rPr>
      <w:rFonts w:cs="宋体"/>
      <w:sz w:val="24"/>
    </w:rPr>
  </w:style>
  <w:style w:type="paragraph" w:customStyle="1" w:styleId="13">
    <w:name w:val="列表段落1"/>
    <w:basedOn w:val="1"/>
    <w:qFormat/>
    <w:uiPriority w:val="99"/>
    <w:pPr>
      <w:ind w:firstLine="420" w:firstLineChars="200"/>
    </w:p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3846</Words>
  <Characters>4503</Characters>
  <Lines>0</Lines>
  <Paragraphs>0</Paragraphs>
  <TotalTime>23</TotalTime>
  <ScaleCrop>false</ScaleCrop>
  <LinksUpToDate>false</LinksUpToDate>
  <CharactersWithSpaces>4720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2023-10-30T06:16:00Z</dcterms:created>
  <dc:creator>Administrator</dc:creator>
  <cp:lastModifiedBy>柠檬</cp:lastModifiedBy>
  <cp:lastPrinted>2025-11-10T03:31:00Z</cp:lastPrinted>
  <dcterms:modified xsi:type="dcterms:W3CDTF">2025-11-27T09:27:13Z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1A385ADF9824473290D863FDA3798905_13</vt:lpwstr>
  </property>
  <property fmtid="{D5CDD505-2E9C-101B-9397-08002B2CF9AE}" pid="4" name="KSOTemplateDocerSaveRecord">
    <vt:lpwstr>eyJoZGlkIjoiZDg4MzU1NTMzY2M1ZDUxZTg0MTBlNGIwMTA5Y2E0YjgiLCJ1c2VySWQiOiIxNzQzMjk5MjEwIn0=</vt:lpwstr>
  </property>
</Properties>
</file>