
<file path=[Content_Types].xml><?xml version="1.0" encoding="utf-8"?>
<Types xmlns="http://schemas.openxmlformats.org/package/2006/content-types">
  <Default Extension="rels" ContentType="application/vnd.openxmlformats-package.relationships+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yes"?>
<Relationships xmlns="http://schemas.openxmlformats.org/package/2006/relationships">
    <Relationship Target="word/document.xml" Type="http://schemas.openxmlformats.org/officeDocument/2006/relationships/officeDocument" Id="rId1"/>
    <Relationship Target="docProps/core.xml" Type="http://schemas.openxmlformats.org/package/2006/relationships/metadata/core-properties" Id="rId2"/>
    <Relationship Target="docProps/app.xml" Type="http://schemas.openxmlformats.org/officeDocument/2006/relationships/extended-properties" Id="rId3"/>
</Relationships>

</file>

<file path=word/document.xml><?xml version="1.0" encoding="utf-8"?>
<w:document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v="urn:schemas-microsoft-com:vml" xmlns:o="urn:schemas-microsoft-com:office:office"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body>
    <!-- Created by docx4j 8.3.11 (Apache licensed) using REFERENCE JAXB in Amazon.com Inc. Java 1.8.0_442 on Linux -->
    <w:p>
      <w:pPr>
        <w:spacing w:before="180" w:after="180"/>
        <w:ind w:left="120"/>
        <w:jc w:val="center"/>
      </w:pPr>
      <w:r>
        <w:rPr>
          <w:rFonts w:ascii="Times New Roman" w:hAnsi="Times New Roman"/>
          <w:b/>
          <w:i w:val="false"/>
          <w:color w:val="000000"/>
          <w:sz w:val="33"/>
        </w:rPr>
        <w:t>陕西省政府采购框架协议直接选定合同</w:t>
      </w:r>
    </w:p>
    <w:p>
      <w:pPr>
        <w:spacing w:before="269" w:after="269"/>
        <w:ind w:left="120"/>
        <w:jc w:val="left"/>
      </w:pPr>
    </w:p>
    <w:p>
      <w:pPr>
        <w:spacing w:before="269" w:after="269"/>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框架协议编号：</w:t>
      </w:r>
      <w:r>
        <w:rPr>
          <w:rFonts w:ascii="Times New Roman" w:hAnsi="Times New Roman"/>
          <w:b w:val="false"/>
          <w:i w:val="false"/>
          <w:color w:val="000000"/>
          <w:sz w:val="22"/>
        </w:rPr>
        <w:t xml:space="preserve">KJXY-610401-20241230-000001 </w:t>
      </w:r>
    </w:p>
    <w:p>
      <w:pPr>
        <w:spacing w:before="269" w:after="269"/>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征集人：</w:t>
      </w:r>
      <w:r>
        <w:rPr>
          <w:rFonts w:ascii="Times New Roman" w:hAnsi="Times New Roman"/>
          <w:b w:val="false"/>
          <w:i w:val="false"/>
          <w:color w:val="000000"/>
          <w:sz w:val="22"/>
        </w:rPr>
        <w:t xml:space="preserve">咸阳市政府采购中心 </w:t>
      </w:r>
    </w:p>
    <w:p>
      <w:pPr>
        <w:spacing w:before="269" w:after="269"/>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合同名称：</w:t>
      </w:r>
      <w:r>
        <w:rPr>
          <w:rFonts w:ascii="Times New Roman" w:hAnsi="Times New Roman"/>
          <w:b w:val="false"/>
          <w:i w:val="false"/>
          <w:color w:val="000000"/>
          <w:sz w:val="22"/>
        </w:rPr>
        <w:t xml:space="preserve">咸阳市人力资源和社会保障局车辆维修和保养服务直接选定采购合同 </w:t>
      </w:r>
    </w:p>
    <w:p>
      <w:pPr>
        <w:spacing w:before="269" w:after="269"/>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合同编号：</w:t>
      </w:r>
      <w:r>
        <w:rPr>
          <w:rFonts w:ascii="Times New Roman" w:hAnsi="Times New Roman"/>
          <w:b w:val="false"/>
          <w:i w:val="false"/>
          <w:color w:val="000000"/>
          <w:sz w:val="22"/>
        </w:rPr>
        <w:t xml:space="preserve">KJXY-咸阳市-2025-HT019357 </w:t>
      </w:r>
    </w:p>
    <w:p>
      <w:pPr>
        <w:spacing w:before="269" w:after="269"/>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甲方：</w:t>
      </w:r>
      <w:r>
        <w:rPr>
          <w:rFonts w:ascii="Times New Roman" w:hAnsi="Times New Roman"/>
          <w:b w:val="false"/>
          <w:i w:val="false"/>
          <w:color w:val="000000"/>
          <w:sz w:val="22"/>
        </w:rPr>
        <w:t xml:space="preserve">咸阳市人力资源和社会保障局 </w:t>
      </w:r>
    </w:p>
    <w:p>
      <w:pPr>
        <w:spacing w:before="269" w:after="269"/>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乙方：</w:t>
      </w:r>
      <w:r>
        <w:rPr>
          <w:rFonts w:ascii="Times New Roman" w:hAnsi="Times New Roman"/>
          <w:b w:val="false"/>
          <w:i w:val="false"/>
          <w:color w:val="000000"/>
          <w:sz w:val="22"/>
        </w:rPr>
        <w:t xml:space="preserve">咸阳胜通宏海汽车服务有限公司 </w:t>
      </w:r>
    </w:p>
    <w:p>
      <w:pPr>
        <w:spacing w:before="269" w:after="269"/>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合同金额(元)：</w:t>
      </w:r>
      <w:r>
        <w:rPr>
          <w:rFonts w:ascii="Times New Roman" w:hAnsi="Times New Roman"/>
          <w:b w:val="false"/>
          <w:i w:val="false"/>
          <w:color w:val="000000"/>
          <w:sz w:val="22"/>
        </w:rPr>
        <w:t xml:space="preserve">1366.20 </w:t>
      </w:r>
    </w:p>
    <w:p>
      <w:pPr>
        <w:spacing w:before="269" w:after="269"/>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人民币大写：</w:t>
      </w:r>
      <w:r>
        <w:rPr>
          <w:rFonts w:ascii="Times New Roman" w:hAnsi="Times New Roman"/>
          <w:b w:val="false"/>
          <w:i w:val="false"/>
          <w:color w:val="000000"/>
          <w:sz w:val="22"/>
        </w:rPr>
        <w:t xml:space="preserve">壹仟叁佰陆拾陆元贰角 </w:t>
      </w:r>
    </w:p>
    <w:p>
      <w:pPr>
        <w:spacing w:before="269" w:after="269"/>
        <w:ind w:left="120"/>
        <w:jc w:val="left"/>
      </w:pPr>
      <w:r>
        <w:rPr>
          <w:rFonts w:ascii="Times New Roman" w:hAnsi="Times New Roman"/>
          <w:b w:val="false"/>
          <w:i w:val="false"/>
          <w:color w:val="000000"/>
          <w:sz w:val="22"/>
        </w:rPr>
        <w:t xml:space="preserve"> 经甲乙双方达成一致，根据《中华人民共和国政府采购法》《中华人民共和国民法典》等相关法律、法规的规定以及《政府采购框架协议采购方式管理暂行办法》签订本合同，并共同遵守。 </w:t>
      </w:r>
    </w:p>
    <w:p>
      <w:pPr>
        <w:spacing w:before="269" w:after="269"/>
        <w:ind w:left="120"/>
        <w:jc w:val="left"/>
      </w:pPr>
    </w:p>
    <w:p>
      <w:pPr>
        <w:spacing w:before="269" w:after="269"/>
        <w:ind w:left="120"/>
        <w:jc w:val="left"/>
      </w:pPr>
      <w:r>
        <w:rPr>
          <w:rFonts w:ascii="Times New Roman" w:hAnsi="Times New Roman"/>
          <w:b/>
          <w:i w:val="false"/>
          <w:color w:val="000000"/>
          <w:sz w:val="22"/>
        </w:rPr>
        <w:t xml:space="preserve"> </w:t>
      </w:r>
      <w:r>
        <w:rPr>
          <w:rFonts w:ascii="Times New Roman" w:hAnsi="Times New Roman"/>
          <w:b/>
          <w:i w:val="false"/>
          <w:color w:val="000000"/>
          <w:sz w:val="22"/>
        </w:rPr>
        <w:t>一、合同标的</w:t>
      </w:r>
      <w:r>
        <w:rPr>
          <w:rFonts w:ascii="Times New Roman" w:hAnsi="Times New Roman"/>
          <w:b/>
          <w:i w:val="false"/>
          <w:color w:val="000000"/>
          <w:sz w:val="22"/>
        </w:rPr>
        <w:t xml:space="preserve"> </w:t>
      </w:r>
    </w:p>
    <w:tbl>
      <w:tblPr>
        <w:tblW w:w="0" w:type="auto"/>
        <w:tblCellSpacing w:w="0" w:type="auto"/>
        <w:tblInd w:w="115" w:type="dxa"/>
        <w:tblBorders>
          <w:top w:val="single" w:color="000000" w:sz="8"/>
          <w:left w:val="single" w:color="000000" w:sz="8"/>
          <w:bottom w:val="single" w:color="000000" w:sz="8"/>
          <w:right w:val="single" w:color="000000" w:sz="8"/>
          <w:insideH w:val="none"/>
          <w:insideV w:val="none"/>
        </w:tblBorders>
      </w:tblPr>
      <w:tblGrid>
        <w:gridCol w:w="220"/>
        <w:gridCol w:w="2683"/>
        <w:gridCol w:w="1338"/>
        <w:gridCol w:w="1340"/>
        <w:gridCol w:w="2690"/>
        <w:gridCol w:w="2691"/>
        <w:gridCol w:w="2672"/>
      </w:tblGrid>
      <w:tr>
        <w:trPr>
          <w:trHeight w:val="585" w:hRule="atLeast"/>
        </w:trPr>
        <w:tc>
          <w:tcPr>
            <w:tcW w:w="220" w:type="dxa"/>
            <w:tcBorders>
              <w:top w:val="outset" w:color="000000" w:sz="8"/>
              <w:left w:val="outset" w:color="000000" w:sz="8"/>
              <w:bottom w:val="outset" w:color="000000" w:sz="8"/>
              <w:right w:val="outset" w:color="000000" w:sz="8"/>
            </w:tcBorders>
            <w:tcMar>
              <w:top w:w="15" w:type="dxa"/>
              <w:left w:w="15" w:type="dxa"/>
              <w:bottom w:w="15" w:type="dxa"/>
              <w:right w:w="15" w:type="dxa"/>
            </w:tcMar>
            <w:vAlign w:val="center"/>
          </w:tcPr>
          <w:p>
            <w:pPr>
              <w:spacing w:before="0" w:after="0"/>
              <w:ind w:left="0"/>
              <w:jc w:val="center"/>
            </w:pPr>
            <w:r>
              <w:rPr>
                <w:b/>
                <w:i w:val="false"/>
                <w:color w:val="000000"/>
                <w:sz w:val="24"/>
              </w:rPr>
              <w:t>序号</w:t>
            </w:r>
          </w:p>
        </w:tc>
        <w:tc>
          <w:tcPr>
            <w:tcW w:w="2683" w:type="dxa"/>
            <w:tcBorders>
              <w:top w:val="outset" w:color="000000" w:sz="8"/>
              <w:left w:val="outset" w:color="000000" w:sz="8"/>
              <w:bottom w:val="outset" w:color="000000" w:sz="8"/>
              <w:right w:val="outset" w:color="000000" w:sz="8"/>
            </w:tcBorders>
            <w:tcMar>
              <w:top w:w="15" w:type="dxa"/>
              <w:left w:w="15" w:type="dxa"/>
              <w:bottom w:w="15" w:type="dxa"/>
              <w:right w:w="15" w:type="dxa"/>
            </w:tcMar>
            <w:vAlign w:val="center"/>
          </w:tcPr>
          <w:p>
            <w:pPr>
              <w:spacing w:before="0" w:after="0"/>
              <w:ind w:left="0"/>
              <w:jc w:val="center"/>
            </w:pPr>
            <w:r>
              <w:rPr>
                <w:b/>
                <w:i w:val="false"/>
                <w:color w:val="000000"/>
                <w:sz w:val="24"/>
              </w:rPr>
              <w:t>服务名称</w:t>
            </w:r>
          </w:p>
        </w:tc>
        <w:tc>
          <w:tcPr>
            <w:tcW w:w="1338" w:type="dxa"/>
            <w:tcBorders>
              <w:top w:val="outset" w:color="000000" w:sz="8"/>
              <w:left w:val="outset" w:color="000000" w:sz="8"/>
              <w:bottom w:val="outset" w:color="000000" w:sz="8"/>
              <w:right w:val="outset" w:color="000000" w:sz="8"/>
            </w:tcBorders>
            <w:tcMar>
              <w:top w:w="15" w:type="dxa"/>
              <w:left w:w="15" w:type="dxa"/>
              <w:bottom w:w="15" w:type="dxa"/>
              <w:right w:w="15" w:type="dxa"/>
            </w:tcMar>
            <w:vAlign w:val="center"/>
          </w:tcPr>
          <w:p>
            <w:pPr>
              <w:spacing w:before="0" w:after="0"/>
              <w:ind w:left="0"/>
              <w:jc w:val="center"/>
            </w:pPr>
            <w:r>
              <w:rPr>
                <w:b/>
                <w:i w:val="false"/>
                <w:color w:val="000000"/>
                <w:sz w:val="24"/>
              </w:rPr>
              <w:t>数量</w:t>
            </w:r>
          </w:p>
        </w:tc>
        <w:tc>
          <w:tcPr>
            <w:tcW w:w="1340" w:type="dxa"/>
            <w:tcBorders>
              <w:top w:val="outset" w:color="000000" w:sz="8"/>
              <w:left w:val="outset" w:color="000000" w:sz="8"/>
              <w:bottom w:val="outset" w:color="000000" w:sz="8"/>
              <w:right w:val="outset" w:color="000000" w:sz="8"/>
            </w:tcBorders>
            <w:tcMar>
              <w:top w:w="15" w:type="dxa"/>
              <w:left w:w="15" w:type="dxa"/>
              <w:bottom w:w="15" w:type="dxa"/>
              <w:right w:w="15" w:type="dxa"/>
            </w:tcMar>
            <w:vAlign w:val="center"/>
          </w:tcPr>
          <w:p>
            <w:pPr>
              <w:spacing w:before="0" w:after="0"/>
              <w:ind w:left="0"/>
              <w:jc w:val="center"/>
            </w:pPr>
            <w:r>
              <w:rPr>
                <w:b/>
                <w:i w:val="false"/>
                <w:color w:val="000000"/>
                <w:sz w:val="24"/>
              </w:rPr>
              <w:t>计价单位</w:t>
            </w:r>
          </w:p>
        </w:tc>
        <w:tc>
          <w:tcPr>
            <w:tcW w:w="2690" w:type="dxa"/>
            <w:tcBorders>
              <w:top w:val="outset" w:color="000000" w:sz="8"/>
              <w:left w:val="outset" w:color="000000" w:sz="8"/>
              <w:bottom w:val="outset" w:color="000000" w:sz="8"/>
              <w:right w:val="outset" w:color="000000" w:sz="8"/>
            </w:tcBorders>
            <w:tcMar>
              <w:top w:w="15" w:type="dxa"/>
              <w:left w:w="15" w:type="dxa"/>
              <w:bottom w:w="15" w:type="dxa"/>
              <w:right w:w="15" w:type="dxa"/>
            </w:tcMar>
            <w:vAlign w:val="center"/>
          </w:tcPr>
          <w:p>
            <w:pPr>
              <w:spacing w:before="0" w:after="0"/>
              <w:ind w:left="0"/>
              <w:jc w:val="center"/>
            </w:pPr>
            <w:r>
              <w:rPr>
                <w:b/>
                <w:i w:val="false"/>
                <w:color w:val="000000"/>
                <w:sz w:val="24"/>
              </w:rPr>
              <w:t>报价单价</w:t>
            </w:r>
          </w:p>
        </w:tc>
        <w:tc>
          <w:tcPr>
            <w:tcW w:w="2691" w:type="dxa"/>
            <w:tcBorders>
              <w:top w:val="outset" w:color="000000" w:sz="8"/>
              <w:left w:val="outset" w:color="000000" w:sz="8"/>
              <w:bottom w:val="outset" w:color="000000" w:sz="8"/>
              <w:right w:val="outset" w:color="000000" w:sz="8"/>
            </w:tcBorders>
            <w:tcMar>
              <w:top w:w="15" w:type="dxa"/>
              <w:left w:w="15" w:type="dxa"/>
              <w:bottom w:w="15" w:type="dxa"/>
              <w:right w:w="15" w:type="dxa"/>
            </w:tcMar>
            <w:vAlign w:val="center"/>
          </w:tcPr>
          <w:p>
            <w:pPr>
              <w:spacing w:before="0" w:after="0"/>
              <w:ind w:left="0"/>
              <w:jc w:val="center"/>
            </w:pPr>
            <w:r>
              <w:rPr>
                <w:b/>
                <w:i w:val="false"/>
                <w:color w:val="000000"/>
                <w:sz w:val="24"/>
              </w:rPr>
              <w:t>金额</w:t>
            </w:r>
          </w:p>
        </w:tc>
        <w:tc>
          <w:tcPr>
            <w:tcW w:w="2672" w:type="dxa"/>
            <w:tcBorders>
              <w:top w:val="outset" w:color="000000" w:sz="8"/>
              <w:left w:val="outset" w:color="000000" w:sz="8"/>
              <w:bottom w:val="outset" w:color="000000" w:sz="8"/>
              <w:right w:val="outset" w:color="000000" w:sz="8"/>
            </w:tcBorders>
            <w:tcMar>
              <w:top w:w="15" w:type="dxa"/>
              <w:left w:w="15" w:type="dxa"/>
              <w:bottom w:w="15" w:type="dxa"/>
              <w:right w:w="15" w:type="dxa"/>
            </w:tcMar>
            <w:vAlign w:val="center"/>
          </w:tcPr>
          <w:p>
            <w:pPr>
              <w:spacing w:before="0" w:after="0"/>
              <w:ind w:left="0"/>
              <w:jc w:val="center"/>
            </w:pPr>
            <w:r>
              <w:rPr>
                <w:b/>
                <w:i w:val="false"/>
                <w:color w:val="000000"/>
                <w:sz w:val="24"/>
              </w:rPr>
              <w:t>备注</w:t>
            </w:r>
          </w:p>
        </w:tc>
      </w:tr>
      <w:tr>
        <w:trPr>
          <w:trHeight w:val="570" w:hRule="atLeast"/>
        </w:trPr>
        <w:tc>
          <w:tcPr>
            <w:tcW w:w="220" w:type="dxa"/>
            <w:tcBorders>
              <w:top w:val="outset" w:color="000000" w:sz="8"/>
              <w:left w:val="outset" w:color="000000" w:sz="8"/>
              <w:bottom w:val="outset" w:color="000000" w:sz="8"/>
              <w:right w:val="outset" w:color="000000" w:sz="8"/>
            </w:tcBorders>
            <w:tcMar>
              <w:top w:w="15" w:type="dxa"/>
              <w:left w:w="15" w:type="dxa"/>
              <w:bottom w:w="15" w:type="dxa"/>
              <w:right w:w="15" w:type="dxa"/>
            </w:tcMar>
            <w:vAlign w:val="center"/>
          </w:tcPr>
          <w:p>
            <w:pPr>
              <w:spacing w:before="0" w:after="0"/>
              <w:ind w:left="0"/>
              <w:jc w:val="left"/>
            </w:pPr>
            <w:r>
              <w:rPr>
                <w:b w:val="false"/>
                <w:i w:val="false"/>
                <w:color w:val="000000"/>
                <w:sz w:val="24"/>
              </w:rPr>
              <w:t>1</w:t>
            </w:r>
          </w:p>
        </w:tc>
        <w:tc>
          <w:tcPr>
            <w:tcW w:w="2683" w:type="dxa"/>
            <w:tcBorders>
              <w:top w:val="outset" w:color="000000" w:sz="8"/>
              <w:left w:val="outset" w:color="000000" w:sz="8"/>
              <w:bottom w:val="outset" w:color="000000" w:sz="8"/>
              <w:right w:val="outset" w:color="000000" w:sz="8"/>
            </w:tcBorders>
            <w:tcMar>
              <w:top w:w="15" w:type="dxa"/>
              <w:left w:w="15" w:type="dxa"/>
              <w:bottom w:w="15" w:type="dxa"/>
              <w:right w:w="15" w:type="dxa"/>
            </w:tcMar>
            <w:vAlign w:val="center"/>
          </w:tcPr>
          <w:p>
            <w:pPr>
              <w:spacing w:before="0" w:after="0"/>
              <w:ind w:left="0"/>
              <w:jc w:val="left"/>
            </w:pPr>
            <w:r>
              <w:rPr>
                <w:b w:val="false"/>
                <w:i w:val="false"/>
                <w:color w:val="000000"/>
                <w:sz w:val="24"/>
              </w:rPr>
              <w:t>咸阳市2025-2026年市本级行政事业单位车辆维修和保养服务</w:t>
            </w:r>
          </w:p>
        </w:tc>
        <w:tc>
          <w:tcPr>
            <w:tcW w:w="1338" w:type="dxa"/>
            <w:tcBorders>
              <w:top w:val="outset" w:color="000000" w:sz="8"/>
              <w:left w:val="outset" w:color="000000" w:sz="8"/>
              <w:bottom w:val="outset" w:color="000000" w:sz="8"/>
              <w:right w:val="outset" w:color="000000" w:sz="8"/>
            </w:tcBorders>
            <w:tcMar>
              <w:top w:w="15" w:type="dxa"/>
              <w:left w:w="15" w:type="dxa"/>
              <w:bottom w:w="15" w:type="dxa"/>
              <w:right w:w="15" w:type="dxa"/>
            </w:tcMar>
            <w:vAlign w:val="center"/>
          </w:tcPr>
          <w:p>
            <w:pPr>
              <w:spacing w:before="0" w:after="0"/>
              <w:ind w:left="0"/>
              <w:jc w:val="left"/>
            </w:pPr>
            <w:r>
              <w:rPr>
                <w:b w:val="false"/>
                <w:i w:val="false"/>
                <w:color w:val="000000"/>
                <w:sz w:val="24"/>
              </w:rPr>
              <w:t>1</w:t>
            </w:r>
          </w:p>
        </w:tc>
        <w:tc>
          <w:tcPr>
            <w:tcW w:w="1340" w:type="dxa"/>
            <w:tcBorders>
              <w:top w:val="outset" w:color="000000" w:sz="8"/>
              <w:left w:val="outset" w:color="000000" w:sz="8"/>
              <w:bottom w:val="outset" w:color="000000" w:sz="8"/>
              <w:right w:val="outset" w:color="000000" w:sz="8"/>
            </w:tcBorders>
            <w:tcMar>
              <w:top w:w="15" w:type="dxa"/>
              <w:left w:w="15" w:type="dxa"/>
              <w:bottom w:w="15" w:type="dxa"/>
              <w:right w:w="15" w:type="dxa"/>
            </w:tcMar>
            <w:vAlign w:val="center"/>
          </w:tcPr>
          <w:p>
            <w:pPr>
              <w:spacing w:before="0" w:after="0"/>
              <w:ind w:left="0"/>
              <w:jc w:val="left"/>
            </w:pPr>
            <w:r>
              <w:rPr>
                <w:b w:val="false"/>
                <w:i w:val="false"/>
                <w:color w:val="000000"/>
                <w:sz w:val="24"/>
              </w:rPr>
              <w:t>%</w:t>
            </w:r>
          </w:p>
        </w:tc>
        <w:tc>
          <w:tcPr>
            <w:tcW w:w="2690" w:type="dxa"/>
            <w:tcBorders>
              <w:top w:val="outset" w:color="000000" w:sz="8"/>
              <w:left w:val="outset" w:color="000000" w:sz="8"/>
              <w:bottom w:val="outset" w:color="000000" w:sz="8"/>
              <w:right w:val="outset" w:color="000000" w:sz="8"/>
            </w:tcBorders>
            <w:tcMar>
              <w:top w:w="15" w:type="dxa"/>
              <w:left w:w="15" w:type="dxa"/>
              <w:bottom w:w="15" w:type="dxa"/>
              <w:right w:w="15" w:type="dxa"/>
            </w:tcMar>
            <w:vAlign w:val="center"/>
          </w:tcPr>
          <w:p>
            <w:pPr>
              <w:spacing w:before="0" w:after="0"/>
              <w:ind w:left="0"/>
              <w:jc w:val="right"/>
            </w:pPr>
            <w:r>
              <w:rPr>
                <w:b w:val="false"/>
                <w:i w:val="false"/>
                <w:color w:val="000000"/>
                <w:sz w:val="24"/>
              </w:rPr>
              <w:t xml:space="preserve"> 1366.20元 </w:t>
            </w:r>
          </w:p>
        </w:tc>
        <w:tc>
          <w:tcPr>
            <w:tcW w:w="2691" w:type="dxa"/>
            <w:tcBorders>
              <w:top w:val="outset" w:color="000000" w:sz="8"/>
              <w:left w:val="outset" w:color="000000" w:sz="8"/>
              <w:bottom w:val="outset" w:color="000000" w:sz="8"/>
              <w:right w:val="outset" w:color="000000" w:sz="8"/>
            </w:tcBorders>
            <w:tcMar>
              <w:top w:w="15" w:type="dxa"/>
              <w:left w:w="15" w:type="dxa"/>
              <w:bottom w:w="15" w:type="dxa"/>
              <w:right w:w="15" w:type="dxa"/>
            </w:tcMar>
            <w:vAlign w:val="center"/>
          </w:tcPr>
          <w:p>
            <w:pPr>
              <w:spacing w:before="0" w:after="0"/>
              <w:ind w:left="0"/>
              <w:jc w:val="right"/>
            </w:pPr>
            <w:r>
              <w:rPr>
                <w:b w:val="false"/>
                <w:i w:val="false"/>
                <w:color w:val="000000"/>
                <w:sz w:val="24"/>
              </w:rPr>
              <w:t xml:space="preserve"> 1366.20元 </w:t>
            </w:r>
          </w:p>
        </w:tc>
        <w:tc>
          <w:tcPr>
            <w:tcW w:w="2672" w:type="dxa"/>
            <w:tcBorders>
              <w:top w:val="outset" w:color="000000" w:sz="8"/>
              <w:left w:val="outset" w:color="000000" w:sz="8"/>
              <w:bottom w:val="outset" w:color="000000" w:sz="8"/>
              <w:right w:val="outset" w:color="000000" w:sz="8"/>
            </w:tcBorders>
            <w:tcMar>
              <w:top w:w="15" w:type="dxa"/>
              <w:left w:w="15" w:type="dxa"/>
              <w:bottom w:w="15" w:type="dxa"/>
              <w:right w:w="15" w:type="dxa"/>
            </w:tcMar>
            <w:vAlign w:val="center"/>
          </w:tcPr>
          <w:p/>
        </w:tc>
      </w:tr>
      <w:tr>
        <w:trPr>
          <w:trHeight w:val="300" w:hRule="atLeast"/>
        </w:trPr>
        <w:tc>
          <w:tcPr>
            <w:tcW w:w="0" w:type="auto"/>
            <w:gridSpan w:val="2"/>
            <w:tcBorders>
              <w:top w:val="outset" w:color="000000" w:sz="8"/>
              <w:left w:val="outset" w:color="000000" w:sz="8"/>
              <w:bottom w:val="outset" w:color="000000" w:sz="8"/>
              <w:right w:val="outset" w:color="000000" w:sz="8"/>
            </w:tcBorders>
            <w:tcMar>
              <w:top w:w="15" w:type="dxa"/>
              <w:left w:w="15" w:type="dxa"/>
              <w:bottom w:w="15" w:type="dxa"/>
              <w:right w:w="15" w:type="dxa"/>
            </w:tcMar>
            <w:vAlign w:val="center"/>
          </w:tcPr>
          <w:p>
            <w:pPr>
              <w:spacing w:before="0" w:after="0"/>
              <w:ind w:left="0"/>
              <w:jc w:val="center"/>
            </w:pPr>
            <w:r>
              <w:rPr>
                <w:b w:val="false"/>
                <w:i w:val="false"/>
                <w:color w:val="000000"/>
                <w:sz w:val="24"/>
              </w:rPr>
              <w:t>合计</w:t>
            </w:r>
          </w:p>
        </w:tc>
        <w:tc>
          <w:tcPr>
            <w:tcW w:w="0" w:type="auto"/>
            <w:gridSpan w:val="5"/>
            <w:tcBorders>
              <w:top w:val="outset" w:color="000000" w:sz="8"/>
              <w:left w:val="outset" w:color="000000" w:sz="8"/>
              <w:bottom w:val="outset" w:color="000000" w:sz="8"/>
              <w:right w:val="outset" w:color="000000" w:sz="8"/>
            </w:tcBorders>
            <w:tcMar>
              <w:top w:w="15" w:type="dxa"/>
              <w:left w:w="15" w:type="dxa"/>
              <w:bottom w:w="15" w:type="dxa"/>
              <w:right w:w="15" w:type="dxa"/>
            </w:tcMar>
            <w:vAlign w:val="center"/>
          </w:tcPr>
          <w:p>
            <w:pPr>
              <w:spacing w:before="0" w:after="0"/>
              <w:ind w:left="0"/>
              <w:jc w:val="left"/>
            </w:pPr>
            <w:r>
              <w:rPr>
                <w:b w:val="false"/>
                <w:i w:val="false"/>
                <w:color w:val="000000"/>
                <w:sz w:val="24"/>
              </w:rPr>
              <w:t xml:space="preserve"> ¥大写(人民币)：壹仟叁佰陆拾陆元贰角 </w:t>
            </w:r>
          </w:p>
        </w:tc>
      </w:tr>
    </w:tbl>
    <w:p>
      <w:pPr>
        <w:spacing w:before="0" w:after="0"/>
        <w:ind w:left="120"/>
        <w:jc w:val="left"/>
      </w:pPr>
      <w:r>
        <w:rPr>
          <w:rFonts w:ascii="Times New Roman" w:hAnsi="Times New Roman"/>
          <w:b w:val="false"/>
          <w:i w:val="false"/>
          <w:color w:val="000000"/>
          <w:sz w:val="22"/>
        </w:rPr>
        <w:t xml:space="preserve"> </w:t>
      </w:r>
      <w:r>
        <w:br/>
      </w:r>
      <w:r>
        <w:rPr>
          <w:rFonts w:ascii="Times New Roman" w:hAnsi="Times New Roman"/>
          <w:b w:val="false"/>
          <w:i w:val="false"/>
          <w:color w:val="000000"/>
          <w:sz w:val="22"/>
        </w:rPr>
        <w:t xml:space="preserve"> </w:t>
      </w:r>
    </w:p>
    <w:p>
      <w:pPr>
        <w:spacing w:before="269" w:after="269"/>
        <w:ind w:left="120"/>
        <w:jc w:val="left"/>
      </w:pPr>
      <w:r>
        <w:rPr>
          <w:rFonts w:ascii="Times New Roman" w:hAnsi="Times New Roman"/>
          <w:b/>
          <w:i w:val="false"/>
          <w:color w:val="000000"/>
          <w:sz w:val="22"/>
        </w:rPr>
        <w:t>二、服务内容及要求</w:t>
      </w:r>
    </w:p>
    <w:p>
      <w:pPr>
        <w:spacing w:before="269" w:after="269"/>
        <w:ind w:left="120"/>
        <w:jc w:val="left"/>
      </w:pPr>
      <w:r>
        <w:rPr>
          <w:rFonts w:ascii="Times New Roman" w:hAnsi="Times New Roman"/>
          <w:b w:val="false"/>
          <w:i w:val="false"/>
          <w:color w:val="000000"/>
          <w:sz w:val="22"/>
        </w:rPr>
        <w:t xml:space="preserve"> 在签订合同前，乙方应按照征集文件《第三章 征集项目技术、服务、商务及其他要求》中所有承诺事项要求落实 </w:t>
      </w:r>
    </w:p>
    <w:p>
      <w:pPr>
        <w:spacing w:before="269" w:after="269"/>
        <w:ind w:left="120"/>
        <w:jc w:val="left"/>
      </w:pPr>
      <w:r>
        <w:rPr>
          <w:rFonts w:ascii="Times New Roman" w:hAnsi="Times New Roman"/>
          <w:b/>
          <w:i w:val="false"/>
          <w:color w:val="000000"/>
          <w:sz w:val="22"/>
        </w:rPr>
        <w:t>三、合同的范围和条件</w:t>
      </w:r>
    </w:p>
    <w:p>
      <w:pPr>
        <w:spacing w:before="269" w:after="269"/>
        <w:ind w:left="120"/>
        <w:jc w:val="left"/>
      </w:pPr>
      <w:r>
        <w:rPr>
          <w:rFonts w:ascii="Times New Roman" w:hAnsi="Times New Roman"/>
          <w:b w:val="false"/>
          <w:i w:val="false"/>
          <w:color w:val="000000"/>
          <w:sz w:val="22"/>
        </w:rPr>
        <w:t xml:space="preserve"> 1、本合同的范围和条件应与征集文件（含框架协议）的规定相一致。 </w:t>
      </w:r>
    </w:p>
    <w:p>
      <w:pPr>
        <w:spacing w:before="269" w:after="269"/>
        <w:ind w:left="120"/>
        <w:jc w:val="left"/>
      </w:pPr>
      <w:r>
        <w:rPr>
          <w:rFonts w:ascii="Times New Roman" w:hAnsi="Times New Roman"/>
          <w:b w:val="false"/>
          <w:i w:val="false"/>
          <w:color w:val="000000"/>
          <w:sz w:val="22"/>
        </w:rPr>
        <w:t xml:space="preserve"> 2、履约时间：2025.1.1 </w:t>
      </w:r>
    </w:p>
    <w:p>
      <w:pPr>
        <w:spacing w:before="269" w:after="269"/>
        <w:ind w:left="120"/>
        <w:jc w:val="left"/>
      </w:pPr>
      <w:r>
        <w:rPr>
          <w:rFonts w:ascii="Times New Roman" w:hAnsi="Times New Roman"/>
          <w:b w:val="false"/>
          <w:i w:val="false"/>
          <w:color w:val="000000"/>
          <w:sz w:val="22"/>
        </w:rPr>
        <w:t xml:space="preserve"> 3、履约地点：陕西省咸阳市咸阳市本级渭阳中路6号 </w:t>
      </w:r>
    </w:p>
    <w:p>
      <w:pPr>
        <w:spacing w:before="0" w:after="0"/>
        <w:ind w:left="120"/>
        <w:jc w:val="left"/>
      </w:pPr>
      <w:r>
        <w:rPr>
          <w:rFonts w:ascii="Times New Roman" w:hAnsi="Times New Roman"/>
          <w:b w:val="false"/>
          <w:i w:val="false"/>
          <w:color w:val="000000"/>
          <w:sz w:val="22"/>
        </w:rPr>
        <w:t xml:space="preserve"> </w:t>
      </w:r>
      <w:r>
        <w:br/>
      </w:r>
      <w:r>
        <w:rPr>
          <w:rFonts w:ascii="Times New Roman" w:hAnsi="Times New Roman"/>
          <w:b w:val="false"/>
          <w:i w:val="false"/>
          <w:color w:val="000000"/>
          <w:sz w:val="22"/>
        </w:rPr>
        <w:t xml:space="preserve"> </w:t>
      </w:r>
    </w:p>
    <w:p>
      <w:pPr>
        <w:spacing w:before="269" w:after="269"/>
        <w:ind w:left="120"/>
        <w:jc w:val="left"/>
      </w:pPr>
      <w:r>
        <w:rPr>
          <w:rFonts w:ascii="Times New Roman" w:hAnsi="Times New Roman"/>
          <w:b/>
          <w:i w:val="false"/>
          <w:color w:val="000000"/>
          <w:sz w:val="22"/>
        </w:rPr>
        <w:t>四、付款方式</w:t>
      </w:r>
    </w:p>
    <w:p>
      <w:pPr>
        <w:spacing w:before="269" w:after="269"/>
        <w:ind w:left="120"/>
        <w:jc w:val="left"/>
      </w:pPr>
      <w:r>
        <w:rPr>
          <w:rFonts w:ascii="Times New Roman" w:hAnsi="Times New Roman"/>
          <w:b w:val="false"/>
          <w:i w:val="false"/>
          <w:color w:val="000000"/>
          <w:sz w:val="22"/>
        </w:rPr>
        <w:t xml:space="preserve"> 1、支付方式：银行转账 </w:t>
      </w:r>
    </w:p>
    <w:p>
      <w:pPr>
        <w:spacing w:before="269" w:after="269"/>
        <w:ind w:left="120"/>
        <w:jc w:val="left"/>
      </w:pPr>
      <w:r>
        <w:rPr>
          <w:rFonts w:ascii="Times New Roman" w:hAnsi="Times New Roman"/>
          <w:b w:val="false"/>
          <w:i w:val="false"/>
          <w:color w:val="000000"/>
          <w:sz w:val="22"/>
        </w:rPr>
        <w:t xml:space="preserve"> 2、货币单位：人民币 </w:t>
      </w:r>
    </w:p>
    <w:p>
      <w:pPr>
        <w:spacing w:before="269" w:after="269"/>
        <w:ind w:left="120"/>
        <w:jc w:val="left"/>
      </w:pPr>
      <w:r>
        <w:rPr>
          <w:rFonts w:ascii="Times New Roman" w:hAnsi="Times New Roman"/>
          <w:b w:val="false"/>
          <w:i w:val="false"/>
          <w:color w:val="000000"/>
          <w:sz w:val="22"/>
        </w:rPr>
        <w:t xml:space="preserve"> 3、结算方式：由甲方与乙方双方商议确定 </w:t>
      </w:r>
    </w:p>
    <w:p>
      <w:pPr>
        <w:spacing w:before="0" w:after="0"/>
        <w:ind w:left="120"/>
        <w:jc w:val="left"/>
      </w:pPr>
      <w:r>
        <w:rPr>
          <w:rFonts w:ascii="Times New Roman" w:hAnsi="Times New Roman"/>
          <w:b w:val="false"/>
          <w:i w:val="false"/>
          <w:color w:val="000000"/>
          <w:sz w:val="22"/>
        </w:rPr>
        <w:t xml:space="preserve"> </w:t>
      </w:r>
      <w:r>
        <w:br/>
      </w:r>
      <w:r>
        <w:rPr>
          <w:rFonts w:ascii="Times New Roman" w:hAnsi="Times New Roman"/>
          <w:b w:val="false"/>
          <w:i w:val="false"/>
          <w:color w:val="000000"/>
          <w:sz w:val="22"/>
        </w:rPr>
        <w:t xml:space="preserve"> </w:t>
      </w:r>
    </w:p>
    <w:p>
      <w:pPr>
        <w:spacing w:before="269" w:after="269"/>
        <w:ind w:left="120"/>
        <w:jc w:val="left"/>
      </w:pPr>
      <w:r>
        <w:rPr>
          <w:rFonts w:ascii="Times New Roman" w:hAnsi="Times New Roman"/>
          <w:b/>
          <w:i w:val="false"/>
          <w:color w:val="000000"/>
          <w:sz w:val="22"/>
        </w:rPr>
        <w:t>五、服务保证</w:t>
      </w:r>
    </w:p>
    <w:p>
      <w:pPr>
        <w:spacing w:before="269" w:after="269"/>
        <w:ind w:left="120"/>
        <w:jc w:val="left"/>
      </w:pPr>
      <w:r>
        <w:rPr>
          <w:rFonts w:ascii="Times New Roman" w:hAnsi="Times New Roman"/>
          <w:b w:val="false"/>
          <w:i w:val="false"/>
          <w:color w:val="000000"/>
          <w:sz w:val="22"/>
        </w:rPr>
        <w:t xml:space="preserve"> 1、乙方提供服务时，服务要求应按不低于国家、省、市有关部门规定的质量标准执行。 </w:t>
      </w:r>
    </w:p>
    <w:p>
      <w:pPr>
        <w:spacing w:before="269" w:after="269"/>
        <w:ind w:left="120"/>
        <w:jc w:val="left"/>
      </w:pPr>
      <w:r>
        <w:rPr>
          <w:rFonts w:ascii="Times New Roman" w:hAnsi="Times New Roman"/>
          <w:b w:val="false"/>
          <w:i w:val="false"/>
          <w:color w:val="000000"/>
          <w:sz w:val="22"/>
        </w:rPr>
        <w:t xml:space="preserve"> 2、乙方承诺与拟投入人员均有劳动合同或聘用协议。 </w:t>
      </w:r>
    </w:p>
    <w:p>
      <w:pPr>
        <w:spacing w:before="269" w:after="269"/>
        <w:ind w:left="120"/>
        <w:jc w:val="left"/>
      </w:pPr>
      <w:r>
        <w:rPr>
          <w:rFonts w:ascii="Times New Roman" w:hAnsi="Times New Roman"/>
          <w:b w:val="false"/>
          <w:i w:val="false"/>
          <w:color w:val="000000"/>
          <w:sz w:val="22"/>
        </w:rPr>
        <w:t xml:space="preserve"> 3、乙方承诺拟投入人员工资不低于采购人所在地最低工资标准。 </w:t>
      </w:r>
    </w:p>
    <w:p>
      <w:pPr>
        <w:spacing w:before="269" w:after="269"/>
        <w:ind w:left="120"/>
        <w:jc w:val="left"/>
      </w:pPr>
      <w:r>
        <w:rPr>
          <w:rFonts w:ascii="Times New Roman" w:hAnsi="Times New Roman"/>
          <w:b w:val="false"/>
          <w:i w:val="false"/>
          <w:color w:val="000000"/>
          <w:sz w:val="22"/>
        </w:rPr>
        <w:t xml:space="preserve"> 4、乙方承诺工作人员按征集文件落实。 </w:t>
      </w:r>
    </w:p>
    <w:p>
      <w:pPr>
        <w:spacing w:before="0" w:after="0"/>
        <w:ind w:left="120"/>
        <w:jc w:val="left"/>
      </w:pPr>
      <w:r>
        <w:rPr>
          <w:rFonts w:ascii="Times New Roman" w:hAnsi="Times New Roman"/>
          <w:b w:val="false"/>
          <w:i w:val="false"/>
          <w:color w:val="000000"/>
          <w:sz w:val="22"/>
        </w:rPr>
        <w:t xml:space="preserve"> </w:t>
      </w:r>
      <w:r>
        <w:br/>
      </w:r>
      <w:r>
        <w:rPr>
          <w:rFonts w:ascii="Times New Roman" w:hAnsi="Times New Roman"/>
          <w:b w:val="false"/>
          <w:i w:val="false"/>
          <w:color w:val="000000"/>
          <w:sz w:val="22"/>
        </w:rPr>
        <w:t xml:space="preserve"> </w:t>
      </w:r>
    </w:p>
    <w:p>
      <w:pPr>
        <w:spacing w:before="269" w:after="269"/>
        <w:ind w:left="120"/>
        <w:jc w:val="left"/>
      </w:pPr>
      <w:r>
        <w:rPr>
          <w:rFonts w:ascii="Times New Roman" w:hAnsi="Times New Roman"/>
          <w:b/>
          <w:i w:val="false"/>
          <w:color w:val="000000"/>
          <w:sz w:val="22"/>
        </w:rPr>
        <w:t>六、服务承诺</w:t>
      </w:r>
    </w:p>
    <w:p>
      <w:pPr>
        <w:spacing w:before="269" w:after="269"/>
        <w:ind w:left="120"/>
        <w:jc w:val="left"/>
      </w:pPr>
      <w:r>
        <w:rPr>
          <w:rFonts w:ascii="Times New Roman" w:hAnsi="Times New Roman"/>
          <w:b w:val="false"/>
          <w:i w:val="false"/>
          <w:color w:val="000000"/>
          <w:sz w:val="22"/>
        </w:rPr>
        <w:t xml:space="preserve"> 以征集文件（包含框架协议）、响应文件、澄清表（函）和随服务的相关文件为准。 </w:t>
      </w:r>
    </w:p>
    <w:p>
      <w:pPr>
        <w:spacing w:before="0" w:after="0"/>
        <w:ind w:left="120"/>
        <w:jc w:val="left"/>
      </w:pPr>
      <w:r>
        <w:rPr>
          <w:rFonts w:ascii="Times New Roman" w:hAnsi="Times New Roman"/>
          <w:b w:val="false"/>
          <w:i w:val="false"/>
          <w:color w:val="000000"/>
          <w:sz w:val="22"/>
        </w:rPr>
        <w:t xml:space="preserve"> </w:t>
      </w:r>
      <w:r>
        <w:br/>
      </w:r>
      <w:r>
        <w:rPr>
          <w:rFonts w:ascii="Times New Roman" w:hAnsi="Times New Roman"/>
          <w:b w:val="false"/>
          <w:i w:val="false"/>
          <w:color w:val="000000"/>
          <w:sz w:val="22"/>
        </w:rPr>
        <w:t xml:space="preserve"> </w:t>
      </w:r>
    </w:p>
    <w:p>
      <w:pPr>
        <w:spacing w:before="269" w:after="269"/>
        <w:ind w:left="120"/>
        <w:jc w:val="left"/>
      </w:pPr>
      <w:r>
        <w:rPr>
          <w:rFonts w:ascii="Times New Roman" w:hAnsi="Times New Roman"/>
          <w:b/>
          <w:i w:val="false"/>
          <w:color w:val="000000"/>
          <w:sz w:val="22"/>
        </w:rPr>
        <w:t>七、知识产权</w:t>
      </w:r>
    </w:p>
    <w:p>
      <w:pPr>
        <w:spacing w:before="269" w:after="269"/>
        <w:ind w:left="120"/>
        <w:jc w:val="left"/>
      </w:pPr>
      <w:r>
        <w:rPr>
          <w:rFonts w:ascii="Times New Roman" w:hAnsi="Times New Roman"/>
          <w:b w:val="false"/>
          <w:i w:val="false"/>
          <w:color w:val="000000"/>
          <w:sz w:val="22"/>
        </w:rPr>
        <w:t xml:space="preserve"> 乙方应保证甲方在使用、接受本合同货物和服务或其任何一部分时，不受第三方提出侵犯其专利权、版权、商标权和工业设计权等知识产权的起诉。一旦出现侵权，由乙方负全部责任。 </w:t>
      </w:r>
    </w:p>
    <w:p>
      <w:pPr>
        <w:spacing w:before="269" w:after="269"/>
        <w:ind w:left="120"/>
        <w:jc w:val="left"/>
      </w:pPr>
      <w:r>
        <w:rPr>
          <w:rFonts w:ascii="Times New Roman" w:hAnsi="Times New Roman"/>
          <w:b/>
          <w:i w:val="false"/>
          <w:color w:val="000000"/>
          <w:sz w:val="22"/>
        </w:rPr>
        <w:t>八、产权担保</w:t>
      </w:r>
    </w:p>
    <w:p>
      <w:pPr>
        <w:spacing w:before="269" w:after="269"/>
        <w:ind w:left="120"/>
        <w:jc w:val="left"/>
      </w:pPr>
      <w:r>
        <w:rPr>
          <w:rFonts w:ascii="Times New Roman" w:hAnsi="Times New Roman"/>
          <w:b w:val="false"/>
          <w:i w:val="false"/>
          <w:color w:val="000000"/>
          <w:sz w:val="22"/>
        </w:rPr>
        <w:t xml:space="preserve"> 乙方保证所交付的服务的所有权完全属于乙方且无任何抵押、查封等产权瑕疵。 </w:t>
      </w:r>
    </w:p>
    <w:p>
      <w:pPr>
        <w:spacing w:before="269" w:after="269"/>
        <w:ind w:left="120"/>
        <w:jc w:val="left"/>
      </w:pPr>
      <w:r>
        <w:rPr>
          <w:rFonts w:ascii="Times New Roman" w:hAnsi="Times New Roman"/>
          <w:b/>
          <w:i w:val="false"/>
          <w:color w:val="000000"/>
          <w:sz w:val="22"/>
        </w:rPr>
        <w:t>九、解除合同</w:t>
      </w:r>
    </w:p>
    <w:p>
      <w:pPr>
        <w:spacing w:before="269" w:after="269"/>
        <w:ind w:left="120"/>
        <w:jc w:val="left"/>
      </w:pPr>
      <w:r>
        <w:rPr>
          <w:rFonts w:ascii="Times New Roman" w:hAnsi="Times New Roman"/>
          <w:b w:val="false"/>
          <w:i w:val="false"/>
          <w:color w:val="000000"/>
          <w:sz w:val="22"/>
        </w:rPr>
        <w:t xml:space="preserve"> 如发生下列任意一项，甲方有权责令整改并向上级主管部门报备解除合同，并要求乙方赔偿相关损失及承担相关法律责任。 </w:t>
      </w:r>
    </w:p>
    <w:p>
      <w:pPr>
        <w:spacing w:before="269" w:after="269"/>
        <w:ind w:left="120"/>
        <w:jc w:val="left"/>
      </w:pPr>
      <w:r>
        <w:rPr>
          <w:rFonts w:ascii="Times New Roman" w:hAnsi="Times New Roman"/>
          <w:b w:val="false"/>
          <w:i w:val="false"/>
          <w:color w:val="000000"/>
          <w:sz w:val="22"/>
        </w:rPr>
        <w:t xml:space="preserve"> 1、考核不合格，拒不改正、影响服务质量或损害国家利益的。 </w:t>
      </w:r>
    </w:p>
    <w:p>
      <w:pPr>
        <w:spacing w:before="269" w:after="269"/>
        <w:ind w:left="120"/>
        <w:jc w:val="left"/>
      </w:pPr>
      <w:r>
        <w:rPr>
          <w:rFonts w:ascii="Times New Roman" w:hAnsi="Times New Roman"/>
          <w:b w:val="false"/>
          <w:i w:val="false"/>
          <w:color w:val="000000"/>
          <w:sz w:val="22"/>
        </w:rPr>
        <w:t xml:space="preserve"> 2、因乙方原因导致重大火灾、伤亡、档案丢失等。 </w:t>
      </w:r>
    </w:p>
    <w:p>
      <w:pPr>
        <w:spacing w:before="269" w:after="269"/>
        <w:ind w:left="120"/>
        <w:jc w:val="left"/>
      </w:pPr>
      <w:r>
        <w:rPr>
          <w:rFonts w:ascii="Times New Roman" w:hAnsi="Times New Roman"/>
          <w:b w:val="false"/>
          <w:i w:val="false"/>
          <w:color w:val="000000"/>
          <w:sz w:val="22"/>
        </w:rPr>
        <w:t xml:space="preserve"> 3、发生重大安全事件隐瞒不报 </w:t>
      </w:r>
    </w:p>
    <w:p>
      <w:pPr>
        <w:spacing w:before="269" w:after="269"/>
        <w:ind w:left="120"/>
        <w:jc w:val="left"/>
      </w:pPr>
      <w:r>
        <w:rPr>
          <w:rFonts w:ascii="Times New Roman" w:hAnsi="Times New Roman"/>
          <w:b w:val="false"/>
          <w:i w:val="false"/>
          <w:color w:val="000000"/>
          <w:sz w:val="22"/>
        </w:rPr>
        <w:t xml:space="preserve"> 4、其他违反法律、法规和规章制度行为，造成恶劣影响的。 </w:t>
      </w:r>
    </w:p>
    <w:p>
      <w:pPr>
        <w:spacing w:before="269" w:after="269"/>
        <w:ind w:left="120"/>
        <w:jc w:val="left"/>
      </w:pPr>
      <w:r>
        <w:rPr>
          <w:rFonts w:ascii="Times New Roman" w:hAnsi="Times New Roman"/>
          <w:b w:val="false"/>
          <w:i w:val="false"/>
          <w:color w:val="000000"/>
          <w:sz w:val="22"/>
        </w:rPr>
        <w:t xml:space="preserve"> 5、未按本项目合同要求提供服务或服务质量不能满足合同要求，甲方应当将服务违约的情况以及拟按合同约定采取的措施以书面形式报政府采购监管部门，根据政府采购监管部门的处理意见，甲方有权依据《中华人民共和国民法典》有关条款及合同约定终止合同，并要求乙方承担违约责任。同时，政府采购监管部门有权依据《政府采购法》及相关法律法规对乙方的违法行为进行相应的处罚。 </w:t>
      </w:r>
    </w:p>
    <w:p>
      <w:pPr>
        <w:spacing w:before="269" w:after="269"/>
        <w:ind w:left="120"/>
        <w:jc w:val="left"/>
      </w:pPr>
      <w:r>
        <w:rPr>
          <w:rFonts w:ascii="Times New Roman" w:hAnsi="Times New Roman"/>
          <w:b/>
          <w:i w:val="false"/>
          <w:color w:val="000000"/>
          <w:sz w:val="22"/>
        </w:rPr>
        <w:t>十、履约验收</w:t>
      </w:r>
    </w:p>
    <w:p>
      <w:pPr>
        <w:spacing w:before="269" w:after="269"/>
        <w:ind w:left="120"/>
        <w:jc w:val="left"/>
      </w:pPr>
      <w:r>
        <w:rPr>
          <w:rFonts w:ascii="Times New Roman" w:hAnsi="Times New Roman"/>
          <w:b w:val="false"/>
          <w:i w:val="false"/>
          <w:color w:val="000000"/>
          <w:sz w:val="22"/>
        </w:rPr>
        <w:t xml:space="preserve"> 1、乙方提供不符合征集文件、响应文件和本合同规定的服务的，甲方有权拒绝接受。 </w:t>
      </w:r>
    </w:p>
    <w:p>
      <w:pPr>
        <w:spacing w:before="269" w:after="269"/>
        <w:ind w:left="120"/>
        <w:jc w:val="left"/>
      </w:pPr>
      <w:r>
        <w:rPr>
          <w:rFonts w:ascii="Times New Roman" w:hAnsi="Times New Roman"/>
          <w:b w:val="false"/>
          <w:i w:val="false"/>
          <w:color w:val="000000"/>
          <w:sz w:val="22"/>
        </w:rPr>
        <w:t xml:space="preserve"> 2、甲方有权组织（包括依法邀请国家认可的质量检测机构参加）对乙方履约情况的验收，并出具验收书；向社会公众提供的公共服务项目，验收时应当邀请服务对象参与并出具意见，验收结果应当向社会公告。 </w:t>
      </w:r>
    </w:p>
    <w:p>
      <w:pPr>
        <w:spacing w:before="269" w:after="269"/>
        <w:ind w:left="120"/>
        <w:jc w:val="left"/>
      </w:pPr>
      <w:r>
        <w:rPr>
          <w:rFonts w:ascii="Times New Roman" w:hAnsi="Times New Roman"/>
          <w:b w:val="false"/>
          <w:i w:val="false"/>
          <w:color w:val="000000"/>
          <w:sz w:val="22"/>
        </w:rPr>
        <w:t xml:space="preserve"> 3、甲方委托第三方组织的验收项目，其验收时间以该项目验收方案确定的验收时间为准，验收结果以该项目验收报告结论为准。在验收过程中发现乙方有违约问题，可暂缓资金结算，待违约问题解决后，方可办理资金结算事宜。 </w:t>
      </w:r>
    </w:p>
    <w:p>
      <w:pPr>
        <w:spacing w:before="269" w:after="269"/>
        <w:ind w:left="120"/>
        <w:jc w:val="left"/>
      </w:pPr>
      <w:r>
        <w:rPr>
          <w:rFonts w:ascii="Times New Roman" w:hAnsi="Times New Roman"/>
          <w:b w:val="false"/>
          <w:i w:val="false"/>
          <w:color w:val="000000"/>
          <w:sz w:val="22"/>
        </w:rPr>
        <w:t xml:space="preserve"> 4、其他未尽事宜应严格按照《财政部关于进一步加强政府采购需求和履约验收管理的指导意见》（财库〔2016〕205号）规定执行。 </w:t>
      </w:r>
    </w:p>
    <w:p>
      <w:pPr>
        <w:spacing w:before="269" w:after="269"/>
        <w:ind w:left="120"/>
        <w:jc w:val="left"/>
      </w:pPr>
      <w:r>
        <w:rPr>
          <w:rFonts w:ascii="Times New Roman" w:hAnsi="Times New Roman"/>
          <w:b/>
          <w:i w:val="false"/>
          <w:color w:val="000000"/>
          <w:sz w:val="22"/>
        </w:rPr>
        <w:t>十一、违约责任</w:t>
      </w:r>
    </w:p>
    <w:p>
      <w:pPr>
        <w:spacing w:before="269" w:after="269"/>
        <w:ind w:left="120"/>
        <w:jc w:val="left"/>
      </w:pPr>
      <w:r>
        <w:rPr>
          <w:rFonts w:ascii="Times New Roman" w:hAnsi="Times New Roman"/>
          <w:b w:val="false"/>
          <w:i w:val="false"/>
          <w:color w:val="000000"/>
          <w:sz w:val="22"/>
        </w:rPr>
        <w:t xml:space="preserve"> 1、按《中华人民共和国民法典》中的相关条款执行。 </w:t>
      </w:r>
    </w:p>
    <w:p>
      <w:pPr>
        <w:spacing w:before="269" w:after="269"/>
        <w:ind w:left="120"/>
        <w:jc w:val="left"/>
      </w:pPr>
      <w:r>
        <w:rPr>
          <w:rFonts w:ascii="Times New Roman" w:hAnsi="Times New Roman"/>
          <w:b w:val="false"/>
          <w:i w:val="false"/>
          <w:color w:val="000000"/>
          <w:sz w:val="22"/>
        </w:rPr>
        <w:t xml:space="preserve"> 2、未按合同要求提供服务或服务质量不能满足合同要求，甲方有权依据《中华人民共和国民法典》有关条款及合同约定终止合同，并要求乙方承担违约责任。 </w:t>
      </w:r>
    </w:p>
    <w:p>
      <w:pPr>
        <w:spacing w:before="269" w:after="269"/>
        <w:ind w:left="120"/>
        <w:jc w:val="left"/>
      </w:pPr>
      <w:r>
        <w:rPr>
          <w:rFonts w:ascii="Times New Roman" w:hAnsi="Times New Roman"/>
          <w:b/>
          <w:i w:val="false"/>
          <w:color w:val="000000"/>
          <w:sz w:val="22"/>
        </w:rPr>
        <w:t>十二、解决纠纷方式</w:t>
      </w:r>
    </w:p>
    <w:p>
      <w:pPr>
        <w:spacing w:before="269" w:after="269"/>
        <w:ind w:left="120"/>
        <w:jc w:val="left"/>
      </w:pPr>
      <w:r>
        <w:rPr>
          <w:rFonts w:ascii="Times New Roman" w:hAnsi="Times New Roman"/>
          <w:b w:val="false"/>
          <w:i w:val="false"/>
          <w:color w:val="000000"/>
          <w:sz w:val="22"/>
        </w:rPr>
        <w:t xml:space="preserve"> 因本合同引起的争议，甲乙双方应友好协商解决。若甲乙双方不能解决争议，任意一方可发起纠纷处理流程，由征集人进行协调。协调不能达成一致的，提交原告住所地人民法院诉讼解决。 </w:t>
      </w:r>
    </w:p>
    <w:p>
      <w:pPr>
        <w:spacing w:before="269" w:after="269"/>
        <w:ind w:left="120"/>
        <w:jc w:val="left"/>
      </w:pPr>
      <w:r>
        <w:rPr>
          <w:rFonts w:ascii="Times New Roman" w:hAnsi="Times New Roman"/>
          <w:b/>
          <w:i w:val="false"/>
          <w:color w:val="000000"/>
          <w:sz w:val="22"/>
        </w:rPr>
        <w:t>十三、其他</w:t>
      </w:r>
    </w:p>
    <w:p>
      <w:pPr>
        <w:spacing w:before="269" w:after="269"/>
        <w:ind w:left="120"/>
        <w:jc w:val="left"/>
      </w:pPr>
      <w:r>
        <w:rPr>
          <w:rFonts w:ascii="Times New Roman" w:hAnsi="Times New Roman"/>
          <w:b w:val="false"/>
          <w:i w:val="false"/>
          <w:color w:val="000000"/>
          <w:sz w:val="22"/>
        </w:rPr>
        <w:t xml:space="preserve"> 1.本合同由甲乙双方签字盖章后生效。 </w:t>
      </w:r>
    </w:p>
    <w:p>
      <w:pPr>
        <w:spacing w:before="269" w:after="269"/>
        <w:ind w:left="120"/>
        <w:jc w:val="left"/>
      </w:pPr>
      <w:r>
        <w:rPr>
          <w:rFonts w:ascii="Times New Roman" w:hAnsi="Times New Roman"/>
          <w:b w:val="false"/>
          <w:i w:val="false"/>
          <w:color w:val="000000"/>
          <w:sz w:val="22"/>
        </w:rPr>
        <w:t xml:space="preserve"> 2.合同内容如有与国家法律法规强制性规定冲突的，从其规定。 </w:t>
      </w:r>
    </w:p>
    <w:p>
      <w:pPr>
        <w:spacing w:before="269" w:after="269"/>
        <w:ind w:left="120"/>
        <w:jc w:val="left"/>
      </w:pPr>
      <w:r>
        <w:rPr>
          <w:rFonts w:ascii="Times New Roman" w:hAnsi="Times New Roman"/>
          <w:b/>
          <w:i w:val="false"/>
          <w:color w:val="000000"/>
          <w:sz w:val="22"/>
        </w:rPr>
        <w:t xml:space="preserve"> </w:t>
      </w:r>
      <w:r>
        <w:rPr>
          <w:rFonts w:ascii="Times New Roman" w:hAnsi="Times New Roman"/>
          <w:b/>
          <w:i w:val="false"/>
          <w:color w:val="000000"/>
          <w:sz w:val="30"/>
        </w:rPr>
        <w:t>甲方(公章)：</w:t>
      </w:r>
      <w:r>
        <w:rPr>
          <w:rFonts w:ascii="Times New Roman" w:hAnsi="Times New Roman"/>
          <w:b/>
          <w:i w:val="false"/>
          <w:color w:val="000000"/>
          <w:sz w:val="22"/>
        </w:rPr>
        <w:t xml:space="preserve"> </w:t>
      </w:r>
    </w:p>
    <w:p>
      <w:pPr>
        <w:spacing w:before="269" w:after="269"/>
        <w:ind w:left="120"/>
        <w:jc w:val="left"/>
      </w:pPr>
      <w:r>
        <w:rPr>
          <w:rFonts w:ascii="Times New Roman" w:hAnsi="Times New Roman"/>
          <w:b/>
          <w:i w:val="false"/>
          <w:color w:val="000000"/>
          <w:sz w:val="22"/>
        </w:rPr>
        <w:t xml:space="preserve"> </w:t>
      </w:r>
      <w:r>
        <w:rPr>
          <w:rFonts w:ascii="Times New Roman" w:hAnsi="Times New Roman"/>
          <w:b/>
          <w:i w:val="false"/>
          <w:color w:val="000000"/>
          <w:sz w:val="30"/>
        </w:rPr>
        <w:t>甲方代表：</w:t>
      </w:r>
      <w:r>
        <w:rPr>
          <w:rFonts w:ascii="Times New Roman" w:hAnsi="Times New Roman"/>
          <w:b/>
          <w:i w:val="false"/>
          <w:color w:val="000000"/>
          <w:sz w:val="22"/>
        </w:rPr>
        <w:t xml:space="preserve">咸阳市人力资源和社会保障局 </w:t>
      </w:r>
    </w:p>
    <w:p>
      <w:pPr>
        <w:spacing w:before="269" w:after="269"/>
        <w:ind w:left="120"/>
        <w:jc w:val="left"/>
      </w:pPr>
      <w:r>
        <w:rPr>
          <w:rFonts w:ascii="Times New Roman" w:hAnsi="Times New Roman"/>
          <w:b/>
          <w:i w:val="false"/>
          <w:color w:val="000000"/>
          <w:sz w:val="22"/>
        </w:rPr>
        <w:t xml:space="preserve"> </w:t>
      </w:r>
      <w:r>
        <w:rPr>
          <w:rFonts w:ascii="Times New Roman" w:hAnsi="Times New Roman"/>
          <w:b/>
          <w:i w:val="false"/>
          <w:color w:val="000000"/>
          <w:sz w:val="30"/>
        </w:rPr>
        <w:t>甲方联系人： 赵萌</w:t>
      </w:r>
      <w:r>
        <w:rPr>
          <w:rFonts w:ascii="Times New Roman" w:hAnsi="Times New Roman"/>
          <w:b/>
          <w:i w:val="false"/>
          <w:color w:val="000000"/>
          <w:sz w:val="22"/>
        </w:rPr>
        <w:t xml:space="preserve"> </w:t>
      </w:r>
    </w:p>
    <w:p>
      <w:pPr>
        <w:spacing w:before="269" w:after="269"/>
        <w:ind w:left="120"/>
        <w:jc w:val="left"/>
      </w:pPr>
      <w:r>
        <w:rPr>
          <w:rFonts w:ascii="Times New Roman" w:hAnsi="Times New Roman"/>
          <w:b/>
          <w:i w:val="false"/>
          <w:color w:val="000000"/>
          <w:sz w:val="22"/>
        </w:rPr>
        <w:t xml:space="preserve"> </w:t>
      </w:r>
      <w:r>
        <w:rPr>
          <w:rFonts w:ascii="Times New Roman" w:hAnsi="Times New Roman"/>
          <w:b/>
          <w:i w:val="false"/>
          <w:color w:val="000000"/>
          <w:sz w:val="30"/>
        </w:rPr>
        <w:t>联系电话： 13992094608</w:t>
      </w:r>
      <w:r>
        <w:rPr>
          <w:rFonts w:ascii="Times New Roman" w:hAnsi="Times New Roman"/>
          <w:b/>
          <w:i w:val="false"/>
          <w:color w:val="000000"/>
          <w:sz w:val="22"/>
        </w:rPr>
        <w:t xml:space="preserve"> </w:t>
      </w:r>
    </w:p>
    <w:p>
      <w:pPr>
        <w:spacing w:before="269" w:after="269"/>
        <w:ind w:left="120"/>
        <w:jc w:val="left"/>
      </w:pPr>
      <w:r>
        <w:rPr>
          <w:rFonts w:ascii="Times New Roman" w:hAnsi="Times New Roman"/>
          <w:b/>
          <w:i w:val="false"/>
          <w:color w:val="000000"/>
          <w:sz w:val="22"/>
        </w:rPr>
        <w:t xml:space="preserve"> </w:t>
      </w:r>
      <w:r>
        <w:rPr>
          <w:rFonts w:ascii="Times New Roman" w:hAnsi="Times New Roman"/>
          <w:b/>
          <w:i w:val="false"/>
          <w:color w:val="000000"/>
          <w:sz w:val="30"/>
        </w:rPr>
        <w:t>单位地址： 陕西省咸阳市咸阳市本级渭阳中路6号</w:t>
      </w:r>
      <w:r>
        <w:rPr>
          <w:rFonts w:ascii="Times New Roman" w:hAnsi="Times New Roman"/>
          <w:b/>
          <w:i w:val="false"/>
          <w:color w:val="000000"/>
          <w:sz w:val="22"/>
        </w:rPr>
        <w:t xml:space="preserve"> </w:t>
      </w:r>
    </w:p>
    <w:p>
      <w:pPr>
        <w:spacing w:before="0" w:after="0"/>
        <w:ind w:left="120"/>
        <w:jc w:val="left"/>
      </w:pPr>
    </w:p>
    <w:p>
      <w:pPr>
        <w:spacing w:before="240" w:after="240"/>
        <w:ind w:left="120"/>
        <w:jc w:val="left"/>
      </w:pPr>
      <w:r>
        <w:rPr>
          <w:rFonts w:ascii="Courier New" w:hAnsi="Courier New"/>
          <w:b/>
          <w:i w:val="false"/>
          <w:color w:val="000000"/>
          <w:sz w:val="27"/>
        </w:rPr>
        <w:t>2025年11月07日</w:t>
      </w:r>
    </w:p>
    <w:p>
      <w:pPr>
        <w:spacing w:before="0" w:after="0"/>
        <w:ind w:left="120"/>
        <w:jc w:val="left"/>
      </w:pPr>
    </w:p>
    <w:p>
      <w:pPr>
        <w:spacing w:before="269" w:after="269"/>
        <w:ind w:left="120"/>
        <w:jc w:val="left"/>
      </w:pPr>
      <w:r>
        <w:rPr>
          <w:rFonts w:ascii="Times New Roman" w:hAnsi="Times New Roman"/>
          <w:b/>
          <w:i w:val="false"/>
          <w:color w:val="000000"/>
          <w:sz w:val="22"/>
        </w:rPr>
        <w:t xml:space="preserve"> </w:t>
      </w:r>
      <w:r>
        <w:rPr>
          <w:rFonts w:ascii="Times New Roman" w:hAnsi="Times New Roman"/>
          <w:b/>
          <w:i w:val="false"/>
          <w:color w:val="000000"/>
          <w:sz w:val="30"/>
        </w:rPr>
        <w:t>乙方(公章)：</w:t>
      </w:r>
      <w:r>
        <w:rPr>
          <w:rFonts w:ascii="Times New Roman" w:hAnsi="Times New Roman"/>
          <w:b/>
          <w:i w:val="false"/>
          <w:color w:val="000000"/>
          <w:sz w:val="22"/>
        </w:rPr>
        <w:t xml:space="preserve"> </w:t>
      </w:r>
    </w:p>
    <w:p>
      <w:pPr>
        <w:spacing w:before="269" w:after="269"/>
        <w:ind w:left="120"/>
        <w:jc w:val="left"/>
      </w:pPr>
      <w:r>
        <w:rPr>
          <w:rFonts w:ascii="Times New Roman" w:hAnsi="Times New Roman"/>
          <w:b/>
          <w:i w:val="false"/>
          <w:color w:val="000000"/>
          <w:sz w:val="22"/>
        </w:rPr>
        <w:t xml:space="preserve"> </w:t>
      </w:r>
      <w:r>
        <w:rPr>
          <w:rFonts w:ascii="Times New Roman" w:hAnsi="Times New Roman"/>
          <w:b/>
          <w:i w:val="false"/>
          <w:color w:val="000000"/>
          <w:sz w:val="30"/>
        </w:rPr>
        <w:t>乙方代表：</w:t>
      </w:r>
      <w:r>
        <w:rPr>
          <w:rFonts w:ascii="Times New Roman" w:hAnsi="Times New Roman"/>
          <w:b/>
          <w:i w:val="false"/>
          <w:color w:val="000000"/>
          <w:sz w:val="22"/>
        </w:rPr>
        <w:t xml:space="preserve">咸阳胜通宏海汽车服务有限公司 </w:t>
      </w:r>
    </w:p>
    <w:p>
      <w:pPr>
        <w:spacing w:before="269" w:after="269"/>
        <w:ind w:left="120"/>
        <w:jc w:val="left"/>
      </w:pPr>
      <w:r>
        <w:rPr>
          <w:rFonts w:ascii="Times New Roman" w:hAnsi="Times New Roman"/>
          <w:b/>
          <w:i w:val="false"/>
          <w:color w:val="000000"/>
          <w:sz w:val="22"/>
        </w:rPr>
        <w:t xml:space="preserve"> </w:t>
      </w:r>
      <w:r>
        <w:rPr>
          <w:rFonts w:ascii="Times New Roman" w:hAnsi="Times New Roman"/>
          <w:b/>
          <w:i w:val="false"/>
          <w:color w:val="000000"/>
          <w:sz w:val="30"/>
        </w:rPr>
        <w:t>开户银行：中国银行股份有限公司咸阳玉泉西路支行</w:t>
      </w:r>
      <w:r>
        <w:rPr>
          <w:rFonts w:ascii="Times New Roman" w:hAnsi="Times New Roman"/>
          <w:b/>
          <w:i w:val="false"/>
          <w:color w:val="000000"/>
          <w:sz w:val="22"/>
        </w:rPr>
        <w:t xml:space="preserve"> </w:t>
      </w:r>
    </w:p>
    <w:p>
      <w:pPr>
        <w:spacing w:before="269" w:after="269"/>
        <w:ind w:left="120"/>
        <w:jc w:val="left"/>
      </w:pPr>
      <w:r>
        <w:rPr>
          <w:rFonts w:ascii="Times New Roman" w:hAnsi="Times New Roman"/>
          <w:b/>
          <w:i w:val="false"/>
          <w:color w:val="000000"/>
          <w:sz w:val="22"/>
        </w:rPr>
        <w:t xml:space="preserve"> </w:t>
      </w:r>
      <w:r>
        <w:rPr>
          <w:rFonts w:ascii="Times New Roman" w:hAnsi="Times New Roman"/>
          <w:b/>
          <w:i w:val="false"/>
          <w:color w:val="000000"/>
          <w:sz w:val="30"/>
        </w:rPr>
        <w:t>银行账号：103603329394</w:t>
      </w:r>
      <w:r>
        <w:rPr>
          <w:rFonts w:ascii="Times New Roman" w:hAnsi="Times New Roman"/>
          <w:b/>
          <w:i w:val="false"/>
          <w:color w:val="000000"/>
          <w:sz w:val="22"/>
        </w:rPr>
        <w:t xml:space="preserve"> </w:t>
      </w:r>
    </w:p>
    <w:p>
      <w:pPr>
        <w:spacing w:before="269" w:after="269"/>
        <w:ind w:left="120"/>
        <w:jc w:val="left"/>
      </w:pPr>
      <w:r>
        <w:rPr>
          <w:rFonts w:ascii="Times New Roman" w:hAnsi="Times New Roman"/>
          <w:b/>
          <w:i w:val="false"/>
          <w:color w:val="000000"/>
          <w:sz w:val="22"/>
        </w:rPr>
        <w:t xml:space="preserve"> </w:t>
      </w:r>
      <w:r>
        <w:rPr>
          <w:rFonts w:ascii="Times New Roman" w:hAnsi="Times New Roman"/>
          <w:b/>
          <w:i w:val="false"/>
          <w:color w:val="000000"/>
          <w:sz w:val="30"/>
        </w:rPr>
        <w:t>银行行号：</w:t>
      </w:r>
      <w:r>
        <w:rPr>
          <w:rFonts w:ascii="Times New Roman" w:hAnsi="Times New Roman"/>
          <w:b/>
          <w:i w:val="false"/>
          <w:color w:val="000000"/>
          <w:sz w:val="22"/>
        </w:rPr>
        <w:t xml:space="preserve">104795000150 </w:t>
      </w:r>
    </w:p>
    <w:p>
      <w:pPr>
        <w:spacing w:before="269" w:after="269"/>
        <w:ind w:left="120"/>
        <w:jc w:val="left"/>
      </w:pPr>
      <w:r>
        <w:rPr>
          <w:rFonts w:ascii="Times New Roman" w:hAnsi="Times New Roman"/>
          <w:b/>
          <w:i w:val="false"/>
          <w:color w:val="000000"/>
          <w:sz w:val="22"/>
        </w:rPr>
        <w:t xml:space="preserve"> </w:t>
      </w:r>
      <w:r>
        <w:rPr>
          <w:rFonts w:ascii="Times New Roman" w:hAnsi="Times New Roman"/>
          <w:b/>
          <w:i w:val="false"/>
          <w:color w:val="000000"/>
          <w:sz w:val="30"/>
        </w:rPr>
        <w:t xml:space="preserve">乙方联系人：李洪亮 </w:t>
      </w:r>
    </w:p>
    <w:p>
      <w:pPr>
        <w:spacing w:before="269" w:after="269"/>
        <w:ind w:left="120"/>
        <w:jc w:val="left"/>
      </w:pPr>
      <w:r>
        <w:rPr>
          <w:rFonts w:ascii="Times New Roman" w:hAnsi="Times New Roman"/>
          <w:b/>
          <w:i w:val="false"/>
          <w:color w:val="000000"/>
          <w:sz w:val="22"/>
        </w:rPr>
        <w:t xml:space="preserve"> </w:t>
      </w:r>
      <w:r>
        <w:rPr>
          <w:rFonts w:ascii="Times New Roman" w:hAnsi="Times New Roman"/>
          <w:b/>
          <w:i w:val="false"/>
          <w:color w:val="000000"/>
          <w:sz w:val="30"/>
        </w:rPr>
        <w:t>联系电话：13609217694</w:t>
      </w:r>
      <w:r>
        <w:rPr>
          <w:rFonts w:ascii="Times New Roman" w:hAnsi="Times New Roman"/>
          <w:b/>
          <w:i w:val="false"/>
          <w:color w:val="000000"/>
          <w:sz w:val="22"/>
        </w:rPr>
        <w:t xml:space="preserve"> </w:t>
      </w:r>
    </w:p>
    <w:p>
      <w:pPr>
        <w:spacing w:before="269" w:after="269"/>
        <w:ind w:left="120"/>
        <w:jc w:val="left"/>
      </w:pPr>
      <w:r>
        <w:rPr>
          <w:rFonts w:ascii="Times New Roman" w:hAnsi="Times New Roman"/>
          <w:b/>
          <w:i w:val="false"/>
          <w:color w:val="000000"/>
          <w:sz w:val="22"/>
        </w:rPr>
        <w:t xml:space="preserve"> </w:t>
      </w:r>
      <w:r>
        <w:rPr>
          <w:rFonts w:ascii="Times New Roman" w:hAnsi="Times New Roman"/>
          <w:b/>
          <w:i w:val="false"/>
          <w:color w:val="000000"/>
          <w:sz w:val="30"/>
        </w:rPr>
        <w:t>单位地址：陕西省咸阳市秦都区宝泉路西段</w:t>
      </w:r>
      <w:r>
        <w:rPr>
          <w:rFonts w:ascii="Times New Roman" w:hAnsi="Times New Roman"/>
          <w:b/>
          <w:i w:val="false"/>
          <w:color w:val="000000"/>
          <w:sz w:val="22"/>
        </w:rPr>
        <w:t xml:space="preserve"> </w:t>
      </w:r>
    </w:p>
    <w:p>
      <w:pPr>
        <w:spacing w:before="0" w:after="0"/>
        <w:ind w:left="120"/>
        <w:jc w:val="left"/>
      </w:pPr>
    </w:p>
    <w:p>
      <w:pPr>
        <w:spacing w:before="240" w:after="240"/>
        <w:ind w:left="120"/>
        <w:jc w:val="left"/>
      </w:pPr>
      <w:r>
        <w:rPr>
          <w:rFonts w:ascii="Courier New" w:hAnsi="Courier New"/>
          <w:b/>
          <w:i w:val="false"/>
          <w:color w:val="000000"/>
          <w:sz w:val="27"/>
        </w:rPr>
        <w:t>2025年11月07日</w:t>
      </w:r>
    </w:p>
    <w:p>
      <w:pPr>
        <w:spacing w:before="0" w:after="0"/>
        <w:ind w:left="120"/>
        <w:jc w:val="left"/>
      </w:pPr>
    </w:p>
    <w:sectPr>
      <w:pgSz w:w="11907" w:h="16839" w:code="9"/>
      <w:pgMar w:top="1440" w:right="1440" w:bottom="1440" w:left="1440"/>
    </w:sectPr>
  </w:body>
</w:document>
</file>

<file path=word/numbering.xml><?xml version="1.0" encoding="utf-8"?>
<w:numbering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v="urn:schemas-microsoft-com:vml" xmlns:o="urn:schemas-microsoft-com:office:office"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file>

<file path=word/settings.xml><?xml version="1.0" encoding="utf-8"?>
<w:settings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v="urn:schemas-microsoft-com:vml" xmlns:o="urn:schemas-microsoft-com:office:office"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
  <w:compat>
    <w:compatSetting w:name="overrideTableStyleFontSizeAndJustification" w:uri="http://schemas.microsoft.com/office/word" w:val="1"/>
  </w:compat>
</w:settings>
</file>

<file path=word/styles.xml><?xml version="1.0" encoding="utf-8"?>
<w:styles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v="urn:schemas-microsoft-com:vml" xmlns:o="urn:schemas-microsoft-com:office:office"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false" w:defUIPriority="99" w:defSemiHidden="true" w:defUnhideWhenUsed="true" w:defQFormat="false" w:count="267">
    <w:lsdException w:name="Normal" w:uiPriority="0" w:semiHidden="false" w:unhideWhenUsed="false" w:qFormat="true"/>
    <w:lsdException w:name="heading 1" w:uiPriority="9" w:semiHidden="false" w:unhideWhenUsed="false" w:qFormat="true"/>
    <w:lsdException w:name="heading 2" w:uiPriority="9" w:qFormat="true"/>
    <w:lsdException w:name="heading 3" w:uiPriority="9" w:qFormat="true"/>
    <w:lsdException w:name="heading 4" w:uiPriority="9" w:qFormat="true"/>
    <w:lsdException w:name="Title" w:uiPriority="10" w:semiHidden="false" w:unhideWhenUsed="false" w:qFormat="true"/>
    <w:lsdException w:name="Default Paragraph Font" w:uiPriority="1"/>
    <w:lsdException w:name="Subtitle" w:uiPriority="11" w:semiHidden="false" w:unhideWhenUsed="false" w:qFormat="true"/>
    <w:lsdException w:name="Emphasis" w:uiPriority="20" w:semiHidden="false" w:unhideWhenUsed="false" w:qFormat="true"/>
    <w:lsdException w:name="Table Grid" w:uiPriority="59" w:semiHidden="false" w:unhideWhenUsed="false"/>
  </w:latentStyles>
  <w:style w:type="paragraph" w:styleId="Normal" w:default="true">
    <w:name w:val="Normal"/>
    <w:qFormat/>
    <w:rsid w:val="004A3277"/>
  </w:style>
  <w:style w:type="paragraph" w:styleId="Heading1">
    <w:name w:val="heading 1"/>
    <w:basedOn w:val="Normal"/>
    <w:next w:val="Normal"/>
    <w:link w:val="Heading1Char"/>
    <w:uiPriority w:val="9"/>
    <w:qFormat/>
    <w:rsid w:val="00841CD9"/>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hAnsiTheme="majorHAnsi" w:eastAsiaTheme="majorEastAsia" w:cstheme="majorBidi"/>
      <w:b/>
      <w:bCs/>
      <w:i/>
      <w:iCs/>
      <w:color w:val="4F81BD" w:themeColor="accent1"/>
    </w:rPr>
  </w:style>
  <w:style w:type="character" w:styleId="DefaultParagraphFont" w:default="true">
    <w:name w:val="Default Paragraph Font"/>
    <w:uiPriority w:val="1"/>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styleId="HeaderChar" w:customStyle="true">
    <w:name w:val="Header Char"/>
    <w:basedOn w:val="DefaultParagraphFont"/>
    <w:link w:val="Header"/>
    <w:uiPriority w:val="99"/>
    <w:rsid w:val="00841CD9"/>
  </w:style>
  <w:style w:type="character" w:styleId="Heading1Char" w:customStyle="true">
    <w:name w:val="Heading 1 Char"/>
    <w:basedOn w:val="DefaultParagraphFont"/>
    <w:link w:val="Heading1"/>
    <w:uiPriority w:val="9"/>
    <w:rsid w:val="00841CD9"/>
    <w:rPr>
      <w:rFonts w:asciiTheme="majorHAnsi" w:hAnsiTheme="majorHAnsi" w:eastAsiaTheme="majorEastAsia" w:cstheme="majorBidi"/>
      <w:b/>
      <w:bCs/>
      <w:color w:val="365F91" w:themeColor="accent1" w:themeShade="BF"/>
      <w:sz w:val="28"/>
      <w:szCs w:val="28"/>
    </w:rPr>
  </w:style>
  <w:style w:type="character" w:styleId="Heading2Char" w:customStyle="true">
    <w:name w:val="Heading 2 Char"/>
    <w:basedOn w:val="DefaultParagraphFont"/>
    <w:link w:val="Heading2"/>
    <w:uiPriority w:val="9"/>
    <w:rsid w:val="00841CD9"/>
    <w:rPr>
      <w:rFonts w:asciiTheme="majorHAnsi" w:hAnsiTheme="majorHAnsi" w:eastAsiaTheme="majorEastAsia" w:cstheme="majorBidi"/>
      <w:b/>
      <w:bCs/>
      <w:color w:val="4F81BD" w:themeColor="accent1"/>
      <w:sz w:val="26"/>
      <w:szCs w:val="26"/>
    </w:rPr>
  </w:style>
  <w:style w:type="character" w:styleId="Heading3Char" w:customStyle="true">
    <w:name w:val="Heading 3 Char"/>
    <w:basedOn w:val="DefaultParagraphFont"/>
    <w:link w:val="Heading3"/>
    <w:uiPriority w:val="9"/>
    <w:rsid w:val="00841CD9"/>
    <w:rPr>
      <w:rFonts w:asciiTheme="majorHAnsi" w:hAnsiTheme="majorHAnsi" w:eastAsiaTheme="majorEastAsia" w:cstheme="majorBidi"/>
      <w:b/>
      <w:bCs/>
      <w:color w:val="4F81BD" w:themeColor="accent1"/>
    </w:rPr>
  </w:style>
  <w:style w:type="character" w:styleId="Heading4Char" w:customStyle="true">
    <w:name w:val="Heading 4 Char"/>
    <w:basedOn w:val="DefaultParagraphFont"/>
    <w:link w:val="Heading4"/>
    <w:uiPriority w:val="9"/>
    <w:rsid w:val="00841CD9"/>
    <w:rPr>
      <w:rFonts w:asciiTheme="majorHAnsi" w:hAnsiTheme="majorHAnsi" w:eastAsiaTheme="majorEastAsia" w:cstheme="majorBidi"/>
      <w:b/>
      <w:bCs/>
      <w:i/>
      <w:iCs/>
      <w:color w:val="4F81BD"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hAnsiTheme="majorHAnsi" w:eastAsiaTheme="majorEastAsia" w:cstheme="majorBidi"/>
      <w:i/>
      <w:iCs/>
      <w:color w:val="4F81BD" w:themeColor="accent1"/>
      <w:spacing w:val="15"/>
      <w:sz w:val="24"/>
      <w:szCs w:val="24"/>
    </w:rPr>
  </w:style>
  <w:style w:type="character" w:styleId="SubtitleChar" w:customStyle="true">
    <w:name w:val="Subtitle Char"/>
    <w:basedOn w:val="DefaultParagraphFont"/>
    <w:link w:val="Subtitle"/>
    <w:uiPriority w:val="11"/>
    <w:rsid w:val="00841CD9"/>
    <w:rPr>
      <w:rFonts w:asciiTheme="majorHAnsi" w:hAnsiTheme="majorHAnsi" w:eastAsiaTheme="majorEastAsia" w:cstheme="majorBidi"/>
      <w:i/>
      <w:iCs/>
      <w:color w:val="4F81BD" w:themeColor="accent1"/>
      <w:spacing w:val="15"/>
      <w:sz w:val="24"/>
      <w:szCs w:val="24"/>
    </w:rPr>
  </w:style>
  <w:style w:type="paragraph" w:styleId="Title">
    <w:name w:val="Title"/>
    <w:basedOn w:val="Normal"/>
    <w:next w:val="Normal"/>
    <w:link w:val="TitleChar"/>
    <w:uiPriority w:val="10"/>
    <w:qFormat/>
    <w:rsid w:val="00841CD9"/>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true">
    <w:name w:val="Title Char"/>
    <w:basedOn w:val="DefaultParagraphFont"/>
    <w:link w:val="Title"/>
    <w:uiPriority w:val="10"/>
    <w:rsid w:val="00841CD9"/>
    <w:rPr>
      <w:rFonts w:asciiTheme="majorHAnsi" w:hAnsiTheme="majorHAnsi" w:eastAsiaTheme="majorEastAsia" w:cstheme="majorBidi"/>
      <w:color w:val="17365D"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table" w:styleId="TableNormal" w:default="true">
    <w:name w:val="Normal Table"/>
    <w:uiPriority w:val="99"/>
    <w:semiHidden/>
    <w:unhideWhenUsed/>
    <w:qFormat/>
    <w:tblPr>
      <w:tblInd w:w="0" w:type="dxa"/>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7109C0"/>
    <w:pPr>
      <w:spacing w:line="240" w:lineRule="auto"/>
    </w:pPr>
    <w:rPr>
      <w:b/>
      <w:bCs/>
      <w:color w:val="4F81BD" w:themeColor="accent1"/>
      <w:sz w:val="18"/>
      <w:szCs w:val="18"/>
    </w:rPr>
  </w:style>
</w:styles>
</file>

<file path=word/_rels/document.xml.rels><?xml version="1.0" encoding="UTF-8" standalone="yes"?>
<Relationships xmlns="http://schemas.openxmlformats.org/package/2006/relationships">
    <Relationship Target="styles.xml" Type="http://schemas.openxmlformats.org/officeDocument/2006/relationships/styles" Id="rId1"/>
    <Relationship Target="settings.xml" Type="http://schemas.openxmlformats.org/officeDocument/2006/relationships/settings" Id="rId2"/>
    <Relationship Target="numbering.xml" Type="http://schemas.openxmlformats.org/officeDocument/2006/relationships/numbering" Id="rId3"/>
</Relationships>

</file>

<file path=docProps/app.xml><?xml version="1.0" encoding="utf-8"?>
<properties:Properties xmlns:propertie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terms="http://purl.org/dc/terms/" xmlns:dc="http://purl.org/dc/elements/1.1/"/>
</file>