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3C6B51">
      <w:pPr>
        <w:pStyle w:val="8"/>
        <w:rPr>
          <w:rFonts w:hint="eastAsia" w:ascii="方正小标宋简体" w:hAnsi="宋体" w:eastAsia="方正小标宋简体"/>
          <w:sz w:val="44"/>
          <w:szCs w:val="44"/>
        </w:rPr>
      </w:pPr>
    </w:p>
    <w:p w14:paraId="0DEDBE99">
      <w:pPr>
        <w:pStyle w:val="8"/>
        <w:rPr>
          <w:rFonts w:hint="eastAsia" w:ascii="方正小标宋简体" w:hAnsi="宋体" w:eastAsia="方正小标宋简体"/>
          <w:sz w:val="44"/>
          <w:szCs w:val="44"/>
        </w:rPr>
      </w:pPr>
    </w:p>
    <w:p w14:paraId="167B5BEF">
      <w:pPr>
        <w:spacing w:before="100" w:beforeAutospacing="1" w:after="100" w:afterAutospacing="1" w:line="480" w:lineRule="exact"/>
        <w:jc w:val="center"/>
        <w:rPr>
          <w:rFonts w:hint="eastAsia" w:ascii="黑体" w:hAnsi="黑体" w:eastAsia="黑体"/>
          <w:b/>
          <w:sz w:val="36"/>
        </w:rPr>
      </w:pPr>
      <w:r>
        <w:rPr>
          <w:rFonts w:hint="eastAsia" w:ascii="黑体" w:hAnsi="黑体" w:eastAsia="黑体"/>
          <w:b/>
          <w:sz w:val="36"/>
        </w:rPr>
        <w:t>专项审计业务约定书</w:t>
      </w:r>
    </w:p>
    <w:p w14:paraId="7704E58F">
      <w:pPr>
        <w:pStyle w:val="8"/>
        <w:ind w:firstLine="2200" w:firstLineChars="500"/>
        <w:rPr>
          <w:rFonts w:hint="eastAsia" w:ascii="方正小标宋简体" w:hAnsi="宋体" w:eastAsia="方正小标宋简体"/>
          <w:sz w:val="44"/>
          <w:szCs w:val="44"/>
        </w:rPr>
      </w:pPr>
    </w:p>
    <w:p w14:paraId="11E798B6">
      <w:pPr>
        <w:pStyle w:val="8"/>
        <w:ind w:firstLine="2200" w:firstLineChars="500"/>
        <w:rPr>
          <w:rFonts w:hint="eastAsia" w:ascii="方正小标宋简体" w:hAnsi="宋体" w:eastAsia="方正小标宋简体"/>
          <w:sz w:val="44"/>
          <w:szCs w:val="44"/>
        </w:rPr>
      </w:pPr>
    </w:p>
    <w:p w14:paraId="7CDA3809">
      <w:pPr>
        <w:pStyle w:val="8"/>
        <w:ind w:firstLine="2200" w:firstLineChars="500"/>
        <w:rPr>
          <w:rFonts w:hint="eastAsia" w:ascii="方正小标宋简体" w:hAnsi="宋体" w:eastAsia="方正小标宋简体"/>
          <w:sz w:val="44"/>
          <w:szCs w:val="44"/>
        </w:rPr>
      </w:pPr>
    </w:p>
    <w:p w14:paraId="5AA49AC4">
      <w:pPr>
        <w:pStyle w:val="8"/>
        <w:ind w:firstLine="2200" w:firstLineChars="500"/>
        <w:rPr>
          <w:rFonts w:hint="eastAsia" w:ascii="方正小标宋简体" w:hAnsi="宋体" w:eastAsia="方正小标宋简体"/>
          <w:sz w:val="44"/>
          <w:szCs w:val="44"/>
        </w:rPr>
      </w:pPr>
    </w:p>
    <w:p w14:paraId="77D247D0">
      <w:pPr>
        <w:pStyle w:val="8"/>
        <w:ind w:firstLine="2200" w:firstLineChars="500"/>
        <w:rPr>
          <w:rFonts w:hint="eastAsia" w:ascii="方正小标宋简体" w:hAnsi="宋体" w:eastAsia="方正小标宋简体"/>
          <w:sz w:val="44"/>
          <w:szCs w:val="44"/>
        </w:rPr>
      </w:pPr>
    </w:p>
    <w:p w14:paraId="5919E501">
      <w:pPr>
        <w:pStyle w:val="8"/>
        <w:ind w:firstLine="2200" w:firstLineChars="500"/>
        <w:rPr>
          <w:rFonts w:hint="eastAsia" w:ascii="方正小标宋简体" w:hAnsi="宋体" w:eastAsia="方正小标宋简体"/>
          <w:sz w:val="44"/>
          <w:szCs w:val="44"/>
        </w:rPr>
      </w:pPr>
    </w:p>
    <w:p w14:paraId="51734DAD">
      <w:pPr>
        <w:pStyle w:val="8"/>
        <w:ind w:firstLine="2200" w:firstLineChars="500"/>
        <w:rPr>
          <w:rFonts w:hint="eastAsia" w:ascii="方正小标宋简体" w:hAnsi="宋体" w:eastAsia="方正小标宋简体"/>
          <w:sz w:val="44"/>
          <w:szCs w:val="44"/>
        </w:rPr>
      </w:pPr>
    </w:p>
    <w:p w14:paraId="4F77B86B">
      <w:pPr>
        <w:pStyle w:val="8"/>
        <w:ind w:firstLine="2200" w:firstLineChars="500"/>
        <w:rPr>
          <w:rFonts w:hint="eastAsia" w:ascii="方正小标宋简体" w:hAnsi="宋体" w:eastAsia="方正小标宋简体"/>
          <w:sz w:val="44"/>
          <w:szCs w:val="44"/>
        </w:rPr>
      </w:pPr>
    </w:p>
    <w:p w14:paraId="3EEAC128">
      <w:pPr>
        <w:pStyle w:val="8"/>
        <w:ind w:firstLine="2200" w:firstLineChars="500"/>
        <w:rPr>
          <w:rFonts w:hint="eastAsia" w:ascii="方正小标宋简体" w:hAnsi="宋体" w:eastAsia="方正小标宋简体"/>
          <w:sz w:val="44"/>
          <w:szCs w:val="44"/>
        </w:rPr>
      </w:pPr>
    </w:p>
    <w:p w14:paraId="4F00DEAB">
      <w:pPr>
        <w:pStyle w:val="8"/>
        <w:rPr>
          <w:rFonts w:hint="eastAsia" w:ascii="方正小标宋简体" w:hAnsi="宋体" w:eastAsia="方正小标宋简体"/>
          <w:sz w:val="44"/>
          <w:szCs w:val="44"/>
        </w:rPr>
      </w:pPr>
    </w:p>
    <w:p w14:paraId="6F6B165E">
      <w:pPr>
        <w:pStyle w:val="8"/>
        <w:ind w:firstLine="1400" w:firstLineChars="500"/>
        <w:jc w:val="both"/>
        <w:rPr>
          <w:rFonts w:hint="eastAsia" w:ascii="方正小标宋简体" w:hAnsi="宋体" w:eastAsia="方正小标宋简体"/>
          <w:sz w:val="28"/>
          <w:szCs w:val="28"/>
        </w:rPr>
      </w:pPr>
    </w:p>
    <w:p w14:paraId="331368D9">
      <w:pPr>
        <w:pStyle w:val="8"/>
        <w:ind w:firstLine="1405" w:firstLineChars="500"/>
        <w:jc w:val="both"/>
        <w:rPr>
          <w:rFonts w:hint="eastAsia" w:ascii="方正小标宋简体" w:hAnsi="宋体" w:eastAsia="方正小标宋简体"/>
          <w:b/>
          <w:bCs/>
          <w:sz w:val="28"/>
          <w:szCs w:val="28"/>
          <w:u w:val="single"/>
        </w:rPr>
      </w:pPr>
      <w:r>
        <w:rPr>
          <w:rFonts w:hint="eastAsia" w:ascii="仿宋_GB2312" w:hAnsi="仿宋_GB2312" w:eastAsia="仿宋_GB2312" w:cs="仿宋_GB2312"/>
          <w:b/>
          <w:bCs/>
          <w:sz w:val="28"/>
          <w:szCs w:val="28"/>
        </w:rPr>
        <w:t>委托方（甲方）：</w:t>
      </w:r>
      <w:r>
        <w:rPr>
          <w:rFonts w:hint="eastAsia" w:ascii="方正小标宋简体" w:hAnsi="宋体" w:eastAsia="方正小标宋简体"/>
          <w:b/>
          <w:bCs/>
          <w:sz w:val="28"/>
          <w:szCs w:val="28"/>
          <w:u w:val="single"/>
        </w:rPr>
        <w:t xml:space="preserve"> 陕西省机关事务服务中心</w:t>
      </w:r>
    </w:p>
    <w:p w14:paraId="6ADE512A">
      <w:pPr>
        <w:pStyle w:val="8"/>
        <w:ind w:firstLine="1405" w:firstLineChars="500"/>
        <w:jc w:val="both"/>
        <w:rPr>
          <w:rFonts w:hint="eastAsia" w:ascii="仿宋_GB2312" w:hAnsi="仿宋_GB2312" w:eastAsia="仿宋_GB2312" w:cs="仿宋_GB2312"/>
          <w:b/>
          <w:bCs/>
          <w:sz w:val="28"/>
          <w:szCs w:val="28"/>
        </w:rPr>
      </w:pPr>
    </w:p>
    <w:p w14:paraId="6DDCB144">
      <w:pPr>
        <w:pStyle w:val="8"/>
        <w:ind w:firstLine="1405" w:firstLineChars="500"/>
        <w:jc w:val="both"/>
        <w:rPr>
          <w:rFonts w:hint="eastAsia" w:ascii="方正小标宋简体" w:hAnsi="宋体" w:eastAsia="方正小标宋简体"/>
          <w:b/>
          <w:bCs/>
          <w:sz w:val="28"/>
          <w:szCs w:val="28"/>
          <w:u w:val="single"/>
        </w:rPr>
      </w:pPr>
      <w:r>
        <w:rPr>
          <w:rFonts w:hint="eastAsia" w:ascii="仿宋_GB2312" w:hAnsi="仿宋_GB2312" w:eastAsia="仿宋_GB2312" w:cs="仿宋_GB2312"/>
          <w:b/>
          <w:bCs/>
          <w:sz w:val="28"/>
          <w:szCs w:val="28"/>
        </w:rPr>
        <w:t>受托方（乙方）：</w:t>
      </w:r>
      <w:r>
        <w:rPr>
          <w:rFonts w:hint="eastAsia" w:ascii="方正小标宋简体" w:hAnsi="宋体" w:eastAsia="方正小标宋简体"/>
          <w:b/>
          <w:bCs/>
          <w:sz w:val="28"/>
          <w:szCs w:val="28"/>
          <w:u w:val="single"/>
        </w:rPr>
        <w:t xml:space="preserve"> 陕西诺勤会计师事务所（普通合伙）   </w:t>
      </w:r>
    </w:p>
    <w:p w14:paraId="46896507">
      <w:pPr>
        <w:pStyle w:val="8"/>
        <w:jc w:val="both"/>
        <w:rPr>
          <w:rFonts w:hint="eastAsia" w:ascii="方正小标宋简体" w:hAnsi="宋体" w:eastAsia="方正小标宋简体"/>
          <w:b/>
          <w:bCs/>
          <w:sz w:val="28"/>
          <w:szCs w:val="28"/>
        </w:rPr>
      </w:pPr>
    </w:p>
    <w:p w14:paraId="1FF5A9F7">
      <w:pPr>
        <w:pStyle w:val="8"/>
        <w:jc w:val="center"/>
        <w:rPr>
          <w:rFonts w:hint="eastAsia" w:ascii="方正小标宋简体" w:hAnsi="宋体" w:eastAsia="方正小标宋简体"/>
          <w:b/>
          <w:bCs/>
          <w:sz w:val="28"/>
          <w:szCs w:val="28"/>
        </w:rPr>
      </w:pPr>
    </w:p>
    <w:p w14:paraId="2E863C34">
      <w:pPr>
        <w:pStyle w:val="8"/>
        <w:jc w:val="center"/>
        <w:rPr>
          <w:rFonts w:hint="eastAsia" w:ascii="仿宋_GB2312" w:hAnsi="仿宋_GB2312" w:eastAsia="仿宋_GB2312" w:cs="仿宋_GB2312"/>
          <w:b/>
          <w:bCs/>
          <w:sz w:val="44"/>
          <w:szCs w:val="44"/>
        </w:rPr>
      </w:pPr>
      <w:r>
        <w:rPr>
          <w:rFonts w:hint="eastAsia" w:ascii="仿宋_GB2312" w:hAnsi="仿宋_GB2312" w:eastAsia="仿宋_GB2312" w:cs="仿宋_GB2312"/>
          <w:b/>
          <w:bCs/>
          <w:sz w:val="28"/>
          <w:szCs w:val="28"/>
        </w:rPr>
        <w:t>二〇二五年十一月</w:t>
      </w:r>
    </w:p>
    <w:p w14:paraId="6A88BCC7">
      <w:pPr>
        <w:snapToGrid w:val="0"/>
        <w:spacing w:before="312" w:beforeLines="100" w:after="312" w:afterLines="100" w:line="480" w:lineRule="exact"/>
        <w:jc w:val="center"/>
        <w:rPr>
          <w:rFonts w:hint="eastAsia" w:ascii="黑体" w:hAnsi="宋体" w:eastAsia="黑体" w:cs="Times New Roman"/>
          <w:b/>
          <w:sz w:val="36"/>
          <w:szCs w:val="36"/>
        </w:rPr>
      </w:pPr>
    </w:p>
    <w:p w14:paraId="6E69909D">
      <w:pPr>
        <w:snapToGrid w:val="0"/>
        <w:spacing w:before="312" w:beforeLines="100" w:after="312" w:afterLines="100" w:line="480" w:lineRule="exact"/>
        <w:jc w:val="center"/>
        <w:rPr>
          <w:rFonts w:hint="eastAsia" w:ascii="黑体" w:hAnsi="宋体" w:eastAsia="黑体" w:cs="Times New Roman"/>
          <w:b/>
          <w:sz w:val="36"/>
          <w:szCs w:val="36"/>
        </w:rPr>
      </w:pPr>
    </w:p>
    <w:p w14:paraId="51736CCA">
      <w:pPr>
        <w:snapToGrid w:val="0"/>
        <w:spacing w:before="312" w:beforeLines="100" w:after="312" w:afterLines="100" w:line="480" w:lineRule="exact"/>
        <w:jc w:val="center"/>
        <w:rPr>
          <w:rFonts w:hint="eastAsia" w:ascii="黑体" w:hAnsi="宋体" w:eastAsia="黑体" w:cs="Times New Roman"/>
          <w:b/>
          <w:sz w:val="36"/>
          <w:szCs w:val="36"/>
        </w:rPr>
      </w:pPr>
      <w:r>
        <w:rPr>
          <w:rFonts w:hint="eastAsia" w:ascii="黑体" w:hAnsi="宋体" w:eastAsia="黑体" w:cs="Times New Roman"/>
          <w:b/>
          <w:sz w:val="36"/>
          <w:szCs w:val="36"/>
        </w:rPr>
        <w:t>专项审计业务约定书</w:t>
      </w:r>
    </w:p>
    <w:p w14:paraId="483E358C">
      <w:pPr>
        <w:pStyle w:val="10"/>
        <w:spacing w:before="156" w:beforeLines="50" w:beforeAutospacing="0" w:after="156" w:afterLines="50" w:afterAutospacing="0" w:line="480" w:lineRule="exact"/>
        <w:ind w:firstLine="482"/>
        <w:rPr>
          <w:rFonts w:hint="eastAsia"/>
          <w:bCs/>
          <w:sz w:val="21"/>
          <w:szCs w:val="21"/>
        </w:rPr>
      </w:pPr>
      <w:r>
        <w:rPr>
          <w:bCs/>
          <w:sz w:val="21"/>
          <w:szCs w:val="21"/>
        </w:rPr>
        <w:t>甲方：</w:t>
      </w:r>
      <w:r>
        <w:rPr>
          <w:rFonts w:hint="eastAsia"/>
          <w:bCs/>
          <w:sz w:val="21"/>
          <w:szCs w:val="21"/>
          <w:u w:val="single"/>
        </w:rPr>
        <w:t>陕西省机关事务服务中心</w:t>
      </w:r>
    </w:p>
    <w:p w14:paraId="71CA4304">
      <w:pPr>
        <w:pStyle w:val="10"/>
        <w:spacing w:before="156" w:beforeLines="50" w:beforeAutospacing="0" w:after="156" w:afterLines="50" w:afterAutospacing="0" w:line="480" w:lineRule="exact"/>
        <w:ind w:firstLine="482"/>
        <w:rPr>
          <w:rFonts w:hint="eastAsia"/>
          <w:b/>
          <w:sz w:val="21"/>
          <w:szCs w:val="21"/>
          <w:u w:val="single"/>
        </w:rPr>
      </w:pPr>
      <w:r>
        <w:rPr>
          <w:bCs/>
          <w:sz w:val="21"/>
          <w:szCs w:val="21"/>
        </w:rPr>
        <w:t>乙方：</w:t>
      </w:r>
      <w:r>
        <w:rPr>
          <w:rFonts w:hint="eastAsia"/>
          <w:bCs/>
          <w:sz w:val="21"/>
          <w:szCs w:val="21"/>
          <w:u w:val="single"/>
        </w:rPr>
        <w:t>陕西诺勤会计师事务所（普通合伙）</w:t>
      </w:r>
      <w:r>
        <w:rPr>
          <w:rFonts w:hint="eastAsia"/>
          <w:b/>
          <w:sz w:val="21"/>
          <w:szCs w:val="21"/>
          <w:u w:val="single"/>
        </w:rPr>
        <w:t xml:space="preserve">     </w:t>
      </w:r>
      <w:r>
        <w:rPr>
          <w:rFonts w:hint="eastAsia"/>
          <w:sz w:val="21"/>
          <w:szCs w:val="21"/>
        </w:rPr>
        <w:t xml:space="preserve">  </w:t>
      </w:r>
      <w:r>
        <w:rPr>
          <w:rFonts w:hint="eastAsia"/>
          <w:b/>
          <w:sz w:val="21"/>
          <w:szCs w:val="21"/>
          <w:u w:val="single"/>
        </w:rPr>
        <w:t xml:space="preserve">           </w:t>
      </w:r>
    </w:p>
    <w:p w14:paraId="61A9D93D">
      <w:pPr>
        <w:spacing w:before="156" w:beforeLines="50" w:after="156" w:afterLines="50" w:line="480" w:lineRule="exact"/>
        <w:ind w:firstLine="420" w:firstLineChars="200"/>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本业务约定书按照自愿、公平原则明确双方的权利义务和责任等，经双方协商，达成以下约定：</w:t>
      </w:r>
    </w:p>
    <w:p w14:paraId="6841169E">
      <w:pPr>
        <w:spacing w:before="312" w:beforeLines="100" w:after="312" w:afterLines="100" w:line="360" w:lineRule="exact"/>
        <w:ind w:firstLine="482" w:firstLineChars="200"/>
        <w:rPr>
          <w:szCs w:val="21"/>
        </w:rPr>
      </w:pPr>
      <w:r>
        <w:rPr>
          <w:rFonts w:ascii="黑体" w:hAnsi="宋体" w:eastAsia="黑体" w:cs="Times New Roman"/>
          <w:b/>
          <w:sz w:val="24"/>
          <w:szCs w:val="24"/>
        </w:rPr>
        <w:t>一、</w:t>
      </w:r>
      <w:r>
        <w:rPr>
          <w:rFonts w:hint="eastAsia" w:ascii="黑体" w:hAnsi="宋体" w:eastAsia="黑体" w:cs="Times New Roman"/>
          <w:b/>
          <w:sz w:val="24"/>
          <w:szCs w:val="24"/>
        </w:rPr>
        <w:t>业务范围</w:t>
      </w:r>
    </w:p>
    <w:p w14:paraId="14D2F56F">
      <w:pPr>
        <w:spacing w:before="156" w:beforeLines="50" w:after="156" w:afterLines="50" w:line="480" w:lineRule="exact"/>
        <w:ind w:firstLine="420" w:firstLineChars="200"/>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乙方接受甲方委托，对</w:t>
      </w:r>
      <w:bookmarkStart w:id="0" w:name="OLE_LINK1"/>
      <w:r>
        <w:rPr>
          <w:rFonts w:hint="eastAsia" w:ascii="宋体" w:hAnsi="宋体"/>
          <w:color w:val="000000" w:themeColor="text1"/>
          <w:szCs w:val="21"/>
          <w14:textFill>
            <w14:solidFill>
              <w14:schemeClr w14:val="tx1"/>
            </w14:solidFill>
          </w14:textFill>
        </w:rPr>
        <w:t>2020年4月1日-2025年10月31日陕西省人民政府第一招待所（雁苑宾馆）财务收支开展专项审计。</w:t>
      </w:r>
    </w:p>
    <w:bookmarkEnd w:id="0"/>
    <w:p w14:paraId="17B6E0F6">
      <w:pPr>
        <w:spacing w:before="312" w:beforeLines="100" w:after="312" w:afterLines="100" w:line="360" w:lineRule="exact"/>
        <w:ind w:firstLine="482" w:firstLineChars="200"/>
        <w:rPr>
          <w:rFonts w:hint="eastAsia" w:ascii="黑体" w:hAnsi="宋体" w:eastAsia="黑体" w:cs="Times New Roman"/>
          <w:b/>
          <w:sz w:val="24"/>
          <w:szCs w:val="24"/>
        </w:rPr>
      </w:pPr>
      <w:r>
        <w:rPr>
          <w:rFonts w:hint="eastAsia" w:ascii="黑体" w:hAnsi="宋体" w:eastAsia="黑体" w:cs="Times New Roman"/>
          <w:b/>
          <w:sz w:val="24"/>
          <w:szCs w:val="24"/>
        </w:rPr>
        <w:t>二</w:t>
      </w:r>
      <w:r>
        <w:rPr>
          <w:rFonts w:ascii="黑体" w:hAnsi="宋体" w:eastAsia="黑体" w:cs="Times New Roman"/>
          <w:b/>
          <w:sz w:val="24"/>
          <w:szCs w:val="24"/>
        </w:rPr>
        <w:t>、</w:t>
      </w:r>
      <w:r>
        <w:rPr>
          <w:rFonts w:hint="eastAsia" w:ascii="黑体" w:hAnsi="宋体" w:eastAsia="黑体" w:cs="Times New Roman"/>
          <w:b/>
          <w:sz w:val="24"/>
          <w:szCs w:val="24"/>
        </w:rPr>
        <w:t>审计目标</w:t>
      </w:r>
    </w:p>
    <w:p w14:paraId="23CFE20B">
      <w:pPr>
        <w:spacing w:before="156" w:beforeLines="50" w:after="156" w:afterLines="50" w:line="480" w:lineRule="exact"/>
        <w:ind w:firstLine="420" w:firstLineChars="200"/>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对被审计单位在审计期间的财务收支情况进行审计，以评价其收入的真实性、完整性以及各项支出的合规性、合理性并出具专项审计报告。</w:t>
      </w:r>
    </w:p>
    <w:p w14:paraId="18A9E9F9">
      <w:pPr>
        <w:spacing w:before="312" w:beforeLines="100" w:after="312" w:afterLines="100" w:line="360" w:lineRule="exact"/>
        <w:ind w:firstLine="482" w:firstLineChars="200"/>
        <w:rPr>
          <w:rFonts w:hint="eastAsia" w:ascii="黑体" w:hAnsi="宋体" w:eastAsia="黑体" w:cs="Times New Roman"/>
          <w:b/>
          <w:sz w:val="24"/>
          <w:szCs w:val="24"/>
        </w:rPr>
      </w:pPr>
      <w:r>
        <w:rPr>
          <w:rFonts w:hint="eastAsia" w:ascii="黑体" w:hAnsi="宋体" w:eastAsia="黑体" w:cs="Times New Roman"/>
          <w:b/>
          <w:sz w:val="24"/>
          <w:szCs w:val="24"/>
        </w:rPr>
        <w:t>三</w:t>
      </w:r>
      <w:r>
        <w:rPr>
          <w:rFonts w:ascii="黑体" w:hAnsi="宋体" w:eastAsia="黑体" w:cs="Times New Roman"/>
          <w:b/>
          <w:sz w:val="24"/>
          <w:szCs w:val="24"/>
        </w:rPr>
        <w:t>、甲、乙双方的权</w:t>
      </w:r>
      <w:r>
        <w:rPr>
          <w:rFonts w:hint="eastAsia" w:ascii="黑体" w:hAnsi="宋体" w:eastAsia="黑体" w:cs="Times New Roman"/>
          <w:b/>
          <w:sz w:val="24"/>
          <w:szCs w:val="24"/>
        </w:rPr>
        <w:t>利</w:t>
      </w:r>
      <w:r>
        <w:rPr>
          <w:rFonts w:ascii="黑体" w:hAnsi="宋体" w:eastAsia="黑体" w:cs="Times New Roman"/>
          <w:b/>
          <w:sz w:val="24"/>
          <w:szCs w:val="24"/>
        </w:rPr>
        <w:t>和义务</w:t>
      </w:r>
    </w:p>
    <w:p w14:paraId="4981AEC7">
      <w:pPr>
        <w:spacing w:before="156" w:beforeLines="50" w:after="156" w:afterLines="50" w:line="480" w:lineRule="exact"/>
        <w:ind w:firstLine="420" w:firstLineChars="200"/>
        <w:rPr>
          <w:rFonts w:hint="eastAsia" w:asciiTheme="minorEastAsia" w:hAnsiTheme="minorEastAsia"/>
          <w:color w:val="000000" w:themeColor="text1"/>
          <w:szCs w:val="21"/>
          <w14:textFill>
            <w14:solidFill>
              <w14:schemeClr w14:val="tx1"/>
            </w14:solidFill>
          </w14:textFill>
        </w:rPr>
      </w:pPr>
      <w:r>
        <w:rPr>
          <w:rFonts w:hint="eastAsia" w:asciiTheme="minorEastAsia" w:hAnsiTheme="minorEastAsia"/>
          <w:color w:val="000000" w:themeColor="text1"/>
          <w:szCs w:val="21"/>
          <w14:textFill>
            <w14:solidFill>
              <w14:schemeClr w14:val="tx1"/>
            </w14:solidFill>
          </w14:textFill>
        </w:rPr>
        <w:t>（一）</w:t>
      </w:r>
      <w:r>
        <w:rPr>
          <w:rFonts w:asciiTheme="minorEastAsia" w:hAnsiTheme="minorEastAsia"/>
          <w:color w:val="000000" w:themeColor="text1"/>
          <w:szCs w:val="21"/>
          <w14:textFill>
            <w14:solidFill>
              <w14:schemeClr w14:val="tx1"/>
            </w14:solidFill>
          </w14:textFill>
        </w:rPr>
        <w:t>甲方的权</w:t>
      </w:r>
      <w:r>
        <w:rPr>
          <w:rFonts w:hint="eastAsia" w:asciiTheme="minorEastAsia" w:hAnsiTheme="minorEastAsia"/>
          <w:color w:val="000000" w:themeColor="text1"/>
          <w:szCs w:val="21"/>
          <w14:textFill>
            <w14:solidFill>
              <w14:schemeClr w14:val="tx1"/>
            </w14:solidFill>
          </w14:textFill>
        </w:rPr>
        <w:t>利</w:t>
      </w:r>
      <w:r>
        <w:rPr>
          <w:rFonts w:asciiTheme="minorEastAsia" w:hAnsiTheme="minorEastAsia"/>
          <w:color w:val="000000" w:themeColor="text1"/>
          <w:szCs w:val="21"/>
          <w14:textFill>
            <w14:solidFill>
              <w14:schemeClr w14:val="tx1"/>
            </w14:solidFill>
          </w14:textFill>
        </w:rPr>
        <w:t>和义务：</w:t>
      </w:r>
    </w:p>
    <w:p w14:paraId="17620C80">
      <w:pPr>
        <w:spacing w:before="156" w:beforeLines="50" w:after="156" w:afterLines="50" w:line="480" w:lineRule="exact"/>
        <w:ind w:firstLine="420" w:firstLineChars="200"/>
        <w:rPr>
          <w:rFonts w:hint="eastAsia" w:asciiTheme="minorEastAsia" w:hAnsiTheme="minorEastAsia"/>
          <w:color w:val="000000" w:themeColor="text1"/>
          <w:szCs w:val="21"/>
          <w14:textFill>
            <w14:solidFill>
              <w14:schemeClr w14:val="tx1"/>
            </w14:solidFill>
          </w14:textFill>
        </w:rPr>
      </w:pPr>
      <w:r>
        <w:rPr>
          <w:rFonts w:asciiTheme="minorEastAsia" w:hAnsiTheme="minorEastAsia"/>
          <w:color w:val="000000" w:themeColor="text1"/>
          <w:szCs w:val="21"/>
          <w14:textFill>
            <w14:solidFill>
              <w14:schemeClr w14:val="tx1"/>
            </w14:solidFill>
          </w14:textFill>
        </w:rPr>
        <w:t>1</w:t>
      </w:r>
      <w:r>
        <w:rPr>
          <w:rFonts w:hint="eastAsia" w:asciiTheme="minorEastAsia" w:hAnsiTheme="minorEastAsia"/>
          <w:color w:val="000000" w:themeColor="text1"/>
          <w:szCs w:val="21"/>
          <w14:textFill>
            <w14:solidFill>
              <w14:schemeClr w14:val="tx1"/>
            </w14:solidFill>
          </w14:textFill>
        </w:rPr>
        <w:t>.有权对乙方的工作质量进行监督。</w:t>
      </w:r>
    </w:p>
    <w:p w14:paraId="5E80D080">
      <w:pPr>
        <w:spacing w:before="156" w:beforeLines="50" w:after="156" w:afterLines="50" w:line="480" w:lineRule="exact"/>
        <w:ind w:firstLine="420" w:firstLineChars="200"/>
        <w:rPr>
          <w:rFonts w:hint="eastAsia" w:asciiTheme="minorEastAsia" w:hAnsiTheme="minorEastAsia"/>
          <w:color w:val="000000" w:themeColor="text1"/>
          <w:szCs w:val="21"/>
          <w14:textFill>
            <w14:solidFill>
              <w14:schemeClr w14:val="tx1"/>
            </w14:solidFill>
          </w14:textFill>
        </w:rPr>
      </w:pPr>
      <w:r>
        <w:rPr>
          <w:rFonts w:hint="eastAsia" w:asciiTheme="minorEastAsia" w:hAnsiTheme="minorEastAsia"/>
          <w:color w:val="000000" w:themeColor="text1"/>
          <w:szCs w:val="21"/>
          <w14:textFill>
            <w14:solidFill>
              <w14:schemeClr w14:val="tx1"/>
            </w14:solidFill>
          </w14:textFill>
        </w:rPr>
        <w:t>2.负责对委托项目的开展进行协调。</w:t>
      </w:r>
    </w:p>
    <w:p w14:paraId="0F1AE069">
      <w:pPr>
        <w:spacing w:before="156" w:beforeLines="50" w:after="156" w:afterLines="50" w:line="480" w:lineRule="exact"/>
        <w:ind w:firstLine="420" w:firstLineChars="200"/>
        <w:rPr>
          <w:rFonts w:hint="eastAsia" w:asciiTheme="minorEastAsia" w:hAnsiTheme="minorEastAsia"/>
          <w:color w:val="000000" w:themeColor="text1"/>
          <w:szCs w:val="21"/>
          <w14:textFill>
            <w14:solidFill>
              <w14:schemeClr w14:val="tx1"/>
            </w14:solidFill>
          </w14:textFill>
        </w:rPr>
      </w:pPr>
      <w:r>
        <w:rPr>
          <w:rFonts w:hint="eastAsia" w:asciiTheme="minorEastAsia" w:hAnsiTheme="minorEastAsia"/>
          <w:color w:val="000000" w:themeColor="text1"/>
          <w:szCs w:val="21"/>
          <w14:textFill>
            <w14:solidFill>
              <w14:schemeClr w14:val="tx1"/>
            </w14:solidFill>
          </w14:textFill>
        </w:rPr>
        <w:t>3.负责组织验收委托项目成果。</w:t>
      </w:r>
    </w:p>
    <w:p w14:paraId="151FE700">
      <w:pPr>
        <w:spacing w:before="156" w:beforeLines="50" w:after="156" w:afterLines="50" w:line="480" w:lineRule="exact"/>
        <w:ind w:firstLine="420" w:firstLineChars="200"/>
        <w:rPr>
          <w:rFonts w:hint="eastAsia" w:asciiTheme="minorEastAsia" w:hAnsiTheme="minorEastAsia"/>
          <w:color w:val="000000" w:themeColor="text1"/>
          <w:szCs w:val="21"/>
          <w14:textFill>
            <w14:solidFill>
              <w14:schemeClr w14:val="tx1"/>
            </w14:solidFill>
          </w14:textFill>
        </w:rPr>
      </w:pPr>
      <w:r>
        <w:rPr>
          <w:rFonts w:hint="eastAsia" w:asciiTheme="minorEastAsia" w:hAnsiTheme="minorEastAsia"/>
          <w:color w:val="000000" w:themeColor="text1"/>
          <w:szCs w:val="21"/>
          <w14:textFill>
            <w14:solidFill>
              <w14:schemeClr w14:val="tx1"/>
            </w14:solidFill>
          </w14:textFill>
        </w:rPr>
        <w:t>4.按照本业务约定书约定的时间和方式向乙方支付服务费用。</w:t>
      </w:r>
    </w:p>
    <w:p w14:paraId="03EDB016">
      <w:pPr>
        <w:spacing w:before="156" w:beforeLines="50" w:after="156" w:afterLines="50" w:line="480" w:lineRule="exact"/>
        <w:ind w:firstLine="420" w:firstLineChars="200"/>
        <w:rPr>
          <w:rFonts w:hint="eastAsia" w:asciiTheme="minorEastAsia" w:hAnsiTheme="minorEastAsia"/>
          <w:color w:val="000000" w:themeColor="text1"/>
          <w:szCs w:val="21"/>
          <w14:textFill>
            <w14:solidFill>
              <w14:schemeClr w14:val="tx1"/>
            </w14:solidFill>
          </w14:textFill>
        </w:rPr>
      </w:pPr>
      <w:r>
        <w:rPr>
          <w:rFonts w:hint="eastAsia" w:asciiTheme="minorEastAsia" w:hAnsiTheme="minorEastAsia"/>
          <w:color w:val="000000" w:themeColor="text1"/>
          <w:szCs w:val="21"/>
          <w14:textFill>
            <w14:solidFill>
              <w14:schemeClr w14:val="tx1"/>
            </w14:solidFill>
          </w14:textFill>
        </w:rPr>
        <w:t>（二）</w:t>
      </w:r>
      <w:r>
        <w:rPr>
          <w:rFonts w:asciiTheme="minorEastAsia" w:hAnsiTheme="minorEastAsia"/>
          <w:color w:val="000000" w:themeColor="text1"/>
          <w:szCs w:val="21"/>
          <w14:textFill>
            <w14:solidFill>
              <w14:schemeClr w14:val="tx1"/>
            </w14:solidFill>
          </w14:textFill>
        </w:rPr>
        <w:t>乙方的权</w:t>
      </w:r>
      <w:r>
        <w:rPr>
          <w:rFonts w:hint="eastAsia" w:asciiTheme="minorEastAsia" w:hAnsiTheme="minorEastAsia"/>
          <w:color w:val="000000" w:themeColor="text1"/>
          <w:szCs w:val="21"/>
          <w14:textFill>
            <w14:solidFill>
              <w14:schemeClr w14:val="tx1"/>
            </w14:solidFill>
          </w14:textFill>
        </w:rPr>
        <w:t>利</w:t>
      </w:r>
      <w:r>
        <w:rPr>
          <w:rFonts w:asciiTheme="minorEastAsia" w:hAnsiTheme="minorEastAsia"/>
          <w:color w:val="000000" w:themeColor="text1"/>
          <w:szCs w:val="21"/>
          <w14:textFill>
            <w14:solidFill>
              <w14:schemeClr w14:val="tx1"/>
            </w14:solidFill>
          </w14:textFill>
        </w:rPr>
        <w:t>和义务：</w:t>
      </w:r>
    </w:p>
    <w:p w14:paraId="58C13E3D">
      <w:pPr>
        <w:spacing w:before="156" w:beforeLines="50" w:after="156" w:afterLines="50" w:line="480" w:lineRule="exact"/>
        <w:ind w:firstLine="420" w:firstLineChars="200"/>
        <w:rPr>
          <w:rFonts w:hint="eastAsia" w:asciiTheme="minorEastAsia" w:hAnsiTheme="minorEastAsia"/>
          <w:color w:val="000000" w:themeColor="text1"/>
          <w:szCs w:val="21"/>
          <w14:textFill>
            <w14:solidFill>
              <w14:schemeClr w14:val="tx1"/>
            </w14:solidFill>
          </w14:textFill>
        </w:rPr>
      </w:pPr>
      <w:r>
        <w:rPr>
          <w:rFonts w:asciiTheme="minorEastAsia" w:hAnsiTheme="minorEastAsia"/>
          <w:color w:val="000000" w:themeColor="text1"/>
          <w:szCs w:val="21"/>
          <w14:textFill>
            <w14:solidFill>
              <w14:schemeClr w14:val="tx1"/>
            </w14:solidFill>
          </w14:textFill>
        </w:rPr>
        <w:t>1</w:t>
      </w:r>
      <w:r>
        <w:rPr>
          <w:rFonts w:hint="eastAsia" w:asciiTheme="minorEastAsia" w:hAnsiTheme="minorEastAsia"/>
          <w:color w:val="000000" w:themeColor="text1"/>
          <w:szCs w:val="21"/>
          <w14:textFill>
            <w14:solidFill>
              <w14:schemeClr w14:val="tx1"/>
            </w14:solidFill>
          </w14:textFill>
        </w:rPr>
        <w:t>.</w:t>
      </w:r>
      <w:r>
        <w:rPr>
          <w:rFonts w:asciiTheme="minorEastAsia" w:hAnsiTheme="minorEastAsia"/>
          <w:color w:val="000000" w:themeColor="text1"/>
          <w:szCs w:val="21"/>
          <w14:textFill>
            <w14:solidFill>
              <w14:schemeClr w14:val="tx1"/>
            </w14:solidFill>
          </w14:textFill>
        </w:rPr>
        <w:t>乙方应按照国家法律、</w:t>
      </w:r>
      <w:r>
        <w:fldChar w:fldCharType="begin"/>
      </w:r>
      <w:r>
        <w:instrText xml:space="preserve"> HYPERLINK "http://www.xuexila.com/lunwen/law/xingzhengfa/" \t "_blank" </w:instrText>
      </w:r>
      <w:r>
        <w:fldChar w:fldCharType="separate"/>
      </w:r>
      <w:r>
        <w:rPr>
          <w:rFonts w:asciiTheme="minorEastAsia" w:hAnsiTheme="minorEastAsia"/>
          <w:color w:val="000000" w:themeColor="text1"/>
          <w:szCs w:val="21"/>
          <w14:textFill>
            <w14:solidFill>
              <w14:schemeClr w14:val="tx1"/>
            </w14:solidFill>
          </w14:textFill>
        </w:rPr>
        <w:t>行政法</w:t>
      </w:r>
      <w:r>
        <w:rPr>
          <w:rFonts w:asciiTheme="minorEastAsia" w:hAnsiTheme="minorEastAsia"/>
          <w:color w:val="000000" w:themeColor="text1"/>
          <w:szCs w:val="21"/>
          <w14:textFill>
            <w14:solidFill>
              <w14:schemeClr w14:val="tx1"/>
            </w14:solidFill>
          </w14:textFill>
        </w:rPr>
        <w:fldChar w:fldCharType="end"/>
      </w:r>
      <w:r>
        <w:rPr>
          <w:rFonts w:asciiTheme="minorEastAsia" w:hAnsiTheme="minorEastAsia"/>
          <w:color w:val="000000" w:themeColor="text1"/>
          <w:szCs w:val="21"/>
          <w14:textFill>
            <w14:solidFill>
              <w14:schemeClr w14:val="tx1"/>
            </w14:solidFill>
          </w14:textFill>
        </w:rPr>
        <w:t>规和各项财务制度的要求</w:t>
      </w:r>
      <w:r>
        <w:rPr>
          <w:rFonts w:hint="eastAsia" w:asciiTheme="minorEastAsia" w:hAnsiTheme="minorEastAsia"/>
          <w:color w:val="000000" w:themeColor="text1"/>
          <w:szCs w:val="21"/>
          <w14:textFill>
            <w14:solidFill>
              <w14:schemeClr w14:val="tx1"/>
            </w14:solidFill>
          </w14:textFill>
        </w:rPr>
        <w:t>，</w:t>
      </w:r>
      <w:r>
        <w:rPr>
          <w:rFonts w:asciiTheme="minorEastAsia" w:hAnsiTheme="minorEastAsia"/>
          <w:color w:val="000000" w:themeColor="text1"/>
          <w:szCs w:val="21"/>
          <w14:textFill>
            <w14:solidFill>
              <w14:schemeClr w14:val="tx1"/>
            </w14:solidFill>
          </w14:textFill>
        </w:rPr>
        <w:t>完成</w:t>
      </w:r>
      <w:r>
        <w:rPr>
          <w:rFonts w:hint="eastAsia" w:asciiTheme="minorEastAsia" w:hAnsiTheme="minorEastAsia"/>
          <w:color w:val="000000" w:themeColor="text1"/>
          <w:szCs w:val="21"/>
          <w14:textFill>
            <w14:solidFill>
              <w14:schemeClr w14:val="tx1"/>
            </w14:solidFill>
          </w14:textFill>
        </w:rPr>
        <w:t>本业务约定书</w:t>
      </w:r>
      <w:r>
        <w:rPr>
          <w:rFonts w:asciiTheme="minorEastAsia" w:hAnsiTheme="minorEastAsia"/>
          <w:color w:val="000000" w:themeColor="text1"/>
          <w:szCs w:val="21"/>
          <w14:textFill>
            <w14:solidFill>
              <w14:schemeClr w14:val="tx1"/>
            </w14:solidFill>
          </w14:textFill>
        </w:rPr>
        <w:t>第</w:t>
      </w:r>
      <w:r>
        <w:rPr>
          <w:rFonts w:hint="eastAsia" w:asciiTheme="minorEastAsia" w:hAnsiTheme="minorEastAsia"/>
          <w:color w:val="000000" w:themeColor="text1"/>
          <w:szCs w:val="21"/>
          <w14:textFill>
            <w14:solidFill>
              <w14:schemeClr w14:val="tx1"/>
            </w14:solidFill>
          </w14:textFill>
        </w:rPr>
        <w:t>一</w:t>
      </w:r>
      <w:r>
        <w:rPr>
          <w:rFonts w:asciiTheme="minorEastAsia" w:hAnsiTheme="minorEastAsia"/>
          <w:color w:val="000000" w:themeColor="text1"/>
          <w:szCs w:val="21"/>
          <w14:textFill>
            <w14:solidFill>
              <w14:schemeClr w14:val="tx1"/>
            </w14:solidFill>
          </w14:textFill>
        </w:rPr>
        <w:t>条</w:t>
      </w:r>
      <w:r>
        <w:rPr>
          <w:rFonts w:hint="eastAsia" w:asciiTheme="minorEastAsia" w:hAnsiTheme="minorEastAsia"/>
          <w:color w:val="000000" w:themeColor="text1"/>
          <w:szCs w:val="21"/>
          <w14:textFill>
            <w14:solidFill>
              <w14:schemeClr w14:val="tx1"/>
            </w14:solidFill>
          </w14:textFill>
        </w:rPr>
        <w:t>和第二条</w:t>
      </w:r>
      <w:r>
        <w:rPr>
          <w:rFonts w:asciiTheme="minorEastAsia" w:hAnsiTheme="minorEastAsia"/>
          <w:color w:val="000000" w:themeColor="text1"/>
          <w:szCs w:val="21"/>
          <w14:textFill>
            <w14:solidFill>
              <w14:schemeClr w14:val="tx1"/>
            </w14:solidFill>
          </w14:textFill>
        </w:rPr>
        <w:t>内容</w:t>
      </w:r>
      <w:r>
        <w:rPr>
          <w:rFonts w:hint="eastAsia" w:asciiTheme="minorEastAsia" w:hAnsiTheme="minorEastAsia"/>
          <w:color w:val="000000" w:themeColor="text1"/>
          <w:szCs w:val="21"/>
          <w14:textFill>
            <w14:solidFill>
              <w14:schemeClr w14:val="tx1"/>
            </w14:solidFill>
          </w14:textFill>
        </w:rPr>
        <w:t>，并出具专项审计报告。</w:t>
      </w:r>
    </w:p>
    <w:p w14:paraId="330F40F8">
      <w:pPr>
        <w:spacing w:before="156" w:beforeLines="50" w:after="156" w:afterLines="50" w:line="480" w:lineRule="exact"/>
        <w:ind w:firstLine="420" w:firstLineChars="200"/>
        <w:rPr>
          <w:rFonts w:hint="eastAsia" w:asciiTheme="minorEastAsia" w:hAnsiTheme="minorEastAsia"/>
          <w:color w:val="000000" w:themeColor="text1"/>
          <w:szCs w:val="21"/>
          <w14:textFill>
            <w14:solidFill>
              <w14:schemeClr w14:val="tx1"/>
            </w14:solidFill>
          </w14:textFill>
        </w:rPr>
      </w:pPr>
      <w:r>
        <w:rPr>
          <w:rFonts w:hint="eastAsia" w:asciiTheme="minorEastAsia" w:hAnsiTheme="minorEastAsia"/>
          <w:color w:val="000000" w:themeColor="text1"/>
          <w:szCs w:val="21"/>
          <w14:textFill>
            <w14:solidFill>
              <w14:schemeClr w14:val="tx1"/>
            </w14:solidFill>
          </w14:textFill>
        </w:rPr>
        <w:t>2.</w:t>
      </w:r>
      <w:r>
        <w:rPr>
          <w:rFonts w:asciiTheme="minorEastAsia" w:hAnsiTheme="minorEastAsia"/>
          <w:color w:val="000000" w:themeColor="text1"/>
          <w:szCs w:val="21"/>
          <w14:textFill>
            <w14:solidFill>
              <w14:schemeClr w14:val="tx1"/>
            </w14:solidFill>
          </w14:textFill>
        </w:rPr>
        <w:t>认真做好甲方所有资料的保密工作，不得向甲方以外的第三者透露、出示和传播，否则将赔偿甲方因此而带来的全部损失</w:t>
      </w:r>
      <w:r>
        <w:rPr>
          <w:rFonts w:hint="eastAsia" w:asciiTheme="minorEastAsia" w:hAnsiTheme="minorEastAsia"/>
          <w:color w:val="000000" w:themeColor="text1"/>
          <w:szCs w:val="21"/>
          <w14:textFill>
            <w14:solidFill>
              <w14:schemeClr w14:val="tx1"/>
            </w14:solidFill>
          </w14:textFill>
        </w:rPr>
        <w:t>。</w:t>
      </w:r>
    </w:p>
    <w:p w14:paraId="6B3C43A1">
      <w:pPr>
        <w:spacing w:before="156" w:beforeLines="50" w:after="156" w:afterLines="50" w:line="480" w:lineRule="exact"/>
        <w:ind w:firstLine="420" w:firstLineChars="200"/>
        <w:rPr>
          <w:rFonts w:hint="eastAsia" w:asciiTheme="minorEastAsia" w:hAnsiTheme="minorEastAsia"/>
          <w:color w:val="000000" w:themeColor="text1"/>
          <w:szCs w:val="21"/>
          <w14:textFill>
            <w14:solidFill>
              <w14:schemeClr w14:val="tx1"/>
            </w14:solidFill>
          </w14:textFill>
        </w:rPr>
      </w:pPr>
      <w:r>
        <w:rPr>
          <w:rFonts w:hint="eastAsia" w:asciiTheme="minorEastAsia" w:hAnsiTheme="minorEastAsia"/>
          <w:color w:val="000000" w:themeColor="text1"/>
          <w:szCs w:val="21"/>
          <w14:textFill>
            <w14:solidFill>
              <w14:schemeClr w14:val="tx1"/>
            </w14:solidFill>
          </w14:textFill>
        </w:rPr>
        <w:t>3.</w:t>
      </w:r>
      <w:r>
        <w:rPr>
          <w:rFonts w:asciiTheme="minorEastAsia" w:hAnsiTheme="minorEastAsia"/>
          <w:color w:val="000000" w:themeColor="text1"/>
          <w:szCs w:val="21"/>
          <w14:textFill>
            <w14:solidFill>
              <w14:schemeClr w14:val="tx1"/>
            </w14:solidFill>
          </w14:textFill>
        </w:rPr>
        <w:t>遵守职业道德，严格执行工作纪律，及时准确</w:t>
      </w:r>
      <w:r>
        <w:rPr>
          <w:rFonts w:hint="eastAsia" w:asciiTheme="minorEastAsia" w:hAnsiTheme="minorEastAsia"/>
          <w:color w:val="000000" w:themeColor="text1"/>
          <w:szCs w:val="21"/>
          <w14:textFill>
            <w14:solidFill>
              <w14:schemeClr w14:val="tx1"/>
            </w14:solidFill>
          </w14:textFill>
        </w:rPr>
        <w:t>地</w:t>
      </w:r>
      <w:r>
        <w:rPr>
          <w:rFonts w:asciiTheme="minorEastAsia" w:hAnsiTheme="minorEastAsia"/>
          <w:color w:val="000000" w:themeColor="text1"/>
          <w:szCs w:val="21"/>
          <w14:textFill>
            <w14:solidFill>
              <w14:schemeClr w14:val="tx1"/>
            </w14:solidFill>
          </w14:textFill>
        </w:rPr>
        <w:t>办理工作范围内的事务。</w:t>
      </w:r>
    </w:p>
    <w:p w14:paraId="2D5AF9FF">
      <w:pPr>
        <w:spacing w:before="156" w:beforeLines="50" w:after="156" w:afterLines="50" w:line="480" w:lineRule="exact"/>
        <w:ind w:firstLine="420" w:firstLineChars="200"/>
        <w:rPr>
          <w:rFonts w:hint="eastAsia" w:asciiTheme="minorEastAsia" w:hAnsiTheme="minorEastAsia"/>
          <w:color w:val="000000" w:themeColor="text1"/>
          <w:szCs w:val="21"/>
          <w14:textFill>
            <w14:solidFill>
              <w14:schemeClr w14:val="tx1"/>
            </w14:solidFill>
          </w14:textFill>
        </w:rPr>
      </w:pPr>
      <w:r>
        <w:rPr>
          <w:rFonts w:hint="eastAsia" w:asciiTheme="minorEastAsia" w:hAnsiTheme="minorEastAsia"/>
          <w:color w:val="000000" w:themeColor="text1"/>
          <w:szCs w:val="21"/>
          <w14:textFill>
            <w14:solidFill>
              <w14:schemeClr w14:val="tx1"/>
            </w14:solidFill>
          </w14:textFill>
        </w:rPr>
        <w:t>4.有权要求甲方按照本业务约定书的规定支付服务费用。</w:t>
      </w:r>
    </w:p>
    <w:p w14:paraId="01FB7A04">
      <w:pPr>
        <w:spacing w:before="312" w:beforeLines="100" w:after="312" w:afterLines="100" w:line="360" w:lineRule="exact"/>
        <w:ind w:firstLine="482" w:firstLineChars="200"/>
        <w:rPr>
          <w:rFonts w:hint="eastAsia" w:ascii="黑体" w:hAnsi="宋体" w:eastAsia="黑体" w:cs="Times New Roman"/>
          <w:b/>
          <w:sz w:val="24"/>
          <w:szCs w:val="24"/>
        </w:rPr>
      </w:pPr>
      <w:r>
        <w:rPr>
          <w:rFonts w:hint="eastAsia" w:ascii="黑体" w:hAnsi="宋体" w:eastAsia="黑体" w:cs="Times New Roman"/>
          <w:b/>
          <w:sz w:val="24"/>
          <w:szCs w:val="24"/>
        </w:rPr>
        <w:t>四</w:t>
      </w:r>
      <w:r>
        <w:rPr>
          <w:rFonts w:ascii="黑体" w:hAnsi="宋体" w:eastAsia="黑体" w:cs="Times New Roman"/>
          <w:b/>
          <w:sz w:val="24"/>
          <w:szCs w:val="24"/>
        </w:rPr>
        <w:t>、收费标准</w:t>
      </w:r>
    </w:p>
    <w:p w14:paraId="2784AF1D">
      <w:pPr>
        <w:spacing w:before="156" w:beforeLines="50" w:after="156" w:afterLines="50" w:line="480" w:lineRule="exact"/>
        <w:ind w:firstLine="420" w:firstLineChars="200"/>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双方本着公平、诚信、合理的原则对专项审计相关委托事宜进行了收费预算，乙方承诺为甲方竭诚提供优质服务。</w:t>
      </w:r>
    </w:p>
    <w:p w14:paraId="283EC634">
      <w:pPr>
        <w:spacing w:before="156" w:beforeLines="50" w:after="156" w:afterLines="50" w:line="480" w:lineRule="exact"/>
        <w:ind w:firstLine="420" w:firstLineChars="200"/>
        <w:rPr>
          <w:rFonts w:hint="eastAsia" w:ascii="宋体" w:hAnsi="宋体"/>
          <w:color w:val="000000" w:themeColor="text1"/>
          <w:szCs w:val="21"/>
          <w14:textFill>
            <w14:solidFill>
              <w14:schemeClr w14:val="tx1"/>
            </w14:solidFill>
          </w14:textFill>
        </w:rPr>
      </w:pPr>
      <w:r>
        <w:rPr>
          <w:rFonts w:ascii="宋体" w:hAnsi="宋体"/>
          <w:color w:val="000000" w:themeColor="text1"/>
          <w:szCs w:val="21"/>
          <w14:textFill>
            <w14:solidFill>
              <w14:schemeClr w14:val="tx1"/>
            </w14:solidFill>
          </w14:textFill>
        </w:rPr>
        <w:t>经过双方商定，</w:t>
      </w:r>
      <w:r>
        <w:rPr>
          <w:rFonts w:hint="eastAsia" w:ascii="宋体" w:hAnsi="宋体"/>
          <w:color w:val="000000" w:themeColor="text1"/>
          <w:szCs w:val="21"/>
          <w14:textFill>
            <w14:solidFill>
              <w14:schemeClr w14:val="tx1"/>
            </w14:solidFill>
          </w14:textFill>
        </w:rPr>
        <w:t>本项服务费用（含税）</w:t>
      </w:r>
      <w:r>
        <w:rPr>
          <w:rFonts w:ascii="宋体" w:hAnsi="宋体"/>
          <w:color w:val="000000" w:themeColor="text1"/>
          <w:szCs w:val="21"/>
          <w14:textFill>
            <w14:solidFill>
              <w14:schemeClr w14:val="tx1"/>
            </w14:solidFill>
          </w14:textFill>
        </w:rPr>
        <w:t>为</w:t>
      </w:r>
      <w:r>
        <w:rPr>
          <w:rFonts w:hint="eastAsia" w:ascii="宋体" w:hAnsi="宋体"/>
          <w:color w:val="000000" w:themeColor="text1"/>
          <w:szCs w:val="21"/>
          <w14:textFill>
            <w14:solidFill>
              <w14:schemeClr w14:val="tx1"/>
            </w14:solidFill>
          </w14:textFill>
        </w:rPr>
        <w:t>RMB￥20,</w:t>
      </w:r>
      <w:r>
        <w:rPr>
          <w:rFonts w:ascii="宋体" w:hAnsi="宋体"/>
          <w:color w:val="000000" w:themeColor="text1"/>
          <w:szCs w:val="21"/>
          <w14:textFill>
            <w14:solidFill>
              <w14:schemeClr w14:val="tx1"/>
            </w14:solidFill>
          </w14:textFill>
        </w:rPr>
        <w:t>000.00</w:t>
      </w:r>
      <w:r>
        <w:rPr>
          <w:rFonts w:hint="eastAsia" w:ascii="宋体" w:hAnsi="宋体"/>
          <w:color w:val="000000" w:themeColor="text1"/>
          <w:szCs w:val="21"/>
          <w14:textFill>
            <w14:solidFill>
              <w14:schemeClr w14:val="tx1"/>
            </w14:solidFill>
          </w14:textFill>
        </w:rPr>
        <w:t>元（大写：人民币贰万元整）</w:t>
      </w:r>
      <w:r>
        <w:rPr>
          <w:rFonts w:ascii="宋体" w:hAnsi="宋体"/>
          <w:color w:val="000000" w:themeColor="text1"/>
          <w:szCs w:val="21"/>
          <w14:textFill>
            <w14:solidFill>
              <w14:schemeClr w14:val="tx1"/>
            </w14:solidFill>
          </w14:textFill>
        </w:rPr>
        <w:t>。</w:t>
      </w:r>
    </w:p>
    <w:p w14:paraId="0B467B21">
      <w:pPr>
        <w:spacing w:before="312" w:beforeLines="100" w:after="312" w:afterLines="100" w:line="360" w:lineRule="exact"/>
        <w:ind w:firstLine="482" w:firstLineChars="200"/>
        <w:rPr>
          <w:rFonts w:hint="eastAsia" w:ascii="黑体" w:hAnsi="宋体" w:eastAsia="黑体" w:cs="Times New Roman"/>
          <w:b/>
          <w:sz w:val="24"/>
          <w:szCs w:val="24"/>
        </w:rPr>
      </w:pPr>
      <w:r>
        <w:rPr>
          <w:rFonts w:hint="eastAsia" w:ascii="黑体" w:hAnsi="宋体" w:eastAsia="黑体" w:cs="Times New Roman"/>
          <w:b/>
          <w:sz w:val="24"/>
          <w:szCs w:val="24"/>
        </w:rPr>
        <w:t>五</w:t>
      </w:r>
      <w:r>
        <w:rPr>
          <w:rFonts w:ascii="黑体" w:hAnsi="宋体" w:eastAsia="黑体" w:cs="Times New Roman"/>
          <w:b/>
          <w:sz w:val="24"/>
          <w:szCs w:val="24"/>
        </w:rPr>
        <w:t>、付款时间及方式</w:t>
      </w:r>
    </w:p>
    <w:p w14:paraId="29EE6A58">
      <w:pPr>
        <w:pStyle w:val="10"/>
        <w:spacing w:before="156" w:beforeLines="50" w:beforeAutospacing="0" w:after="156" w:afterLines="50" w:afterAutospacing="0" w:line="480" w:lineRule="exact"/>
        <w:ind w:firstLine="480"/>
        <w:rPr>
          <w:rFonts w:hint="eastAsia"/>
          <w:sz w:val="21"/>
          <w:szCs w:val="21"/>
        </w:rPr>
      </w:pPr>
      <w:r>
        <w:rPr>
          <w:rFonts w:hint="eastAsia" w:eastAsiaTheme="minorEastAsia" w:cstheme="minorBidi"/>
          <w:color w:val="000000" w:themeColor="text1"/>
          <w:kern w:val="2"/>
          <w:sz w:val="21"/>
          <w:szCs w:val="21"/>
          <w14:textFill>
            <w14:solidFill>
              <w14:schemeClr w14:val="tx1"/>
            </w14:solidFill>
          </w14:textFill>
        </w:rPr>
        <w:t>专项审计服务费</w:t>
      </w:r>
      <w:r>
        <w:rPr>
          <w:rFonts w:eastAsiaTheme="minorEastAsia" w:cstheme="minorBidi"/>
          <w:color w:val="000000" w:themeColor="text1"/>
          <w:kern w:val="2"/>
          <w:sz w:val="21"/>
          <w:szCs w:val="21"/>
          <w14:textFill>
            <w14:solidFill>
              <w14:schemeClr w14:val="tx1"/>
            </w14:solidFill>
          </w14:textFill>
        </w:rPr>
        <w:t>由甲方</w:t>
      </w:r>
      <w:r>
        <w:rPr>
          <w:rFonts w:hint="eastAsia" w:eastAsiaTheme="minorEastAsia" w:cstheme="minorBidi"/>
          <w:color w:val="000000" w:themeColor="text1"/>
          <w:kern w:val="2"/>
          <w:sz w:val="21"/>
          <w:szCs w:val="21"/>
          <w14:textFill>
            <w14:solidFill>
              <w14:schemeClr w14:val="tx1"/>
            </w14:solidFill>
          </w14:textFill>
        </w:rPr>
        <w:t>以</w:t>
      </w:r>
      <w:r>
        <w:rPr>
          <w:rFonts w:eastAsiaTheme="minorEastAsia" w:cstheme="minorBidi"/>
          <w:color w:val="000000" w:themeColor="text1"/>
          <w:kern w:val="2"/>
          <w:sz w:val="21"/>
          <w:szCs w:val="21"/>
          <w14:textFill>
            <w14:solidFill>
              <w14:schemeClr w14:val="tx1"/>
            </w14:solidFill>
          </w14:textFill>
        </w:rPr>
        <w:t>银行转账方式按时付至乙方</w:t>
      </w:r>
      <w:r>
        <w:rPr>
          <w:rFonts w:hint="eastAsia" w:eastAsiaTheme="minorEastAsia" w:cstheme="minorBidi"/>
          <w:color w:val="000000" w:themeColor="text1"/>
          <w:kern w:val="2"/>
          <w:sz w:val="21"/>
          <w:szCs w:val="21"/>
          <w14:textFill>
            <w14:solidFill>
              <w14:schemeClr w14:val="tx1"/>
            </w14:solidFill>
          </w14:textFill>
        </w:rPr>
        <w:t>所提供的银行账</w:t>
      </w:r>
      <w:r>
        <w:rPr>
          <w:rFonts w:eastAsiaTheme="minorEastAsia" w:cstheme="minorBidi"/>
          <w:color w:val="000000" w:themeColor="text1"/>
          <w:kern w:val="2"/>
          <w:sz w:val="21"/>
          <w:szCs w:val="21"/>
          <w14:textFill>
            <w14:solidFill>
              <w14:schemeClr w14:val="tx1"/>
            </w14:solidFill>
          </w14:textFill>
        </w:rPr>
        <w:t>户</w:t>
      </w:r>
      <w:r>
        <w:rPr>
          <w:sz w:val="21"/>
          <w:szCs w:val="21"/>
        </w:rPr>
        <w:t>。</w:t>
      </w:r>
    </w:p>
    <w:p w14:paraId="5481232A">
      <w:pPr>
        <w:spacing w:before="156" w:beforeLines="50" w:after="156" w:afterLines="50" w:line="480" w:lineRule="exact"/>
        <w:ind w:firstLine="420" w:firstLineChars="200"/>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甲方应于收到专项审计报告原件并验收合格后</w:t>
      </w:r>
      <w:r>
        <w:rPr>
          <w:rFonts w:hint="eastAsia" w:ascii="宋体" w:hAnsi="宋体"/>
          <w:color w:val="FF0000"/>
          <w:szCs w:val="21"/>
          <w:lang w:val="en-US" w:eastAsia="zh-CN"/>
        </w:rPr>
        <w:t>30</w:t>
      </w:r>
      <w:r>
        <w:rPr>
          <w:rFonts w:hint="eastAsia" w:ascii="宋体" w:hAnsi="宋体"/>
          <w:color w:val="000000" w:themeColor="text1"/>
          <w:szCs w:val="21"/>
          <w14:textFill>
            <w14:solidFill>
              <w14:schemeClr w14:val="tx1"/>
            </w14:solidFill>
          </w14:textFill>
        </w:rPr>
        <w:t>个</w:t>
      </w:r>
      <w:r>
        <w:rPr>
          <w:rFonts w:hint="eastAsia" w:ascii="宋体" w:hAnsi="宋体"/>
          <w:color w:val="000000" w:themeColor="text1"/>
          <w:szCs w:val="21"/>
          <w14:textFill>
            <w14:solidFill>
              <w14:schemeClr w14:val="tx1"/>
            </w14:solidFill>
          </w14:textFill>
        </w:rPr>
        <w:t>工作日内一次性支付20,</w:t>
      </w:r>
      <w:r>
        <w:rPr>
          <w:rFonts w:ascii="宋体" w:hAnsi="宋体"/>
          <w:color w:val="000000" w:themeColor="text1"/>
          <w:szCs w:val="21"/>
          <w14:textFill>
            <w14:solidFill>
              <w14:schemeClr w14:val="tx1"/>
            </w14:solidFill>
          </w14:textFill>
        </w:rPr>
        <w:t>000.00</w:t>
      </w:r>
      <w:r>
        <w:rPr>
          <w:rFonts w:hint="eastAsia" w:ascii="宋体" w:hAnsi="宋体"/>
          <w:color w:val="000000" w:themeColor="text1"/>
          <w:szCs w:val="21"/>
          <w14:textFill>
            <w14:solidFill>
              <w14:schemeClr w14:val="tx1"/>
            </w14:solidFill>
          </w14:textFill>
        </w:rPr>
        <w:t>元（大写：人民币贰万元整）。乙方应于收到款项前向甲方开具相应金额的增值税发票，否则甲方有权延期付款且不承担违约责任。</w:t>
      </w:r>
    </w:p>
    <w:p w14:paraId="566A8161">
      <w:pPr>
        <w:spacing w:before="156" w:beforeLines="50" w:after="156" w:afterLines="50" w:line="480" w:lineRule="exact"/>
        <w:ind w:firstLine="420" w:firstLineChars="200"/>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户名：陕西诺勤会计师事务所（普通合伙）</w:t>
      </w:r>
      <w:bookmarkStart w:id="1" w:name="_GoBack"/>
      <w:bookmarkEnd w:id="1"/>
    </w:p>
    <w:p w14:paraId="4EF25522">
      <w:pPr>
        <w:spacing w:before="156" w:beforeLines="50" w:after="156" w:afterLines="50" w:line="480" w:lineRule="exact"/>
        <w:ind w:firstLine="420" w:firstLineChars="200"/>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账号：61050186250000000426</w:t>
      </w:r>
    </w:p>
    <w:p w14:paraId="41B8CC99">
      <w:pPr>
        <w:spacing w:before="156" w:beforeLines="50" w:after="156" w:afterLines="50" w:line="480" w:lineRule="exact"/>
        <w:ind w:firstLine="420" w:firstLineChars="200"/>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开户行：中国建设银行股份有限公司西安南大街支行</w:t>
      </w:r>
    </w:p>
    <w:p w14:paraId="58565771">
      <w:pPr>
        <w:spacing w:before="312" w:beforeLines="100" w:after="312" w:afterLines="100" w:line="360" w:lineRule="exact"/>
        <w:ind w:firstLine="482" w:firstLineChars="200"/>
        <w:rPr>
          <w:rFonts w:hint="eastAsia" w:ascii="黑体" w:hAnsi="宋体" w:eastAsia="黑体" w:cs="Times New Roman"/>
          <w:b/>
          <w:sz w:val="24"/>
          <w:szCs w:val="24"/>
        </w:rPr>
      </w:pPr>
      <w:r>
        <w:rPr>
          <w:rFonts w:hint="eastAsia" w:ascii="黑体" w:hAnsi="宋体" w:eastAsia="黑体" w:cs="Times New Roman"/>
          <w:b/>
          <w:sz w:val="24"/>
          <w:szCs w:val="24"/>
        </w:rPr>
        <w:t>六、审计报告和审计报告的使用</w:t>
      </w:r>
    </w:p>
    <w:p w14:paraId="036579FF">
      <w:pPr>
        <w:spacing w:after="156" w:afterLines="50" w:line="360" w:lineRule="exact"/>
        <w:ind w:firstLine="420" w:firstLineChars="200"/>
        <w:rPr>
          <w:rFonts w:hint="eastAsia" w:ascii="宋体" w:hAnsi="宋体" w:eastAsia="宋体" w:cs="Times New Roman"/>
          <w:szCs w:val="21"/>
        </w:rPr>
      </w:pPr>
      <w:r>
        <w:rPr>
          <w:rFonts w:hint="eastAsia" w:ascii="宋体" w:hAnsi="宋体" w:eastAsia="宋体" w:cs="Times New Roman"/>
          <w:szCs w:val="21"/>
        </w:rPr>
        <w:t>（一）乙方应在现场工作结束后15日内完成本约定书项下全部审计工作；如甲方有特殊需求，应按甲方需求完成本约定书项下全部审计工作，并向甲方致送纸质专项审计报告一式</w:t>
      </w:r>
      <w:r>
        <w:rPr>
          <w:rFonts w:hint="eastAsia" w:ascii="宋体" w:hAnsi="宋体" w:eastAsia="宋体" w:cs="Times New Roman"/>
          <w:color w:val="FF0000"/>
          <w:szCs w:val="21"/>
          <w:u w:val="single"/>
          <w:lang w:val="en-US" w:eastAsia="zh-CN"/>
        </w:rPr>
        <w:t>5</w:t>
      </w:r>
      <w:r>
        <w:rPr>
          <w:rFonts w:hint="eastAsia" w:ascii="宋体" w:hAnsi="宋体" w:eastAsia="宋体" w:cs="Times New Roman"/>
          <w:color w:val="FF0000"/>
          <w:szCs w:val="21"/>
        </w:rPr>
        <w:t>份</w:t>
      </w:r>
      <w:r>
        <w:rPr>
          <w:rFonts w:hint="eastAsia" w:ascii="宋体" w:hAnsi="宋体" w:eastAsia="宋体" w:cs="Times New Roman"/>
          <w:szCs w:val="21"/>
        </w:rPr>
        <w:t>和电子版专项审计报告1份。</w:t>
      </w:r>
    </w:p>
    <w:p w14:paraId="6705ED59">
      <w:pPr>
        <w:spacing w:after="156" w:afterLines="50" w:line="360" w:lineRule="exact"/>
        <w:ind w:firstLine="420" w:firstLineChars="200"/>
        <w:rPr>
          <w:rFonts w:hint="eastAsia" w:ascii="宋体" w:hAnsi="宋体" w:eastAsia="宋体" w:cs="Times New Roman"/>
          <w:szCs w:val="21"/>
        </w:rPr>
      </w:pPr>
      <w:r>
        <w:rPr>
          <w:rFonts w:hint="eastAsia" w:ascii="宋体" w:hAnsi="宋体" w:eastAsia="宋体" w:cs="Times New Roman"/>
          <w:szCs w:val="21"/>
        </w:rPr>
        <w:t>（二）甲方在提交或对外公布专项审计报告时，不得修改乙方出具的专项审计报告及其后附的已审计报表。当甲方认为有必要修改会计数据、报表附注和所作的说明时，应当事先通知乙方，乙方将考虑有关的修改对专项审计报告的影响，必要时，将重新出具专项审计报告。</w:t>
      </w:r>
    </w:p>
    <w:p w14:paraId="696F54A2">
      <w:pPr>
        <w:spacing w:after="156" w:afterLines="50" w:line="360" w:lineRule="exact"/>
        <w:ind w:firstLine="420" w:firstLineChars="200"/>
        <w:rPr>
          <w:rFonts w:hint="eastAsia" w:ascii="宋体" w:hAnsi="宋体" w:eastAsia="宋体" w:cs="Times New Roman"/>
          <w:szCs w:val="21"/>
        </w:rPr>
      </w:pPr>
      <w:r>
        <w:rPr>
          <w:rFonts w:hint="eastAsia" w:ascii="宋体" w:hAnsi="宋体" w:eastAsia="宋体" w:cs="Times New Roman"/>
          <w:szCs w:val="21"/>
        </w:rPr>
        <w:t>（三）乙方以任何形式向甲方提供的任何服务成果，都只是基于甲方的利益和信息要求而向甲方提供的。除国家有关法律法规或监管机构的要求外，未经乙方事先书面同意，任何服务成果均不得被整体或部分地披露（甲方内部使用的情况除外）。</w:t>
      </w:r>
    </w:p>
    <w:p w14:paraId="6F0EBADE">
      <w:pPr>
        <w:spacing w:before="312" w:beforeLines="100" w:after="312" w:afterLines="100" w:line="360" w:lineRule="exact"/>
        <w:ind w:firstLine="482" w:firstLineChars="200"/>
        <w:rPr>
          <w:rFonts w:hint="eastAsia" w:ascii="黑体" w:hAnsi="宋体" w:eastAsia="黑体" w:cs="Times New Roman"/>
          <w:b/>
          <w:sz w:val="24"/>
          <w:szCs w:val="24"/>
        </w:rPr>
      </w:pPr>
      <w:r>
        <w:rPr>
          <w:rFonts w:hint="eastAsia" w:ascii="黑体" w:hAnsi="宋体" w:eastAsia="黑体" w:cs="Times New Roman"/>
          <w:b/>
          <w:sz w:val="24"/>
          <w:szCs w:val="24"/>
        </w:rPr>
        <w:t>七、保密条款</w:t>
      </w:r>
    </w:p>
    <w:p w14:paraId="2323C5B2">
      <w:pPr>
        <w:spacing w:after="156" w:afterLines="50" w:line="360" w:lineRule="exact"/>
        <w:ind w:firstLine="420" w:firstLineChars="200"/>
        <w:rPr>
          <w:rFonts w:hint="eastAsia" w:ascii="宋体" w:hAnsi="宋体" w:eastAsia="宋体" w:cs="Times New Roman"/>
          <w:szCs w:val="21"/>
        </w:rPr>
      </w:pPr>
      <w:r>
        <w:rPr>
          <w:rFonts w:hint="eastAsia" w:ascii="宋体" w:hAnsi="宋体" w:eastAsia="宋体" w:cs="Times New Roman"/>
          <w:szCs w:val="21"/>
        </w:rPr>
        <w:t>在为甲方提供服务过程中，乙方可能会获取与甲方业务或其他事宜有关的保密信息。乙方将遵守中华人民共和国相关法律法规的要求，对执行业务过程中知悉的甲方的保密信息予以保密，除下列情况外：</w:t>
      </w:r>
    </w:p>
    <w:p w14:paraId="2E63F8A2">
      <w:pPr>
        <w:spacing w:after="156" w:afterLines="50" w:line="360" w:lineRule="exact"/>
        <w:ind w:firstLine="420" w:firstLineChars="200"/>
        <w:rPr>
          <w:rFonts w:hint="eastAsia" w:ascii="宋体" w:hAnsi="宋体" w:eastAsia="宋体" w:cs="Times New Roman"/>
          <w:szCs w:val="21"/>
        </w:rPr>
      </w:pPr>
      <w:r>
        <w:rPr>
          <w:rFonts w:hint="eastAsia" w:ascii="宋体" w:hAnsi="宋体" w:eastAsia="宋体" w:cs="Times New Roman"/>
          <w:szCs w:val="21"/>
        </w:rPr>
        <w:t>1.法律法规允许，并取得甲方的书面授权；</w:t>
      </w:r>
    </w:p>
    <w:p w14:paraId="4C4636D1">
      <w:pPr>
        <w:spacing w:after="156" w:afterLines="50" w:line="360" w:lineRule="exact"/>
        <w:ind w:firstLine="420" w:firstLineChars="200"/>
        <w:rPr>
          <w:rFonts w:hint="eastAsia" w:ascii="宋体" w:hAnsi="宋体" w:eastAsia="宋体" w:cs="Times New Roman"/>
          <w:szCs w:val="21"/>
        </w:rPr>
      </w:pPr>
      <w:r>
        <w:rPr>
          <w:rFonts w:hint="eastAsia" w:ascii="宋体" w:hAnsi="宋体" w:eastAsia="宋体" w:cs="Times New Roman"/>
          <w:szCs w:val="21"/>
        </w:rPr>
        <w:t>2.根据法律法规的规定，为法律诉讼准备文件或提供证据，以及向监管机构报告发现的违反法规行为；</w:t>
      </w:r>
    </w:p>
    <w:p w14:paraId="3CB1D335">
      <w:pPr>
        <w:spacing w:after="156" w:afterLines="50" w:line="360" w:lineRule="exact"/>
        <w:ind w:firstLine="420" w:firstLineChars="200"/>
        <w:rPr>
          <w:rFonts w:hint="eastAsia" w:ascii="宋体" w:hAnsi="宋体" w:eastAsia="宋体" w:cs="Times New Roman"/>
          <w:szCs w:val="21"/>
        </w:rPr>
      </w:pPr>
      <w:r>
        <w:rPr>
          <w:rFonts w:hint="eastAsia" w:ascii="宋体" w:hAnsi="宋体" w:eastAsia="宋体" w:cs="Times New Roman"/>
          <w:szCs w:val="21"/>
        </w:rPr>
        <w:t>3.法律法规允许的情况下，在法律诉讼、仲裁中维护自己的合法权益；</w:t>
      </w:r>
    </w:p>
    <w:p w14:paraId="0D006595">
      <w:pPr>
        <w:spacing w:after="156" w:afterLines="50" w:line="360" w:lineRule="exact"/>
        <w:ind w:firstLine="420" w:firstLineChars="200"/>
        <w:rPr>
          <w:rFonts w:hint="eastAsia" w:ascii="宋体" w:hAnsi="宋体" w:eastAsia="宋体" w:cs="Times New Roman"/>
          <w:szCs w:val="21"/>
        </w:rPr>
      </w:pPr>
      <w:r>
        <w:rPr>
          <w:rFonts w:hint="eastAsia" w:ascii="宋体" w:hAnsi="宋体" w:eastAsia="宋体" w:cs="Times New Roman"/>
          <w:szCs w:val="21"/>
        </w:rPr>
        <w:t>4.接受法院、检察院、行业协会或监管机构等有权机构的检查，答复其询问和调查；</w:t>
      </w:r>
    </w:p>
    <w:p w14:paraId="6345C9FC">
      <w:pPr>
        <w:spacing w:after="156" w:afterLines="50" w:line="360" w:lineRule="exact"/>
        <w:ind w:firstLine="420" w:firstLineChars="200"/>
        <w:rPr>
          <w:rFonts w:hint="eastAsia" w:ascii="宋体" w:hAnsi="宋体" w:eastAsia="宋体" w:cs="Times New Roman"/>
          <w:szCs w:val="21"/>
        </w:rPr>
      </w:pPr>
      <w:r>
        <w:rPr>
          <w:rFonts w:hint="eastAsia" w:ascii="宋体" w:hAnsi="宋体" w:eastAsia="宋体" w:cs="Times New Roman"/>
          <w:szCs w:val="21"/>
        </w:rPr>
        <w:t>5.监管机构对乙方进行行政处罚（包括监管机构处罚前的调查、听证）以及乙方对此提起行政复议；</w:t>
      </w:r>
    </w:p>
    <w:p w14:paraId="0762C5FB">
      <w:pPr>
        <w:spacing w:after="156" w:afterLines="50" w:line="360" w:lineRule="exact"/>
        <w:ind w:firstLine="420" w:firstLineChars="200"/>
        <w:rPr>
          <w:rFonts w:hint="eastAsia" w:ascii="宋体" w:hAnsi="宋体" w:eastAsia="宋体" w:cs="Times New Roman"/>
          <w:szCs w:val="21"/>
        </w:rPr>
      </w:pPr>
      <w:r>
        <w:rPr>
          <w:rFonts w:hint="eastAsia" w:ascii="宋体" w:hAnsi="宋体" w:eastAsia="宋体" w:cs="Times New Roman"/>
          <w:szCs w:val="21"/>
        </w:rPr>
        <w:t>6.在有关服务的法律程序中乙方作为涉及的一方进行披露或乙方必须披露；</w:t>
      </w:r>
    </w:p>
    <w:p w14:paraId="7351E434">
      <w:pPr>
        <w:spacing w:after="156" w:afterLines="50" w:line="360" w:lineRule="exact"/>
        <w:ind w:firstLine="420" w:firstLineChars="200"/>
        <w:rPr>
          <w:rFonts w:hint="eastAsia" w:ascii="宋体" w:hAnsi="宋体" w:eastAsia="宋体" w:cs="Times New Roman"/>
          <w:szCs w:val="21"/>
        </w:rPr>
      </w:pPr>
      <w:r>
        <w:rPr>
          <w:rFonts w:hint="eastAsia" w:ascii="宋体" w:hAnsi="宋体" w:eastAsia="宋体" w:cs="Times New Roman"/>
          <w:szCs w:val="21"/>
        </w:rPr>
        <w:t>7.法律法规、执业准则和职业道德规范规定的其他情形。</w:t>
      </w:r>
    </w:p>
    <w:p w14:paraId="27AC9DAC">
      <w:pPr>
        <w:spacing w:after="156" w:afterLines="50" w:line="360" w:lineRule="exact"/>
        <w:ind w:firstLine="420" w:firstLineChars="200"/>
        <w:rPr>
          <w:rFonts w:hint="eastAsia" w:ascii="宋体" w:hAnsi="宋体" w:eastAsia="宋体" w:cs="Times New Roman"/>
          <w:szCs w:val="21"/>
        </w:rPr>
      </w:pPr>
      <w:r>
        <w:rPr>
          <w:rFonts w:hint="eastAsia" w:ascii="宋体" w:hAnsi="宋体" w:eastAsia="宋体" w:cs="Times New Roman"/>
          <w:szCs w:val="21"/>
        </w:rPr>
        <w:t>否则乙方不得向除乙方外的第三方披露保密信息。</w:t>
      </w:r>
    </w:p>
    <w:p w14:paraId="698052CB">
      <w:pPr>
        <w:spacing w:before="312" w:beforeLines="100" w:after="312" w:afterLines="100" w:line="360" w:lineRule="exact"/>
        <w:ind w:firstLine="482" w:firstLineChars="200"/>
        <w:rPr>
          <w:rFonts w:hint="eastAsia" w:ascii="黑体" w:hAnsi="宋体" w:eastAsia="黑体" w:cs="Times New Roman"/>
          <w:b/>
          <w:sz w:val="24"/>
          <w:szCs w:val="24"/>
        </w:rPr>
      </w:pPr>
      <w:r>
        <w:rPr>
          <w:rFonts w:hint="eastAsia" w:ascii="黑体" w:hAnsi="宋体" w:eastAsia="黑体" w:cs="Times New Roman"/>
          <w:b/>
          <w:sz w:val="24"/>
          <w:szCs w:val="24"/>
        </w:rPr>
        <w:t>八、本约定书的有效期间</w:t>
      </w:r>
    </w:p>
    <w:p w14:paraId="7AF52337">
      <w:pPr>
        <w:spacing w:after="156" w:afterLines="50" w:line="360" w:lineRule="exact"/>
        <w:ind w:firstLine="420" w:firstLineChars="200"/>
        <w:rPr>
          <w:rFonts w:hint="eastAsia" w:ascii="宋体" w:hAnsi="宋体" w:eastAsia="宋体" w:cs="Times New Roman"/>
          <w:szCs w:val="21"/>
        </w:rPr>
      </w:pPr>
      <w:r>
        <w:rPr>
          <w:rFonts w:hint="eastAsia" w:ascii="宋体" w:hAnsi="宋体" w:eastAsia="宋体" w:cs="Times New Roman"/>
          <w:szCs w:val="21"/>
        </w:rPr>
        <w:t>本约定书自双方签字盖章之日起生效，并在双方履行完毕本约定书约定的所有义务后终止。但其中第五、六、七、十、十一、十二项并不因本约定书终止而失效。</w:t>
      </w:r>
    </w:p>
    <w:p w14:paraId="2954DD48">
      <w:pPr>
        <w:spacing w:before="312" w:beforeLines="100" w:after="312" w:afterLines="100" w:line="360" w:lineRule="exact"/>
        <w:ind w:firstLine="482" w:firstLineChars="200"/>
        <w:rPr>
          <w:rFonts w:hint="eastAsia" w:ascii="黑体" w:hAnsi="宋体" w:eastAsia="黑体" w:cs="Times New Roman"/>
          <w:b/>
          <w:sz w:val="24"/>
          <w:szCs w:val="24"/>
        </w:rPr>
      </w:pPr>
      <w:r>
        <w:rPr>
          <w:rFonts w:hint="eastAsia" w:ascii="黑体" w:hAnsi="宋体" w:eastAsia="黑体" w:cs="Times New Roman"/>
          <w:b/>
          <w:sz w:val="24"/>
          <w:szCs w:val="24"/>
        </w:rPr>
        <w:t>九、约定事项的变更</w:t>
      </w:r>
    </w:p>
    <w:p w14:paraId="37B9E700">
      <w:pPr>
        <w:spacing w:after="156" w:afterLines="50" w:line="360" w:lineRule="exact"/>
        <w:ind w:firstLine="420" w:firstLineChars="200"/>
        <w:rPr>
          <w:rFonts w:hint="eastAsia" w:ascii="宋体" w:hAnsi="宋体" w:eastAsia="宋体" w:cs="Times New Roman"/>
          <w:szCs w:val="21"/>
        </w:rPr>
      </w:pPr>
      <w:r>
        <w:rPr>
          <w:rFonts w:hint="eastAsia" w:ascii="宋体" w:hAnsi="宋体" w:eastAsia="宋体" w:cs="Times New Roman"/>
          <w:szCs w:val="21"/>
        </w:rPr>
        <w:t>如果出现不可预见的情况，影响专项审计工作如期完成或需要提前出报告时，甲、乙双方均可要求变更约定事项，但应及时通知对方，并由双方协商解决。</w:t>
      </w:r>
    </w:p>
    <w:p w14:paraId="71DFCEA7">
      <w:pPr>
        <w:spacing w:before="312" w:beforeLines="100" w:after="312" w:afterLines="100" w:line="360" w:lineRule="exact"/>
        <w:ind w:firstLine="482" w:firstLineChars="200"/>
        <w:rPr>
          <w:rFonts w:hint="eastAsia" w:ascii="黑体" w:hAnsi="宋体" w:eastAsia="黑体" w:cs="Times New Roman"/>
          <w:b/>
          <w:sz w:val="24"/>
          <w:szCs w:val="24"/>
        </w:rPr>
      </w:pPr>
      <w:r>
        <w:rPr>
          <w:rFonts w:hint="eastAsia" w:ascii="黑体" w:hAnsi="宋体" w:eastAsia="黑体" w:cs="Times New Roman"/>
          <w:b/>
          <w:sz w:val="24"/>
          <w:szCs w:val="24"/>
        </w:rPr>
        <w:t>十、终止条款</w:t>
      </w:r>
    </w:p>
    <w:p w14:paraId="3207CCD6">
      <w:pPr>
        <w:spacing w:after="156" w:afterLines="50" w:line="360" w:lineRule="exact"/>
        <w:ind w:firstLine="420" w:firstLineChars="200"/>
        <w:rPr>
          <w:rFonts w:hint="eastAsia" w:ascii="宋体" w:hAnsi="宋体" w:eastAsia="宋体" w:cs="Times New Roman"/>
          <w:szCs w:val="21"/>
        </w:rPr>
      </w:pPr>
      <w:r>
        <w:rPr>
          <w:rFonts w:hint="eastAsia" w:ascii="宋体" w:hAnsi="宋体" w:eastAsia="宋体" w:cs="Times New Roman"/>
          <w:szCs w:val="21"/>
        </w:rPr>
        <w:t>（一）根据乙方的职业道德及其他有关专业职责、适用的法律法规或其他任何法定的要求，若乙方认为已不适宜继续为甲方提供本约定书约定的审计服务时，乙方可以采取向甲方提出合理通知的方式终止履行本约定书。</w:t>
      </w:r>
    </w:p>
    <w:p w14:paraId="704A046E">
      <w:pPr>
        <w:spacing w:after="156" w:afterLines="50" w:line="360" w:lineRule="exact"/>
        <w:ind w:firstLine="420" w:firstLineChars="200"/>
        <w:rPr>
          <w:rFonts w:hint="eastAsia" w:ascii="宋体" w:hAnsi="宋体" w:eastAsia="宋体" w:cs="Times New Roman"/>
          <w:szCs w:val="21"/>
        </w:rPr>
      </w:pPr>
      <w:r>
        <w:rPr>
          <w:rFonts w:hint="eastAsia" w:ascii="宋体" w:hAnsi="宋体" w:eastAsia="宋体" w:cs="Times New Roman"/>
          <w:szCs w:val="21"/>
        </w:rPr>
        <w:t>（二）若终止业务约定的情况下，乙方有权就其于本约定书终止之日前对约定的专项审计服务项目所做的工作收取合理的专项审计费用。</w:t>
      </w:r>
    </w:p>
    <w:p w14:paraId="6298F63B">
      <w:pPr>
        <w:spacing w:before="312" w:beforeLines="100" w:after="312" w:afterLines="100" w:line="360" w:lineRule="exact"/>
        <w:ind w:firstLine="482" w:firstLineChars="200"/>
        <w:rPr>
          <w:rFonts w:hint="eastAsia" w:ascii="黑体" w:hAnsi="宋体" w:eastAsia="黑体" w:cs="Times New Roman"/>
          <w:b/>
          <w:sz w:val="24"/>
          <w:szCs w:val="24"/>
        </w:rPr>
      </w:pPr>
      <w:r>
        <w:rPr>
          <w:rFonts w:hint="eastAsia" w:ascii="黑体" w:hAnsi="宋体" w:eastAsia="黑体" w:cs="Times New Roman"/>
          <w:b/>
          <w:sz w:val="24"/>
          <w:szCs w:val="24"/>
        </w:rPr>
        <w:t>十一、违约责任</w:t>
      </w:r>
    </w:p>
    <w:p w14:paraId="212B2275">
      <w:pPr>
        <w:spacing w:after="156" w:afterLines="50" w:line="360" w:lineRule="exact"/>
        <w:ind w:firstLine="420" w:firstLineChars="200"/>
        <w:rPr>
          <w:rFonts w:hint="eastAsia" w:ascii="宋体" w:hAnsi="宋体" w:eastAsia="宋体" w:cs="Times New Roman"/>
          <w:szCs w:val="21"/>
        </w:rPr>
      </w:pPr>
      <w:r>
        <w:rPr>
          <w:rFonts w:hint="eastAsia" w:ascii="宋体" w:hAnsi="宋体" w:eastAsia="宋体" w:cs="Times New Roman"/>
          <w:szCs w:val="21"/>
        </w:rPr>
        <w:t>1.甲、乙双方按照《中华人民共和国民法典》的规定承担违约责任。</w:t>
      </w:r>
    </w:p>
    <w:p w14:paraId="5942D771">
      <w:pPr>
        <w:spacing w:after="156" w:afterLines="50" w:line="360" w:lineRule="exact"/>
        <w:ind w:firstLine="420" w:firstLineChars="200"/>
        <w:rPr>
          <w:rFonts w:hint="eastAsia" w:ascii="宋体" w:hAnsi="宋体" w:eastAsia="宋体" w:cs="Times New Roman"/>
          <w:szCs w:val="21"/>
        </w:rPr>
      </w:pPr>
      <w:r>
        <w:rPr>
          <w:rFonts w:hint="eastAsia" w:ascii="宋体" w:hAnsi="宋体" w:eastAsia="宋体" w:cs="Times New Roman"/>
          <w:szCs w:val="21"/>
        </w:rPr>
        <w:t>2.乙方未能按照本约定书约定的时间向甲方提交审计报告，每逾期一日，应向甲方支付服务费用万分之三的违约金；逾期超过三十日，甲方有权解除合同且不承担违约责任。</w:t>
      </w:r>
    </w:p>
    <w:p w14:paraId="0ED5A0FF">
      <w:pPr>
        <w:spacing w:before="312" w:beforeLines="100" w:after="312" w:afterLines="100" w:line="360" w:lineRule="exact"/>
        <w:ind w:firstLine="482" w:firstLineChars="200"/>
        <w:rPr>
          <w:rFonts w:hint="eastAsia" w:ascii="黑体" w:hAnsi="宋体" w:eastAsia="黑体" w:cs="Times New Roman"/>
          <w:b/>
          <w:sz w:val="24"/>
          <w:szCs w:val="24"/>
        </w:rPr>
      </w:pPr>
      <w:r>
        <w:rPr>
          <w:rFonts w:hint="eastAsia" w:ascii="黑体" w:hAnsi="宋体" w:eastAsia="黑体" w:cs="Times New Roman"/>
          <w:b/>
          <w:sz w:val="24"/>
          <w:szCs w:val="24"/>
        </w:rPr>
        <w:t>十二、适用法律和争议解决</w:t>
      </w:r>
    </w:p>
    <w:p w14:paraId="348E1CD8">
      <w:pPr>
        <w:spacing w:after="156" w:afterLines="50" w:line="360" w:lineRule="exact"/>
        <w:ind w:firstLine="420" w:firstLineChars="200"/>
        <w:rPr>
          <w:rFonts w:hint="eastAsia" w:ascii="宋体" w:hAnsi="宋体" w:eastAsia="宋体" w:cs="Times New Roman"/>
          <w:szCs w:val="21"/>
        </w:rPr>
      </w:pPr>
      <w:r>
        <w:rPr>
          <w:rFonts w:hint="eastAsia" w:ascii="宋体" w:hAnsi="宋体" w:eastAsia="宋体" w:cs="Times New Roman"/>
          <w:szCs w:val="21"/>
        </w:rPr>
        <w:t>本约定书的所有方面均应适用中华人民共和国法律进行解释并受其约束。因本约定书所引起的或与本约定书有关的任何纠纷或争议（包括关于本约定书条款的存在、效力或终止，或无效之后果）,双方选择以下第</w:t>
      </w:r>
      <w:r>
        <w:rPr>
          <w:rFonts w:hint="eastAsia" w:ascii="宋体" w:hAnsi="宋体" w:eastAsia="宋体" w:cs="Times New Roman"/>
          <w:color w:val="FF0000"/>
          <w:szCs w:val="21"/>
          <w:lang w:val="en-US" w:eastAsia="zh-CN"/>
        </w:rPr>
        <w:t>1</w:t>
      </w:r>
      <w:r>
        <w:rPr>
          <w:rFonts w:hint="eastAsia" w:ascii="宋体" w:hAnsi="宋体" w:eastAsia="宋体" w:cs="Times New Roman"/>
          <w:color w:val="000000" w:themeColor="text1"/>
          <w:szCs w:val="21"/>
          <w14:textFill>
            <w14:solidFill>
              <w14:schemeClr w14:val="tx1"/>
            </w14:solidFill>
          </w14:textFill>
        </w:rPr>
        <w:t>种</w:t>
      </w:r>
      <w:r>
        <w:rPr>
          <w:rFonts w:hint="eastAsia" w:ascii="宋体" w:hAnsi="宋体" w:eastAsia="宋体" w:cs="Times New Roman"/>
          <w:szCs w:val="21"/>
        </w:rPr>
        <w:t>解决方式：</w:t>
      </w:r>
    </w:p>
    <w:p w14:paraId="4AF56BE0">
      <w:pPr>
        <w:spacing w:after="156" w:afterLines="50" w:line="360" w:lineRule="exact"/>
        <w:ind w:firstLine="420" w:firstLineChars="200"/>
        <w:rPr>
          <w:rFonts w:hint="eastAsia" w:ascii="宋体" w:hAnsi="宋体" w:eastAsia="宋体" w:cs="Times New Roman"/>
          <w:szCs w:val="21"/>
        </w:rPr>
      </w:pPr>
      <w:r>
        <w:rPr>
          <w:rFonts w:hint="eastAsia" w:ascii="宋体" w:hAnsi="宋体" w:eastAsia="宋体" w:cs="Times New Roman"/>
          <w:szCs w:val="21"/>
        </w:rPr>
        <w:t>1.向</w:t>
      </w:r>
      <w:r>
        <w:rPr>
          <w:rFonts w:hint="eastAsia" w:ascii="宋体" w:hAnsi="宋体" w:eastAsia="宋体" w:cs="Times New Roman"/>
          <w:color w:val="FF0000"/>
          <w:szCs w:val="21"/>
          <w:lang w:val="en-US" w:eastAsia="zh-CN"/>
        </w:rPr>
        <w:t>甲方所在地</w:t>
      </w:r>
      <w:r>
        <w:rPr>
          <w:rFonts w:hint="eastAsia" w:ascii="宋体" w:hAnsi="宋体" w:eastAsia="宋体" w:cs="Times New Roman"/>
          <w:szCs w:val="21"/>
        </w:rPr>
        <w:t>人民法院提起诉讼；</w:t>
      </w:r>
    </w:p>
    <w:p w14:paraId="44384F4F">
      <w:pPr>
        <w:spacing w:after="156" w:afterLines="50" w:line="360" w:lineRule="exact"/>
        <w:ind w:firstLine="420" w:firstLineChars="200"/>
        <w:rPr>
          <w:rFonts w:hint="eastAsia" w:ascii="宋体" w:hAnsi="宋体" w:eastAsia="宋体" w:cs="Times New Roman"/>
          <w:szCs w:val="21"/>
        </w:rPr>
      </w:pPr>
      <w:r>
        <w:rPr>
          <w:rFonts w:hint="eastAsia" w:ascii="宋体" w:hAnsi="宋体" w:eastAsia="宋体" w:cs="Times New Roman"/>
          <w:szCs w:val="21"/>
        </w:rPr>
        <w:t>2.提交西安仲裁委员会仲裁。</w:t>
      </w:r>
    </w:p>
    <w:p w14:paraId="3F4768DC">
      <w:pPr>
        <w:spacing w:before="312" w:beforeLines="100" w:after="312" w:afterLines="100" w:line="360" w:lineRule="exact"/>
        <w:ind w:firstLine="482" w:firstLineChars="200"/>
        <w:rPr>
          <w:rFonts w:hint="eastAsia" w:ascii="黑体" w:hAnsi="宋体" w:eastAsia="黑体" w:cs="Times New Roman"/>
          <w:b/>
          <w:sz w:val="24"/>
          <w:szCs w:val="24"/>
        </w:rPr>
      </w:pPr>
      <w:r>
        <w:rPr>
          <w:rFonts w:hint="eastAsia" w:ascii="黑体" w:hAnsi="宋体" w:eastAsia="黑体" w:cs="Times New Roman"/>
          <w:b/>
          <w:sz w:val="24"/>
          <w:szCs w:val="24"/>
        </w:rPr>
        <w:t>十三、双方对其他有关事项的约定</w:t>
      </w:r>
    </w:p>
    <w:p w14:paraId="318E8DA0">
      <w:pPr>
        <w:spacing w:after="156" w:afterLines="50" w:line="360" w:lineRule="exact"/>
        <w:ind w:firstLine="420" w:firstLineChars="200"/>
        <w:rPr>
          <w:rFonts w:hint="eastAsia" w:ascii="宋体" w:hAnsi="宋体" w:eastAsia="宋体" w:cs="Times New Roman"/>
          <w:szCs w:val="21"/>
        </w:rPr>
      </w:pPr>
      <w:r>
        <w:rPr>
          <w:rFonts w:hint="eastAsia" w:ascii="宋体" w:hAnsi="宋体" w:eastAsia="宋体" w:cs="Times New Roman"/>
          <w:szCs w:val="21"/>
        </w:rPr>
        <w:t>本约定书一式肆份，甲、乙方各执贰份，具有同等法律效力。</w:t>
      </w:r>
    </w:p>
    <w:p w14:paraId="0F9AFFD0">
      <w:pPr>
        <w:spacing w:after="156" w:afterLines="50" w:line="360" w:lineRule="exact"/>
        <w:ind w:firstLine="420" w:firstLineChars="200"/>
        <w:rPr>
          <w:rFonts w:hint="eastAsia" w:ascii="宋体" w:hAnsi="宋体" w:eastAsia="宋体" w:cs="Times New Roman"/>
          <w:szCs w:val="21"/>
        </w:rPr>
      </w:pPr>
    </w:p>
    <w:p w14:paraId="2FBF69F1">
      <w:pPr>
        <w:spacing w:after="156" w:afterLines="50" w:line="360" w:lineRule="exact"/>
        <w:ind w:firstLine="420" w:firstLineChars="200"/>
        <w:rPr>
          <w:rFonts w:hint="eastAsia" w:ascii="宋体" w:hAnsi="宋体" w:eastAsia="宋体" w:cs="Times New Roman"/>
          <w:szCs w:val="21"/>
        </w:rPr>
      </w:pPr>
    </w:p>
    <w:p w14:paraId="4F65A001">
      <w:pPr>
        <w:spacing w:after="156" w:afterLines="50" w:line="360" w:lineRule="exact"/>
        <w:rPr>
          <w:rFonts w:hint="eastAsia" w:ascii="宋体" w:hAnsi="宋体" w:eastAsia="宋体" w:cs="Times New Roman"/>
          <w:szCs w:val="21"/>
        </w:rPr>
      </w:pPr>
    </w:p>
    <w:p w14:paraId="08B82FCB">
      <w:pPr>
        <w:rPr>
          <w:rFonts w:ascii="Times New Roman" w:hAnsi="Times New Roman" w:eastAsia="宋体" w:cs="Times New Roman"/>
          <w:szCs w:val="24"/>
        </w:rPr>
      </w:pPr>
    </w:p>
    <w:tbl>
      <w:tblPr>
        <w:tblStyle w:val="12"/>
        <w:tblW w:w="0" w:type="auto"/>
        <w:tblInd w:w="0" w:type="dxa"/>
        <w:tblBorders>
          <w:top w:val="single" w:color="00B0F0" w:sz="4" w:space="0"/>
          <w:left w:val="single" w:color="00B0F0" w:sz="4" w:space="0"/>
          <w:bottom w:val="single" w:color="00B0F0" w:sz="4" w:space="0"/>
          <w:right w:val="single" w:color="00B0F0" w:sz="4" w:space="0"/>
          <w:insideH w:val="single" w:color="00B0F0" w:sz="4" w:space="0"/>
          <w:insideV w:val="single" w:color="00B0F0" w:sz="4" w:space="0"/>
        </w:tblBorders>
        <w:tblLayout w:type="autofit"/>
        <w:tblCellMar>
          <w:top w:w="0" w:type="dxa"/>
          <w:left w:w="108" w:type="dxa"/>
          <w:bottom w:w="0" w:type="dxa"/>
          <w:right w:w="108" w:type="dxa"/>
        </w:tblCellMar>
      </w:tblPr>
      <w:tblGrid>
        <w:gridCol w:w="4261"/>
        <w:gridCol w:w="4261"/>
      </w:tblGrid>
      <w:tr w14:paraId="03CBA6CC">
        <w:tblPrEx>
          <w:tblBorders>
            <w:top w:val="single" w:color="00B0F0" w:sz="4" w:space="0"/>
            <w:left w:val="single" w:color="00B0F0" w:sz="4" w:space="0"/>
            <w:bottom w:val="single" w:color="00B0F0" w:sz="4" w:space="0"/>
            <w:right w:val="single" w:color="00B0F0" w:sz="4" w:space="0"/>
            <w:insideH w:val="single" w:color="00B0F0" w:sz="4" w:space="0"/>
            <w:insideV w:val="single" w:color="00B0F0" w:sz="4" w:space="0"/>
          </w:tblBorders>
          <w:tblCellMar>
            <w:top w:w="0" w:type="dxa"/>
            <w:left w:w="108" w:type="dxa"/>
            <w:bottom w:w="0" w:type="dxa"/>
            <w:right w:w="108" w:type="dxa"/>
          </w:tblCellMar>
        </w:tblPrEx>
        <w:trPr>
          <w:trHeight w:val="931" w:hRule="atLeast"/>
        </w:trPr>
        <w:tc>
          <w:tcPr>
            <w:tcW w:w="4261" w:type="dxa"/>
          </w:tcPr>
          <w:p w14:paraId="1D0E21AA">
            <w:pPr>
              <w:spacing w:after="156" w:afterLines="50" w:line="360" w:lineRule="exact"/>
              <w:rPr>
                <w:rFonts w:hint="eastAsia" w:ascii="宋体" w:hAnsi="宋体" w:eastAsia="宋体" w:cs="Times New Roman"/>
                <w:szCs w:val="21"/>
              </w:rPr>
            </w:pPr>
            <w:r>
              <w:rPr>
                <w:rFonts w:hint="eastAsia" w:ascii="宋体" w:hAnsi="宋体" w:eastAsia="宋体" w:cs="Times New Roman"/>
                <w:szCs w:val="21"/>
              </w:rPr>
              <w:t>甲方：</w:t>
            </w:r>
            <w:r>
              <w:rPr>
                <w:rFonts w:hint="eastAsia" w:ascii="宋体" w:hAnsi="宋体" w:eastAsia="宋体" w:cs="Arial"/>
                <w:szCs w:val="21"/>
              </w:rPr>
              <w:t>陕西省机关事务服务中心</w:t>
            </w:r>
          </w:p>
        </w:tc>
        <w:tc>
          <w:tcPr>
            <w:tcW w:w="4261" w:type="dxa"/>
          </w:tcPr>
          <w:p w14:paraId="422E42F6">
            <w:pPr>
              <w:spacing w:after="156" w:afterLines="50" w:line="360" w:lineRule="exact"/>
              <w:rPr>
                <w:rFonts w:hint="eastAsia" w:ascii="宋体" w:hAnsi="宋体" w:eastAsia="宋体" w:cs="Times New Roman"/>
                <w:szCs w:val="21"/>
              </w:rPr>
            </w:pPr>
            <w:r>
              <w:rPr>
                <w:rFonts w:hint="eastAsia" w:ascii="宋体" w:hAnsi="宋体" w:eastAsia="宋体" w:cs="Times New Roman"/>
                <w:szCs w:val="21"/>
              </w:rPr>
              <w:t>乙方：陕西诺勤会计师事务所（普通合伙）</w:t>
            </w:r>
          </w:p>
        </w:tc>
      </w:tr>
      <w:tr w14:paraId="0E919B14">
        <w:tblPrEx>
          <w:tblBorders>
            <w:top w:val="single" w:color="00B0F0" w:sz="4" w:space="0"/>
            <w:left w:val="single" w:color="00B0F0" w:sz="4" w:space="0"/>
            <w:bottom w:val="single" w:color="00B0F0" w:sz="4" w:space="0"/>
            <w:right w:val="single" w:color="00B0F0" w:sz="4" w:space="0"/>
            <w:insideH w:val="single" w:color="00B0F0" w:sz="4" w:space="0"/>
            <w:insideV w:val="single" w:color="00B0F0" w:sz="4" w:space="0"/>
          </w:tblBorders>
          <w:tblCellMar>
            <w:top w:w="0" w:type="dxa"/>
            <w:left w:w="108" w:type="dxa"/>
            <w:bottom w:w="0" w:type="dxa"/>
            <w:right w:w="108" w:type="dxa"/>
          </w:tblCellMar>
        </w:tblPrEx>
        <w:trPr>
          <w:trHeight w:val="513" w:hRule="atLeast"/>
        </w:trPr>
        <w:tc>
          <w:tcPr>
            <w:tcW w:w="4261" w:type="dxa"/>
          </w:tcPr>
          <w:p w14:paraId="36CA81E7">
            <w:pPr>
              <w:spacing w:after="156" w:afterLines="50" w:line="360" w:lineRule="exact"/>
              <w:rPr>
                <w:rFonts w:hint="eastAsia" w:ascii="宋体" w:hAnsi="宋体" w:eastAsia="宋体" w:cs="Times New Roman"/>
                <w:szCs w:val="21"/>
              </w:rPr>
            </w:pPr>
            <w:r>
              <w:rPr>
                <w:rFonts w:hint="eastAsia" w:ascii="宋体" w:hAnsi="宋体" w:eastAsia="宋体" w:cs="Times New Roman"/>
                <w:szCs w:val="21"/>
              </w:rPr>
              <w:t>法定代表人或授权代表人：</w:t>
            </w:r>
          </w:p>
          <w:p w14:paraId="11E651B0">
            <w:pPr>
              <w:spacing w:after="156" w:afterLines="50" w:line="360" w:lineRule="exact"/>
              <w:rPr>
                <w:rFonts w:hint="eastAsia" w:ascii="宋体" w:hAnsi="宋体" w:eastAsia="宋体" w:cs="Times New Roman"/>
                <w:szCs w:val="21"/>
              </w:rPr>
            </w:pPr>
          </w:p>
        </w:tc>
        <w:tc>
          <w:tcPr>
            <w:tcW w:w="4261" w:type="dxa"/>
          </w:tcPr>
          <w:p w14:paraId="4BD88D73">
            <w:pPr>
              <w:spacing w:after="156" w:afterLines="50" w:line="360" w:lineRule="exact"/>
              <w:rPr>
                <w:rFonts w:hint="eastAsia" w:ascii="宋体" w:hAnsi="宋体" w:eastAsia="宋体" w:cs="Times New Roman"/>
                <w:szCs w:val="21"/>
              </w:rPr>
            </w:pPr>
            <w:r>
              <w:rPr>
                <w:rFonts w:hint="eastAsia" w:ascii="宋体" w:hAnsi="宋体" w:eastAsia="宋体" w:cs="Times New Roman"/>
                <w:szCs w:val="21"/>
              </w:rPr>
              <w:t>执行事务合伙人或授权代表人：</w:t>
            </w:r>
          </w:p>
          <w:p w14:paraId="4DB75DAD">
            <w:pPr>
              <w:spacing w:after="156" w:afterLines="50" w:line="360" w:lineRule="exact"/>
              <w:rPr>
                <w:rFonts w:hint="eastAsia" w:ascii="宋体" w:hAnsi="宋体" w:eastAsia="宋体" w:cs="Times New Roman"/>
                <w:szCs w:val="21"/>
              </w:rPr>
            </w:pPr>
          </w:p>
        </w:tc>
      </w:tr>
      <w:tr w14:paraId="7AA628DB">
        <w:tblPrEx>
          <w:tblBorders>
            <w:top w:val="single" w:color="00B0F0" w:sz="4" w:space="0"/>
            <w:left w:val="single" w:color="00B0F0" w:sz="4" w:space="0"/>
            <w:bottom w:val="single" w:color="00B0F0" w:sz="4" w:space="0"/>
            <w:right w:val="single" w:color="00B0F0" w:sz="4" w:space="0"/>
            <w:insideH w:val="single" w:color="00B0F0" w:sz="4" w:space="0"/>
            <w:insideV w:val="single" w:color="00B0F0" w:sz="4" w:space="0"/>
          </w:tblBorders>
          <w:tblCellMar>
            <w:top w:w="0" w:type="dxa"/>
            <w:left w:w="108" w:type="dxa"/>
            <w:bottom w:w="0" w:type="dxa"/>
            <w:right w:w="108" w:type="dxa"/>
          </w:tblCellMar>
        </w:tblPrEx>
        <w:trPr>
          <w:trHeight w:val="558" w:hRule="atLeast"/>
        </w:trPr>
        <w:tc>
          <w:tcPr>
            <w:tcW w:w="4261" w:type="dxa"/>
          </w:tcPr>
          <w:p w14:paraId="02F710F5">
            <w:pPr>
              <w:spacing w:after="156" w:afterLines="50" w:line="360" w:lineRule="exact"/>
              <w:rPr>
                <w:rFonts w:hint="eastAsia" w:ascii="宋体" w:hAnsi="宋体" w:eastAsia="宋体" w:cs="Times New Roman"/>
                <w:szCs w:val="21"/>
              </w:rPr>
            </w:pPr>
            <w:r>
              <w:rPr>
                <w:rFonts w:hint="eastAsia" w:ascii="宋体" w:hAnsi="宋体" w:eastAsia="宋体" w:cs="Times New Roman"/>
                <w:szCs w:val="21"/>
              </w:rPr>
              <w:t>签约日期：      年  月   日</w:t>
            </w:r>
          </w:p>
        </w:tc>
        <w:tc>
          <w:tcPr>
            <w:tcW w:w="4261" w:type="dxa"/>
          </w:tcPr>
          <w:p w14:paraId="5B522D71">
            <w:pPr>
              <w:spacing w:after="156" w:afterLines="50" w:line="360" w:lineRule="exact"/>
              <w:rPr>
                <w:rFonts w:hint="eastAsia" w:ascii="宋体" w:hAnsi="宋体" w:eastAsia="宋体" w:cs="Times New Roman"/>
                <w:szCs w:val="21"/>
              </w:rPr>
            </w:pPr>
            <w:r>
              <w:rPr>
                <w:rFonts w:hint="eastAsia" w:ascii="宋体" w:hAnsi="宋体" w:eastAsia="宋体" w:cs="Times New Roman"/>
                <w:szCs w:val="21"/>
              </w:rPr>
              <w:t>签约日期：     年   月   日</w:t>
            </w:r>
          </w:p>
        </w:tc>
      </w:tr>
    </w:tbl>
    <w:p w14:paraId="2CEA52F8">
      <w:pPr>
        <w:pStyle w:val="10"/>
        <w:spacing w:line="480" w:lineRule="exact"/>
        <w:ind w:firstLine="210" w:firstLineChars="100"/>
        <w:rPr>
          <w:rFonts w:hint="eastAsia"/>
          <w:sz w:val="21"/>
          <w:szCs w:val="21"/>
        </w:rPr>
      </w:pPr>
    </w:p>
    <w:sectPr>
      <w:pgSz w:w="11906" w:h="16838"/>
      <w:pgMar w:top="1440" w:right="1797" w:bottom="1247" w:left="179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仿宋_GB2312">
    <w:altName w:val="方正仿宋_GBK"/>
    <w:panose1 w:val="02010609030101010101"/>
    <w:charset w:val="86"/>
    <w:family w:val="modern"/>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6089"/>
    <w:rsid w:val="00010958"/>
    <w:rsid w:val="00013B88"/>
    <w:rsid w:val="000212B7"/>
    <w:rsid w:val="00061A26"/>
    <w:rsid w:val="00087E97"/>
    <w:rsid w:val="000903F2"/>
    <w:rsid w:val="000917CB"/>
    <w:rsid w:val="00093059"/>
    <w:rsid w:val="00095698"/>
    <w:rsid w:val="000A1631"/>
    <w:rsid w:val="000D7C4B"/>
    <w:rsid w:val="000E0951"/>
    <w:rsid w:val="000E26B4"/>
    <w:rsid w:val="0010313A"/>
    <w:rsid w:val="001161CC"/>
    <w:rsid w:val="001261BA"/>
    <w:rsid w:val="00134C4D"/>
    <w:rsid w:val="00166EC3"/>
    <w:rsid w:val="0018623A"/>
    <w:rsid w:val="00186EFA"/>
    <w:rsid w:val="001935BC"/>
    <w:rsid w:val="001A3DCA"/>
    <w:rsid w:val="001B76B0"/>
    <w:rsid w:val="001C7558"/>
    <w:rsid w:val="001E04B9"/>
    <w:rsid w:val="001E7999"/>
    <w:rsid w:val="001F3E37"/>
    <w:rsid w:val="001F4203"/>
    <w:rsid w:val="00201176"/>
    <w:rsid w:val="00231840"/>
    <w:rsid w:val="00236539"/>
    <w:rsid w:val="00256669"/>
    <w:rsid w:val="00297DD3"/>
    <w:rsid w:val="002B1A2E"/>
    <w:rsid w:val="002C38D9"/>
    <w:rsid w:val="002C6689"/>
    <w:rsid w:val="002D2555"/>
    <w:rsid w:val="00305AB1"/>
    <w:rsid w:val="00306525"/>
    <w:rsid w:val="00306C52"/>
    <w:rsid w:val="0032520A"/>
    <w:rsid w:val="00352C8F"/>
    <w:rsid w:val="0037071C"/>
    <w:rsid w:val="003712A7"/>
    <w:rsid w:val="00377A21"/>
    <w:rsid w:val="00393416"/>
    <w:rsid w:val="003A233A"/>
    <w:rsid w:val="003D13BC"/>
    <w:rsid w:val="003D6CE0"/>
    <w:rsid w:val="00406F84"/>
    <w:rsid w:val="00413054"/>
    <w:rsid w:val="004173FC"/>
    <w:rsid w:val="00430904"/>
    <w:rsid w:val="00443DE9"/>
    <w:rsid w:val="00450138"/>
    <w:rsid w:val="00450728"/>
    <w:rsid w:val="004508EF"/>
    <w:rsid w:val="00456089"/>
    <w:rsid w:val="004822FE"/>
    <w:rsid w:val="004836FA"/>
    <w:rsid w:val="00492868"/>
    <w:rsid w:val="004A5AB5"/>
    <w:rsid w:val="004B3228"/>
    <w:rsid w:val="004D5F0B"/>
    <w:rsid w:val="00512647"/>
    <w:rsid w:val="0058068B"/>
    <w:rsid w:val="00590326"/>
    <w:rsid w:val="005B53B3"/>
    <w:rsid w:val="005B7B13"/>
    <w:rsid w:val="005D2E70"/>
    <w:rsid w:val="005D2F42"/>
    <w:rsid w:val="005D7886"/>
    <w:rsid w:val="005E1BF7"/>
    <w:rsid w:val="005F4517"/>
    <w:rsid w:val="00610466"/>
    <w:rsid w:val="006112E0"/>
    <w:rsid w:val="0061478F"/>
    <w:rsid w:val="00632AF0"/>
    <w:rsid w:val="0066076B"/>
    <w:rsid w:val="00665CF5"/>
    <w:rsid w:val="00671187"/>
    <w:rsid w:val="00675C41"/>
    <w:rsid w:val="0067677D"/>
    <w:rsid w:val="006A028B"/>
    <w:rsid w:val="006A478E"/>
    <w:rsid w:val="006F1C96"/>
    <w:rsid w:val="007075ED"/>
    <w:rsid w:val="00734DAF"/>
    <w:rsid w:val="00737904"/>
    <w:rsid w:val="0076300D"/>
    <w:rsid w:val="00767229"/>
    <w:rsid w:val="0077027A"/>
    <w:rsid w:val="00772B38"/>
    <w:rsid w:val="00772E61"/>
    <w:rsid w:val="00773A8F"/>
    <w:rsid w:val="0077481D"/>
    <w:rsid w:val="00795A72"/>
    <w:rsid w:val="00796974"/>
    <w:rsid w:val="007B71BD"/>
    <w:rsid w:val="007E03E2"/>
    <w:rsid w:val="007E0A7B"/>
    <w:rsid w:val="007F447A"/>
    <w:rsid w:val="007F5814"/>
    <w:rsid w:val="00833A48"/>
    <w:rsid w:val="008407A0"/>
    <w:rsid w:val="00854B04"/>
    <w:rsid w:val="00873B5F"/>
    <w:rsid w:val="008811C8"/>
    <w:rsid w:val="00887C83"/>
    <w:rsid w:val="008B6B91"/>
    <w:rsid w:val="008C2D80"/>
    <w:rsid w:val="008C3B76"/>
    <w:rsid w:val="008C44E3"/>
    <w:rsid w:val="008D6510"/>
    <w:rsid w:val="008F01AE"/>
    <w:rsid w:val="00902471"/>
    <w:rsid w:val="00903521"/>
    <w:rsid w:val="00924C1A"/>
    <w:rsid w:val="00946B41"/>
    <w:rsid w:val="00966D00"/>
    <w:rsid w:val="009C498E"/>
    <w:rsid w:val="009C6E60"/>
    <w:rsid w:val="009F302B"/>
    <w:rsid w:val="009F624E"/>
    <w:rsid w:val="00A00E74"/>
    <w:rsid w:val="00A43CA1"/>
    <w:rsid w:val="00A75AEE"/>
    <w:rsid w:val="00A85667"/>
    <w:rsid w:val="00A90793"/>
    <w:rsid w:val="00A94D87"/>
    <w:rsid w:val="00AA1F4A"/>
    <w:rsid w:val="00AB6BC7"/>
    <w:rsid w:val="00AB7FF0"/>
    <w:rsid w:val="00AD3AD9"/>
    <w:rsid w:val="00AD7D0C"/>
    <w:rsid w:val="00AE0087"/>
    <w:rsid w:val="00B11033"/>
    <w:rsid w:val="00B52298"/>
    <w:rsid w:val="00B537A9"/>
    <w:rsid w:val="00B55934"/>
    <w:rsid w:val="00B55D9E"/>
    <w:rsid w:val="00B62BCF"/>
    <w:rsid w:val="00B6316E"/>
    <w:rsid w:val="00B750CB"/>
    <w:rsid w:val="00B75C22"/>
    <w:rsid w:val="00B83C0C"/>
    <w:rsid w:val="00B85B3A"/>
    <w:rsid w:val="00BB033B"/>
    <w:rsid w:val="00BD0FB7"/>
    <w:rsid w:val="00C1029C"/>
    <w:rsid w:val="00C228B4"/>
    <w:rsid w:val="00C4443D"/>
    <w:rsid w:val="00C453DE"/>
    <w:rsid w:val="00C509E0"/>
    <w:rsid w:val="00C634D2"/>
    <w:rsid w:val="00C64468"/>
    <w:rsid w:val="00C87DD8"/>
    <w:rsid w:val="00C90767"/>
    <w:rsid w:val="00CC6155"/>
    <w:rsid w:val="00CD780D"/>
    <w:rsid w:val="00CF15C7"/>
    <w:rsid w:val="00D12189"/>
    <w:rsid w:val="00D30B2D"/>
    <w:rsid w:val="00D31536"/>
    <w:rsid w:val="00D65D74"/>
    <w:rsid w:val="00D65FBA"/>
    <w:rsid w:val="00D66C58"/>
    <w:rsid w:val="00D67A4C"/>
    <w:rsid w:val="00D85607"/>
    <w:rsid w:val="00E04586"/>
    <w:rsid w:val="00E51782"/>
    <w:rsid w:val="00E80A4F"/>
    <w:rsid w:val="00E9308B"/>
    <w:rsid w:val="00EB05E6"/>
    <w:rsid w:val="00EB39A2"/>
    <w:rsid w:val="00EB5B1A"/>
    <w:rsid w:val="00EC2164"/>
    <w:rsid w:val="00EF30BB"/>
    <w:rsid w:val="00F07869"/>
    <w:rsid w:val="00F13A51"/>
    <w:rsid w:val="00F16F08"/>
    <w:rsid w:val="00F30850"/>
    <w:rsid w:val="00F32EE4"/>
    <w:rsid w:val="00F66F30"/>
    <w:rsid w:val="00F67798"/>
    <w:rsid w:val="00F92866"/>
    <w:rsid w:val="00FA7070"/>
    <w:rsid w:val="00FC22E4"/>
    <w:rsid w:val="00FC23AA"/>
    <w:rsid w:val="00FE10BE"/>
    <w:rsid w:val="00FE2080"/>
    <w:rsid w:val="00FF0FD4"/>
    <w:rsid w:val="00FF16A0"/>
    <w:rsid w:val="00FF556D"/>
    <w:rsid w:val="01651A75"/>
    <w:rsid w:val="05842CED"/>
    <w:rsid w:val="059308B0"/>
    <w:rsid w:val="0B771017"/>
    <w:rsid w:val="0BCC38C5"/>
    <w:rsid w:val="0D37623C"/>
    <w:rsid w:val="0E674291"/>
    <w:rsid w:val="0F5C0DE2"/>
    <w:rsid w:val="11462134"/>
    <w:rsid w:val="133D2F6C"/>
    <w:rsid w:val="141045D9"/>
    <w:rsid w:val="143867DA"/>
    <w:rsid w:val="15426E16"/>
    <w:rsid w:val="1BD825D0"/>
    <w:rsid w:val="1C3119D0"/>
    <w:rsid w:val="1D44618C"/>
    <w:rsid w:val="1F6B5FD6"/>
    <w:rsid w:val="2049473B"/>
    <w:rsid w:val="206E3DBD"/>
    <w:rsid w:val="21F56EB0"/>
    <w:rsid w:val="24091D67"/>
    <w:rsid w:val="2BEA4BE9"/>
    <w:rsid w:val="2CAD1715"/>
    <w:rsid w:val="2CCF2AD4"/>
    <w:rsid w:val="300C0B78"/>
    <w:rsid w:val="319100DF"/>
    <w:rsid w:val="33B42BFF"/>
    <w:rsid w:val="34862E35"/>
    <w:rsid w:val="3676031E"/>
    <w:rsid w:val="36930801"/>
    <w:rsid w:val="36C016EC"/>
    <w:rsid w:val="37A07F0F"/>
    <w:rsid w:val="38F4654D"/>
    <w:rsid w:val="39537D75"/>
    <w:rsid w:val="3A5A1201"/>
    <w:rsid w:val="3A807078"/>
    <w:rsid w:val="3AB75BF9"/>
    <w:rsid w:val="3C6B687A"/>
    <w:rsid w:val="3DF6A7F6"/>
    <w:rsid w:val="3F900B67"/>
    <w:rsid w:val="409A7625"/>
    <w:rsid w:val="41324A92"/>
    <w:rsid w:val="413D00F5"/>
    <w:rsid w:val="41561EA0"/>
    <w:rsid w:val="43A0314D"/>
    <w:rsid w:val="44814AB6"/>
    <w:rsid w:val="44E541EE"/>
    <w:rsid w:val="488E0E82"/>
    <w:rsid w:val="4B0C1C9D"/>
    <w:rsid w:val="4FC16BEF"/>
    <w:rsid w:val="4FD940AC"/>
    <w:rsid w:val="50FE2884"/>
    <w:rsid w:val="51A466BA"/>
    <w:rsid w:val="53783689"/>
    <w:rsid w:val="53D330E1"/>
    <w:rsid w:val="53D85223"/>
    <w:rsid w:val="53DB1222"/>
    <w:rsid w:val="56A81834"/>
    <w:rsid w:val="56C761AF"/>
    <w:rsid w:val="571B1754"/>
    <w:rsid w:val="59435F5B"/>
    <w:rsid w:val="59685B84"/>
    <w:rsid w:val="59922DE4"/>
    <w:rsid w:val="5AEF7A5B"/>
    <w:rsid w:val="5BA967D3"/>
    <w:rsid w:val="5BFFC7D0"/>
    <w:rsid w:val="5D554E8E"/>
    <w:rsid w:val="614B67CB"/>
    <w:rsid w:val="638B1389"/>
    <w:rsid w:val="63F43717"/>
    <w:rsid w:val="64823CEA"/>
    <w:rsid w:val="658F680F"/>
    <w:rsid w:val="6745093B"/>
    <w:rsid w:val="679918B4"/>
    <w:rsid w:val="67DB7941"/>
    <w:rsid w:val="68A030AD"/>
    <w:rsid w:val="6C685B8B"/>
    <w:rsid w:val="6C83585E"/>
    <w:rsid w:val="6F5D25C1"/>
    <w:rsid w:val="72700ED2"/>
    <w:rsid w:val="73A61BB9"/>
    <w:rsid w:val="745B42A0"/>
    <w:rsid w:val="76CC34C7"/>
    <w:rsid w:val="794A5173"/>
    <w:rsid w:val="7BA1621B"/>
    <w:rsid w:val="7BD53B64"/>
    <w:rsid w:val="7D6D28BE"/>
    <w:rsid w:val="7EBF786D"/>
    <w:rsid w:val="7F410307"/>
    <w:rsid w:val="7FFD5807"/>
    <w:rsid w:val="CEFC2273"/>
    <w:rsid w:val="FC5DA91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line="413" w:lineRule="auto"/>
      <w:outlineLvl w:val="1"/>
    </w:pPr>
    <w:rPr>
      <w:rFonts w:ascii="Arial" w:hAnsi="Arial" w:eastAsia="黑体"/>
      <w:b/>
      <w:sz w:val="32"/>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3">
    <w:name w:val="Document Map"/>
    <w:basedOn w:val="1"/>
    <w:link w:val="17"/>
    <w:semiHidden/>
    <w:unhideWhenUsed/>
    <w:qFormat/>
    <w:uiPriority w:val="99"/>
    <w:rPr>
      <w:rFonts w:ascii="宋体" w:eastAsia="宋体"/>
      <w:sz w:val="18"/>
      <w:szCs w:val="18"/>
    </w:rPr>
  </w:style>
  <w:style w:type="paragraph" w:styleId="4">
    <w:name w:val="annotation text"/>
    <w:basedOn w:val="1"/>
    <w:link w:val="21"/>
    <w:semiHidden/>
    <w:unhideWhenUsed/>
    <w:qFormat/>
    <w:uiPriority w:val="99"/>
    <w:pPr>
      <w:jc w:val="left"/>
    </w:pPr>
  </w:style>
  <w:style w:type="paragraph" w:styleId="5">
    <w:name w:val="Body Text"/>
    <w:basedOn w:val="1"/>
    <w:unhideWhenUsed/>
    <w:qFormat/>
    <w:uiPriority w:val="99"/>
    <w:pPr>
      <w:widowControl/>
      <w:tabs>
        <w:tab w:val="left" w:pos="720"/>
        <w:tab w:val="left" w:pos="1440"/>
        <w:tab w:val="left" w:pos="2160"/>
        <w:tab w:val="left" w:pos="2880"/>
        <w:tab w:val="left" w:pos="3600"/>
        <w:tab w:val="left" w:pos="4321"/>
        <w:tab w:val="left" w:pos="5041"/>
        <w:tab w:val="left" w:pos="5761"/>
        <w:tab w:val="left" w:pos="6481"/>
        <w:tab w:val="left" w:pos="7201"/>
        <w:tab w:val="left" w:pos="7921"/>
      </w:tabs>
      <w:autoSpaceDE w:val="0"/>
      <w:autoSpaceDN w:val="0"/>
      <w:spacing w:after="120"/>
      <w:jc w:val="left"/>
    </w:pPr>
    <w:rPr>
      <w:kern w:val="0"/>
      <w:sz w:val="24"/>
      <w:szCs w:val="20"/>
      <w:lang w:val="en-AU"/>
    </w:rPr>
  </w:style>
  <w:style w:type="paragraph" w:styleId="6">
    <w:name w:val="Plain Text"/>
    <w:basedOn w:val="1"/>
    <w:unhideWhenUsed/>
    <w:qFormat/>
    <w:uiPriority w:val="99"/>
    <w:rPr>
      <w:rFonts w:ascii="宋体" w:hAnsi="Courier New" w:cs="Courier New"/>
      <w:szCs w:val="21"/>
    </w:rPr>
  </w:style>
  <w:style w:type="paragraph" w:styleId="7">
    <w:name w:val="Balloon Text"/>
    <w:basedOn w:val="1"/>
    <w:link w:val="20"/>
    <w:semiHidden/>
    <w:unhideWhenUsed/>
    <w:qFormat/>
    <w:uiPriority w:val="99"/>
    <w:rPr>
      <w:sz w:val="18"/>
      <w:szCs w:val="18"/>
    </w:rPr>
  </w:style>
  <w:style w:type="paragraph" w:styleId="8">
    <w:name w:val="footer"/>
    <w:basedOn w:val="1"/>
    <w:link w:val="19"/>
    <w:unhideWhenUsed/>
    <w:qFormat/>
    <w:uiPriority w:val="99"/>
    <w:pPr>
      <w:tabs>
        <w:tab w:val="center" w:pos="4153"/>
        <w:tab w:val="right" w:pos="8306"/>
      </w:tabs>
      <w:snapToGrid w:val="0"/>
      <w:jc w:val="left"/>
    </w:pPr>
    <w:rPr>
      <w:sz w:val="18"/>
      <w:szCs w:val="18"/>
    </w:rPr>
  </w:style>
  <w:style w:type="paragraph" w:styleId="9">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10">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1">
    <w:name w:val="annotation subject"/>
    <w:basedOn w:val="4"/>
    <w:next w:val="4"/>
    <w:link w:val="22"/>
    <w:semiHidden/>
    <w:unhideWhenUsed/>
    <w:qFormat/>
    <w:uiPriority w:val="99"/>
    <w:rPr>
      <w:b/>
      <w:bCs/>
    </w:rPr>
  </w:style>
  <w:style w:type="table" w:styleId="13">
    <w:name w:val="Table Grid"/>
    <w:basedOn w:val="1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Hyperlink"/>
    <w:basedOn w:val="14"/>
    <w:unhideWhenUsed/>
    <w:qFormat/>
    <w:uiPriority w:val="99"/>
    <w:rPr>
      <w:color w:val="3366CC"/>
      <w:u w:val="none"/>
    </w:rPr>
  </w:style>
  <w:style w:type="character" w:styleId="16">
    <w:name w:val="annotation reference"/>
    <w:basedOn w:val="14"/>
    <w:semiHidden/>
    <w:unhideWhenUsed/>
    <w:qFormat/>
    <w:uiPriority w:val="99"/>
    <w:rPr>
      <w:sz w:val="21"/>
      <w:szCs w:val="21"/>
    </w:rPr>
  </w:style>
  <w:style w:type="character" w:customStyle="1" w:styleId="17">
    <w:name w:val="文档结构图 字符"/>
    <w:basedOn w:val="14"/>
    <w:link w:val="3"/>
    <w:semiHidden/>
    <w:qFormat/>
    <w:uiPriority w:val="99"/>
    <w:rPr>
      <w:rFonts w:ascii="宋体" w:hAnsiTheme="minorHAnsi" w:cstheme="minorBidi"/>
      <w:kern w:val="2"/>
      <w:sz w:val="18"/>
      <w:szCs w:val="18"/>
    </w:rPr>
  </w:style>
  <w:style w:type="character" w:customStyle="1" w:styleId="18">
    <w:name w:val="页眉 字符"/>
    <w:basedOn w:val="14"/>
    <w:link w:val="9"/>
    <w:qFormat/>
    <w:uiPriority w:val="99"/>
    <w:rPr>
      <w:rFonts w:asciiTheme="minorHAnsi" w:hAnsiTheme="minorHAnsi" w:eastAsiaTheme="minorEastAsia" w:cstheme="minorBidi"/>
      <w:kern w:val="2"/>
      <w:sz w:val="18"/>
      <w:szCs w:val="18"/>
    </w:rPr>
  </w:style>
  <w:style w:type="character" w:customStyle="1" w:styleId="19">
    <w:name w:val="页脚 字符"/>
    <w:basedOn w:val="14"/>
    <w:link w:val="8"/>
    <w:qFormat/>
    <w:uiPriority w:val="99"/>
    <w:rPr>
      <w:rFonts w:asciiTheme="minorHAnsi" w:hAnsiTheme="minorHAnsi" w:eastAsiaTheme="minorEastAsia" w:cstheme="minorBidi"/>
      <w:kern w:val="2"/>
      <w:sz w:val="18"/>
      <w:szCs w:val="18"/>
    </w:rPr>
  </w:style>
  <w:style w:type="character" w:customStyle="1" w:styleId="20">
    <w:name w:val="批注框文本 字符"/>
    <w:basedOn w:val="14"/>
    <w:link w:val="7"/>
    <w:semiHidden/>
    <w:qFormat/>
    <w:uiPriority w:val="99"/>
    <w:rPr>
      <w:rFonts w:asciiTheme="minorHAnsi" w:hAnsiTheme="minorHAnsi" w:eastAsiaTheme="minorEastAsia" w:cstheme="minorBidi"/>
      <w:kern w:val="2"/>
      <w:sz w:val="18"/>
      <w:szCs w:val="18"/>
    </w:rPr>
  </w:style>
  <w:style w:type="character" w:customStyle="1" w:styleId="21">
    <w:name w:val="批注文字 字符"/>
    <w:basedOn w:val="14"/>
    <w:link w:val="4"/>
    <w:semiHidden/>
    <w:qFormat/>
    <w:uiPriority w:val="99"/>
    <w:rPr>
      <w:rFonts w:asciiTheme="minorHAnsi" w:hAnsiTheme="minorHAnsi" w:eastAsiaTheme="minorEastAsia" w:cstheme="minorBidi"/>
      <w:kern w:val="2"/>
      <w:sz w:val="21"/>
      <w:szCs w:val="22"/>
    </w:rPr>
  </w:style>
  <w:style w:type="character" w:customStyle="1" w:styleId="22">
    <w:name w:val="批注主题 字符"/>
    <w:basedOn w:val="21"/>
    <w:link w:val="11"/>
    <w:semiHidden/>
    <w:qFormat/>
    <w:uiPriority w:val="99"/>
    <w:rPr>
      <w:rFonts w:asciiTheme="minorHAnsi" w:hAnsiTheme="minorHAnsi" w:eastAsiaTheme="minorEastAsia" w:cstheme="minorBidi"/>
      <w:b/>
      <w:bCs/>
      <w:kern w:val="2"/>
      <w:sz w:val="21"/>
      <w:szCs w:val="22"/>
    </w:rPr>
  </w:style>
  <w:style w:type="paragraph" w:customStyle="1" w:styleId="23">
    <w:name w:val="修订1"/>
    <w:hidden/>
    <w:unhideWhenUsed/>
    <w:qFormat/>
    <w:uiPriority w:val="99"/>
    <w:rPr>
      <w:rFonts w:asciiTheme="minorHAnsi" w:hAnsiTheme="minorHAnsi" w:eastAsiaTheme="minorEastAsia" w:cstheme="minorBidi"/>
      <w:kern w:val="2"/>
      <w:sz w:val="21"/>
      <w:szCs w:val="22"/>
      <w:lang w:val="en-US" w:eastAsia="zh-CN" w:bidi="ar-SA"/>
    </w:rPr>
  </w:style>
  <w:style w:type="paragraph" w:styleId="24">
    <w:name w:val="List Paragraph"/>
    <w:basedOn w:val="1"/>
    <w:unhideWhenUsed/>
    <w:qFormat/>
    <w:uiPriority w:val="99"/>
    <w:pPr>
      <w:ind w:firstLine="420" w:firstLineChars="200"/>
    </w:pPr>
  </w:style>
  <w:style w:type="paragraph" w:customStyle="1" w:styleId="25">
    <w:name w:val="修订2"/>
    <w:hidden/>
    <w:unhideWhenUsed/>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Sky123.Org</Company>
  <Pages>5</Pages>
  <Words>1230</Words>
  <Characters>1244</Characters>
  <Lines>73</Lines>
  <Paragraphs>74</Paragraphs>
  <TotalTime>0</TotalTime>
  <ScaleCrop>false</ScaleCrop>
  <LinksUpToDate>false</LinksUpToDate>
  <CharactersWithSpaces>2400</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2025-11-03T23:36:00Z</dcterms:created>
  <dc:creator>Sky123.Org</dc:creator>
  <cp:lastModifiedBy>钝钝</cp:lastModifiedBy>
  <cp:lastPrinted>2021-04-08T09:30:00Z</cp:lastPrinted>
  <dcterms:modified xsi:type="dcterms:W3CDTF">2025-11-05T08:50:08Z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02EF96A14483F460029F0A69D0669F30_43</vt:lpwstr>
  </property>
  <property fmtid="{D5CDD505-2E9C-101B-9397-08002B2CF9AE}" pid="4" name="KSOTemplateDocerSaveRecord">
    <vt:lpwstr>eyJoZGlkIjoiZmRiMTcyYzA3NmEwNDNmMWMwNDk2NDVhNDg2MTJjOGUiLCJ1c2VySWQiOiI0NDExMjIxNzgifQ==</vt:lpwstr>
  </property>
</Properties>
</file>