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92" w:beforeAutospacing="0" w:after="192" w:afterAutospacing="0"/>
        <w:ind w:left="0" w:right="0"/>
        <w:jc w:val="center"/>
        <w:rPr>
          <w:b/>
          <w:bCs/>
          <w:sz w:val="38"/>
          <w:szCs w:val="38"/>
        </w:rPr>
      </w:pPr>
      <w:r>
        <w:rPr>
          <w:b/>
          <w:bCs/>
          <w:i w:val="0"/>
          <w:iCs w:val="0"/>
          <w:caps w:val="0"/>
          <w:color w:val="333333"/>
          <w:spacing w:val="0"/>
          <w:sz w:val="38"/>
          <w:szCs w:val="38"/>
          <w:bdr w:val="none" w:color="auto" w:sz="0" w:space="0"/>
          <w:shd w:val="clear" w:fill="FFFFFF"/>
        </w:rPr>
        <w:t>陕西省政府采购框架协议直接选定合同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ascii="Helvetica" w:hAnsi="Helvetica" w:eastAsia="Helvetica" w:cs="Helvetica"/>
          <w:b/>
          <w:bCs/>
          <w:i w:val="0"/>
          <w:iCs w:val="0"/>
          <w:caps w:val="0"/>
          <w:color w:val="333333"/>
          <w:spacing w:val="0"/>
          <w:sz w:val="24"/>
          <w:szCs w:val="24"/>
          <w:bdr w:val="none" w:color="auto" w:sz="0" w:space="0"/>
          <w:shd w:val="clear" w:fill="FFFFFF"/>
        </w:rPr>
        <w:t>合同名称：</w:t>
      </w:r>
      <w:r>
        <w:rPr>
          <w:rFonts w:hint="default" w:ascii="Helvetica" w:hAnsi="Helvetica" w:eastAsia="Helvetica" w:cs="Helvetica"/>
          <w:i w:val="0"/>
          <w:iCs w:val="0"/>
          <w:caps w:val="0"/>
          <w:color w:val="333333"/>
          <w:spacing w:val="0"/>
          <w:sz w:val="24"/>
          <w:szCs w:val="24"/>
          <w:bdr w:val="none" w:color="auto" w:sz="0" w:space="0"/>
          <w:shd w:val="clear" w:fill="FFFFFF"/>
        </w:rPr>
        <w:t>宝鸡市医疗保障局便携式计算机直接选定采购合同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bdr w:val="none" w:color="auto" w:sz="0" w:space="0"/>
          <w:shd w:val="clear" w:fill="FFFFFF"/>
        </w:rPr>
        <w:t>合同编号：</w:t>
      </w:r>
      <w:r>
        <w:rPr>
          <w:rFonts w:hint="default" w:ascii="Helvetica" w:hAnsi="Helvetica" w:eastAsia="Helvetica" w:cs="Helvetica"/>
          <w:i w:val="0"/>
          <w:iCs w:val="0"/>
          <w:caps w:val="0"/>
          <w:color w:val="333333"/>
          <w:spacing w:val="0"/>
          <w:sz w:val="24"/>
          <w:szCs w:val="24"/>
          <w:bdr w:val="none" w:color="auto" w:sz="0" w:space="0"/>
          <w:shd w:val="clear" w:fill="FFFFFF"/>
        </w:rPr>
        <w:t>KJXY-宝鸡市-2025-HT024716</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bdr w:val="none" w:color="auto" w:sz="0" w:space="0"/>
          <w:shd w:val="clear" w:fill="FFFFFF"/>
        </w:rPr>
        <w:t>甲方：</w:t>
      </w:r>
      <w:r>
        <w:rPr>
          <w:rFonts w:hint="default" w:ascii="Helvetica" w:hAnsi="Helvetica" w:eastAsia="Helvetica" w:cs="Helvetica"/>
          <w:i w:val="0"/>
          <w:iCs w:val="0"/>
          <w:caps w:val="0"/>
          <w:color w:val="333333"/>
          <w:spacing w:val="0"/>
          <w:sz w:val="24"/>
          <w:szCs w:val="24"/>
          <w:bdr w:val="none" w:color="auto" w:sz="0" w:space="0"/>
          <w:shd w:val="clear" w:fill="FFFFFF"/>
        </w:rPr>
        <w:t>宝鸡市医疗保障局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bdr w:val="none" w:color="auto" w:sz="0" w:space="0"/>
          <w:shd w:val="clear" w:fill="FFFFFF"/>
        </w:rPr>
        <w:t>乙方：</w:t>
      </w:r>
      <w:r>
        <w:rPr>
          <w:rFonts w:hint="default" w:ascii="Helvetica" w:hAnsi="Helvetica" w:eastAsia="Helvetica" w:cs="Helvetica"/>
          <w:i w:val="0"/>
          <w:iCs w:val="0"/>
          <w:caps w:val="0"/>
          <w:color w:val="333333"/>
          <w:spacing w:val="0"/>
          <w:sz w:val="24"/>
          <w:szCs w:val="24"/>
          <w:bdr w:val="none" w:color="auto" w:sz="0" w:space="0"/>
          <w:shd w:val="clear" w:fill="FFFFFF"/>
        </w:rPr>
        <w:t>宝鸡金图办公设备有限公司</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bdr w:val="none" w:color="auto" w:sz="0" w:space="0"/>
          <w:shd w:val="clear" w:fill="FFFFFF"/>
        </w:rPr>
        <w:t>合同金额(元)：</w:t>
      </w:r>
      <w:r>
        <w:rPr>
          <w:rFonts w:hint="default" w:ascii="Helvetica" w:hAnsi="Helvetica" w:eastAsia="Helvetica" w:cs="Helvetica"/>
          <w:i w:val="0"/>
          <w:iCs w:val="0"/>
          <w:caps w:val="0"/>
          <w:color w:val="333333"/>
          <w:spacing w:val="0"/>
          <w:sz w:val="24"/>
          <w:szCs w:val="24"/>
          <w:bdr w:val="none" w:color="auto" w:sz="0" w:space="0"/>
          <w:shd w:val="clear" w:fill="FFFFFF"/>
        </w:rPr>
        <w:t>54960.00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bdr w:val="none" w:color="auto" w:sz="0" w:space="0"/>
          <w:shd w:val="clear" w:fill="FFFFFF"/>
        </w:rPr>
        <w:t>人民币大写：</w:t>
      </w:r>
      <w:r>
        <w:rPr>
          <w:rFonts w:hint="default" w:ascii="Helvetica" w:hAnsi="Helvetica" w:eastAsia="Helvetica" w:cs="Helvetica"/>
          <w:i w:val="0"/>
          <w:iCs w:val="0"/>
          <w:caps w:val="0"/>
          <w:color w:val="333333"/>
          <w:spacing w:val="0"/>
          <w:sz w:val="24"/>
          <w:szCs w:val="24"/>
          <w:bdr w:val="none" w:color="auto" w:sz="0" w:space="0"/>
          <w:shd w:val="clear" w:fill="FFFFFF"/>
        </w:rPr>
        <w:t>伍万肆仟玖佰陆拾元整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经甲乙双方达成一致，根据《中华人民共和国民法典》《中华人民共和国政府采购法》《政府采购框架协议采购方式管理暂行办法》等相关法律、法规的规定以及{2024陕西省省级单位政府采购中心便携式计算机封闭式（KJXY-610001-20241217-000005）}的约定签订本合同，并共同遵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一、合同标的</w:t>
      </w:r>
    </w:p>
    <w:tbl>
      <w:tblPr>
        <w:tblW w:w="16895" w:type="dxa"/>
        <w:tblInd w:w="240" w:type="dxa"/>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689"/>
        <w:gridCol w:w="1689"/>
        <w:gridCol w:w="1690"/>
        <w:gridCol w:w="3379"/>
        <w:gridCol w:w="1690"/>
        <w:gridCol w:w="2534"/>
        <w:gridCol w:w="2534"/>
        <w:gridCol w:w="1690"/>
      </w:tblGrid>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shd w:val="clear"/>
          <w:tblCellMar>
            <w:top w:w="15" w:type="dxa"/>
            <w:left w:w="15" w:type="dxa"/>
            <w:bottom w:w="15" w:type="dxa"/>
            <w:right w:w="15" w:type="dxa"/>
          </w:tblCellMar>
        </w:tblPrEx>
        <w:trPr>
          <w:trHeight w:val="480" w:hRule="atLeast"/>
        </w:trPr>
        <w:tc>
          <w:tcPr>
            <w:tcW w:w="5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序号</w:t>
            </w:r>
          </w:p>
        </w:tc>
        <w:tc>
          <w:tcPr>
            <w:tcW w:w="5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类型</w:t>
            </w:r>
          </w:p>
        </w:tc>
        <w:tc>
          <w:tcPr>
            <w:tcW w:w="5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产品名称</w:t>
            </w:r>
          </w:p>
        </w:tc>
        <w:tc>
          <w:tcPr>
            <w:tcW w:w="10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技术规格</w:t>
            </w:r>
          </w:p>
        </w:tc>
        <w:tc>
          <w:tcPr>
            <w:tcW w:w="5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数量</w:t>
            </w:r>
          </w:p>
        </w:tc>
        <w:tc>
          <w:tcPr>
            <w:tcW w:w="75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单价（元）</w:t>
            </w:r>
          </w:p>
        </w:tc>
        <w:tc>
          <w:tcPr>
            <w:tcW w:w="75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金额（元）</w:t>
            </w:r>
          </w:p>
        </w:tc>
        <w:tc>
          <w:tcPr>
            <w:tcW w:w="50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bdr w:val="none" w:color="auto" w:sz="0" w:space="0"/>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1</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产品</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left"/>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便携式计算机 华为擎云 L540 麒麟9006C /16G/512G/14吋/深灰色</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jc w:val="left"/>
            </w:pPr>
            <w:r>
              <w:rPr>
                <w:rFonts w:hint="eastAsia" w:ascii="宋体" w:hAnsi="宋体" w:eastAsia="宋体" w:cs="宋体"/>
                <w:b/>
                <w:bCs/>
                <w:sz w:val="19"/>
                <w:szCs w:val="19"/>
                <w:bdr w:val="none" w:color="auto" w:sz="0" w:space="0"/>
              </w:rPr>
              <w:t>便携式计算机, 华为/Huawei, 华为擎云 L540-031, 便携式计算机 华为擎云 L540 麒麟9006C /16G/512G/14吋/深灰色CPU系列:麒麟</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CPU型号:麒麟9006C</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CPU最高频率:3.13Ghz</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CPU三级缓存容量:4M</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CPU主频:3.13Ghz</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CPU线程数:8</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CPU缓存:L3</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CPU核数:8核</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内存总容量:16GB</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内存条数:1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内存类型:LPDDR5</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内存频率:5500MHz</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硬盘类型:固态硬盘</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固态硬盘类型:M.2</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固态硬盘总容量:512GB</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固态硬盘协议:UFS 3.1</w:t>
            </w:r>
            <w:r>
              <w:rPr>
                <w:rFonts w:hint="eastAsia" w:ascii="宋体" w:hAnsi="宋体" w:eastAsia="宋体" w:cs="宋体"/>
                <w:b/>
                <w:bCs/>
                <w:sz w:val="19"/>
                <w:szCs w:val="19"/>
                <w:bdr w:val="none" w:color="auto" w:sz="0" w:space="0"/>
              </w:rPr>
              <w:br w:type="textWrapping"/>
            </w:r>
            <w:bookmarkStart w:id="0" w:name="_GoBack"/>
            <w:bookmarkEnd w:id="0"/>
            <w:r>
              <w:rPr>
                <w:rFonts w:hint="eastAsia" w:ascii="宋体" w:hAnsi="宋体" w:eastAsia="宋体" w:cs="宋体"/>
                <w:b/>
                <w:bCs/>
                <w:sz w:val="19"/>
                <w:szCs w:val="19"/>
                <w:bdr w:val="none" w:color="auto" w:sz="0" w:space="0"/>
              </w:rPr>
              <w:t>机械硬盘总容量:无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机械硬盘转速:无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机械硬盘缓存:无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机械硬盘规格:无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显卡类型:集成显卡</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显存容量:共享内存</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显存频率:5000MHz</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显存位宽:64位</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显示器尺寸(英寸):14</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色深:8bit</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刷新率:60Hz</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触摸屏:无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屏幕最大开合角度:150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低蓝光模式:支持</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最大分辨率(垂直):1440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最大分辨率(水平):2160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显示屏分辨率:2160x1440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操作系统:供应商根据采购人需要提供并安装激活以下其中之一（麒麟/统信/中科方德/其他符合安全可靠测评要求的操作系统）的正版操作系统（费用包含在本次报价中）</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光驱:无光驱</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颜色分类:灰色</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USB接口总数:4个 （包含2个USB3.0接口，1个Type-C接口，1个HDMI接口）</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USB3.0接口总数:2</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蓝牙:有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DVI接口数量:0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ExpressCard插槽:0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MiniPCI-E 插槽数量:0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音频接口数量:1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HDMI接口数量:1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mini HDMI接口数量:0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DP接口数量:0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mini DP接口数量:0</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Type-C接口数量:1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多功能Type-c接口数量:1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USB2.0接口数量:1</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USB3.0接口数量:2</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电池容量:56Wh</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产品尺寸(mm):307.5mm×223.8mm×15.9mm</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摄像头像素:100万</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无线网卡:有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有线网卡:10/100/1000M自适应</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网络接口:10/100/1000M自适应（可转接，需提供转接线）</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无线网络功能:有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中国节能产品认证证书编号:CQC21701298576</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中国节能产品认证证书有效期:2026-05-26</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中国节能产品认证证书扫描件:</w:t>
            </w:r>
            <w:r>
              <w:rPr>
                <w:rFonts w:hint="eastAsia" w:ascii="宋体" w:hAnsi="宋体" w:eastAsia="宋体" w:cs="宋体"/>
                <w:b/>
                <w:bCs/>
                <w:sz w:val="19"/>
                <w:szCs w:val="19"/>
                <w:u w:val="none"/>
                <w:bdr w:val="none" w:color="auto" w:sz="0" w:space="0"/>
              </w:rPr>
              <w:fldChar w:fldCharType="begin"/>
            </w:r>
            <w:r>
              <w:rPr>
                <w:rFonts w:hint="eastAsia" w:ascii="宋体" w:hAnsi="宋体" w:eastAsia="宋体" w:cs="宋体"/>
                <w:b/>
                <w:bCs/>
                <w:sz w:val="19"/>
                <w:szCs w:val="19"/>
                <w:u w:val="none"/>
                <w:bdr w:val="none" w:color="auto" w:sz="0" w:space="0"/>
              </w:rPr>
              <w:instrText xml:space="preserve"> HYPERLINK "https://www.ccgp-shaanxi.gov.cn/gpfa-uploader/common/2024/11/27/25968590272442347.pdf" </w:instrText>
            </w:r>
            <w:r>
              <w:rPr>
                <w:rFonts w:hint="eastAsia" w:ascii="宋体" w:hAnsi="宋体" w:eastAsia="宋体" w:cs="宋体"/>
                <w:b/>
                <w:bCs/>
                <w:sz w:val="19"/>
                <w:szCs w:val="19"/>
                <w:u w:val="none"/>
                <w:bdr w:val="none" w:color="auto" w:sz="0" w:space="0"/>
              </w:rPr>
              <w:fldChar w:fldCharType="separate"/>
            </w:r>
            <w:r>
              <w:rPr>
                <w:rStyle w:val="9"/>
                <w:rFonts w:hint="eastAsia" w:ascii="宋体" w:hAnsi="宋体" w:eastAsia="宋体" w:cs="宋体"/>
                <w:b/>
                <w:bCs/>
                <w:sz w:val="19"/>
                <w:szCs w:val="19"/>
                <w:u w:val="none"/>
                <w:bdr w:val="none" w:color="auto" w:sz="0" w:space="0"/>
              </w:rPr>
              <w:t>查看</w:t>
            </w:r>
            <w:r>
              <w:rPr>
                <w:rFonts w:hint="eastAsia" w:ascii="宋体" w:hAnsi="宋体" w:eastAsia="宋体" w:cs="宋体"/>
                <w:b/>
                <w:bCs/>
                <w:sz w:val="19"/>
                <w:szCs w:val="19"/>
                <w:u w:val="none"/>
                <w:bdr w:val="none" w:color="auto" w:sz="0" w:space="0"/>
              </w:rPr>
              <w:fldChar w:fldCharType="end"/>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中国环境标志产品认证证书编号:CEC2020ELP00716138</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中国环境标志产品认证证书扫描件:</w:t>
            </w:r>
            <w:r>
              <w:rPr>
                <w:rFonts w:hint="eastAsia" w:ascii="宋体" w:hAnsi="宋体" w:eastAsia="宋体" w:cs="宋体"/>
                <w:b/>
                <w:bCs/>
                <w:sz w:val="19"/>
                <w:szCs w:val="19"/>
                <w:u w:val="none"/>
                <w:bdr w:val="none" w:color="auto" w:sz="0" w:space="0"/>
              </w:rPr>
              <w:fldChar w:fldCharType="begin"/>
            </w:r>
            <w:r>
              <w:rPr>
                <w:rFonts w:hint="eastAsia" w:ascii="宋体" w:hAnsi="宋体" w:eastAsia="宋体" w:cs="宋体"/>
                <w:b/>
                <w:bCs/>
                <w:sz w:val="19"/>
                <w:szCs w:val="19"/>
                <w:u w:val="none"/>
                <w:bdr w:val="none" w:color="auto" w:sz="0" w:space="0"/>
              </w:rPr>
              <w:instrText xml:space="preserve"> HYPERLINK "https://www.ccgp-shaanxi.gov.cn/gpfa-uploader/common/2024/11/27/25968610103556541.pdf" </w:instrText>
            </w:r>
            <w:r>
              <w:rPr>
                <w:rFonts w:hint="eastAsia" w:ascii="宋体" w:hAnsi="宋体" w:eastAsia="宋体" w:cs="宋体"/>
                <w:b/>
                <w:bCs/>
                <w:sz w:val="19"/>
                <w:szCs w:val="19"/>
                <w:u w:val="none"/>
                <w:bdr w:val="none" w:color="auto" w:sz="0" w:space="0"/>
              </w:rPr>
              <w:fldChar w:fldCharType="separate"/>
            </w:r>
            <w:r>
              <w:rPr>
                <w:rStyle w:val="9"/>
                <w:rFonts w:hint="eastAsia" w:ascii="宋体" w:hAnsi="宋体" w:eastAsia="宋体" w:cs="宋体"/>
                <w:b/>
                <w:bCs/>
                <w:sz w:val="19"/>
                <w:szCs w:val="19"/>
                <w:u w:val="none"/>
                <w:bdr w:val="none" w:color="auto" w:sz="0" w:space="0"/>
              </w:rPr>
              <w:t>查看</w:t>
            </w:r>
            <w:r>
              <w:rPr>
                <w:rFonts w:hint="eastAsia" w:ascii="宋体" w:hAnsi="宋体" w:eastAsia="宋体" w:cs="宋体"/>
                <w:b/>
                <w:bCs/>
                <w:sz w:val="19"/>
                <w:szCs w:val="19"/>
                <w:u w:val="none"/>
                <w:bdr w:val="none" w:color="auto" w:sz="0" w:space="0"/>
              </w:rPr>
              <w:fldChar w:fldCharType="end"/>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中国环境标志产品认证证书有效期:2025-09-06</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中国国家强制性产品认证证书编号:2021010902391883</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中国国家强制性产品认证证书有效期:2026-05-24</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中国国家强制性产品认证证书扫描件:</w:t>
            </w:r>
            <w:r>
              <w:rPr>
                <w:rFonts w:hint="eastAsia" w:ascii="宋体" w:hAnsi="宋体" w:eastAsia="宋体" w:cs="宋体"/>
                <w:b/>
                <w:bCs/>
                <w:sz w:val="19"/>
                <w:szCs w:val="19"/>
                <w:u w:val="none"/>
                <w:bdr w:val="none" w:color="auto" w:sz="0" w:space="0"/>
              </w:rPr>
              <w:fldChar w:fldCharType="begin"/>
            </w:r>
            <w:r>
              <w:rPr>
                <w:rFonts w:hint="eastAsia" w:ascii="宋体" w:hAnsi="宋体" w:eastAsia="宋体" w:cs="宋体"/>
                <w:b/>
                <w:bCs/>
                <w:sz w:val="19"/>
                <w:szCs w:val="19"/>
                <w:u w:val="none"/>
                <w:bdr w:val="none" w:color="auto" w:sz="0" w:space="0"/>
              </w:rPr>
              <w:instrText xml:space="preserve"> HYPERLINK "https://www.ccgp-shaanxi.gov.cn/gpfa-uploader/common/2024/11/27/25968616371100467.pdf" </w:instrText>
            </w:r>
            <w:r>
              <w:rPr>
                <w:rFonts w:hint="eastAsia" w:ascii="宋体" w:hAnsi="宋体" w:eastAsia="宋体" w:cs="宋体"/>
                <w:b/>
                <w:bCs/>
                <w:sz w:val="19"/>
                <w:szCs w:val="19"/>
                <w:u w:val="none"/>
                <w:bdr w:val="none" w:color="auto" w:sz="0" w:space="0"/>
              </w:rPr>
              <w:fldChar w:fldCharType="separate"/>
            </w:r>
            <w:r>
              <w:rPr>
                <w:rStyle w:val="9"/>
                <w:rFonts w:hint="eastAsia" w:ascii="宋体" w:hAnsi="宋体" w:eastAsia="宋体" w:cs="宋体"/>
                <w:b/>
                <w:bCs/>
                <w:sz w:val="19"/>
                <w:szCs w:val="19"/>
                <w:u w:val="none"/>
                <w:bdr w:val="none" w:color="auto" w:sz="0" w:space="0"/>
              </w:rPr>
              <w:t>查看</w:t>
            </w:r>
            <w:r>
              <w:rPr>
                <w:rFonts w:hint="eastAsia" w:ascii="宋体" w:hAnsi="宋体" w:eastAsia="宋体" w:cs="宋体"/>
                <w:b/>
                <w:bCs/>
                <w:sz w:val="19"/>
                <w:szCs w:val="19"/>
                <w:u w:val="none"/>
                <w:bdr w:val="none" w:color="auto" w:sz="0" w:space="0"/>
              </w:rPr>
              <w:fldChar w:fldCharType="end"/>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输入输出设备及配件:原厂笔记本电脑包、原厂同品牌USB光电鼠标</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内置音箱:有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内置摄像头:有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标配鼠标:无线</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标配电脑包:有</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标配键盘:无</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平均无故障时间:100万小时</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质保期限:3年</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包装清单:主机、电源适配器、Mini RJ45 To RJ45 转接线、快速指南、装箱单&amp;合格证、保修卡</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售后服务:3年原厂服务</w:t>
            </w:r>
            <w:r>
              <w:rPr>
                <w:rFonts w:hint="eastAsia" w:ascii="宋体" w:hAnsi="宋体" w:eastAsia="宋体" w:cs="宋体"/>
                <w:b/>
                <w:bCs/>
                <w:sz w:val="19"/>
                <w:szCs w:val="19"/>
                <w:bdr w:val="none" w:color="auto" w:sz="0" w:space="0"/>
              </w:rPr>
              <w:br w:type="textWrapping"/>
            </w:r>
            <w:r>
              <w:rPr>
                <w:rFonts w:hint="eastAsia" w:ascii="宋体" w:hAnsi="宋体" w:eastAsia="宋体" w:cs="宋体"/>
                <w:b/>
                <w:bCs/>
                <w:sz w:val="19"/>
                <w:szCs w:val="19"/>
                <w:bdr w:val="none" w:color="auto" w:sz="0" w:space="0"/>
              </w:rPr>
              <w:t>产地:国产</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8 （台）</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6870.00</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54960.00</w:t>
            </w: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jc w:val="left"/>
              <w:rPr>
                <w:rFonts w:hint="eastAsia" w:ascii="宋体" w:hAnsi="宋体" w:eastAsia="宋体" w:cs="宋体"/>
                <w:b/>
                <w:bCs/>
                <w:sz w:val="19"/>
                <w:szCs w:val="19"/>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jc w:val="center"/>
              <w:rPr>
                <w:rFonts w:hint="eastAsia" w:ascii="宋体" w:hAnsi="宋体" w:eastAsia="宋体" w:cs="宋体"/>
                <w:b/>
                <w:bCs/>
                <w:sz w:val="19"/>
                <w:szCs w:val="19"/>
              </w:rPr>
            </w:pPr>
          </w:p>
        </w:tc>
        <w:tc>
          <w:tcPr>
            <w:tcW w:w="0" w:type="auto"/>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bdr w:val="none" w:color="auto" w:sz="0" w:space="0"/>
                <w:lang w:val="en-US" w:eastAsia="zh-CN" w:bidi="ar"/>
              </w:rPr>
              <w:t>合计</w:t>
            </w:r>
          </w:p>
        </w:tc>
        <w:tc>
          <w:tcPr>
            <w:tcW w:w="0" w:type="auto"/>
            <w:gridSpan w:val="5"/>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24"/>
                <w:szCs w:val="24"/>
                <w:bdr w:val="none" w:color="auto" w:sz="0" w:space="0"/>
                <w:lang w:val="en-US" w:eastAsia="zh-CN" w:bidi="ar"/>
              </w:rPr>
              <w:t>（大写）: 伍万肆仟玖佰陆拾元整 (小写):￥54960.00元</w:t>
            </w:r>
          </w:p>
        </w:tc>
        <w:tc>
          <w:tcPr>
            <w:tcW w:w="0" w:type="auto"/>
            <w:tcBorders>
              <w:top w:val="outset" w:color="auto" w:sz="6" w:space="0"/>
              <w:left w:val="nil"/>
              <w:bottom w:val="outset" w:color="auto" w:sz="6" w:space="0"/>
              <w:right w:val="outset" w:color="auto" w:sz="6" w:space="0"/>
            </w:tcBorders>
            <w:shd w:val="clear"/>
            <w:vAlign w:val="center"/>
          </w:tcPr>
          <w:p>
            <w:pPr>
              <w:jc w:val="center"/>
              <w:rPr>
                <w:rFonts w:hint="eastAsia" w:ascii="宋体" w:hAnsi="宋体" w:eastAsia="宋体" w:cs="宋体"/>
                <w:b/>
                <w:bCs/>
                <w:sz w:val="19"/>
                <w:szCs w:val="19"/>
              </w:rPr>
            </w:pP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Helvetica" w:hAnsi="Helvetica" w:eastAsia="Helvetica" w:cs="Helvetica"/>
          <w:i w:val="0"/>
          <w:iCs w:val="0"/>
          <w:caps w:val="0"/>
          <w:color w:val="333333"/>
          <w:spacing w:val="0"/>
          <w:sz w:val="16"/>
          <w:szCs w:val="16"/>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二、交货时间、地点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1.交货时间： 合同生效之日起7个日历天内。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2.交货地点：陕西省宝鸡市金台区行政中心6号楼。</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三、货物的包装、发运及运输</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乙方对其交付的货物，涉及的商品包装和快递包装，均应符合《商品包装政府采购需求标准（试行）》《快递包装政府采购需求标准（试行）》的要求，包装应适应于远距离运输、防潮、防震、防锈和防野蛮装卸，以确保货物安全无损运抵甲方指定地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2.使用说明书、质量检验证明书、随配附件和工具以及清单一并附于货物内。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3.货物在交付甲方前发生的风险均由乙方负责。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四、质保期及售后服务要求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1.乙方所提供的货物质保期、售后服务标准应按照生产厂商标准。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2.乙方应保证提供的货物是全新、未使用过的原装合格正品，并完全符合生产厂家或国家规定的质量、规格和性能的要求。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3.乙方向甲方提供的货物在质保期内出现质量及安全问题的，由乙方负责处理解决并承担一切费用；超过保修期的设备，乙方应负责终生维修，维修时只收部件成本费。</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五、知识产权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乙方应保证甲方在使用、接受本合同货物或其任何一部分时不受第三方提出侵犯其专利权、版权、商标权和工业设计权等知识产权的起诉。一旦出现侵权，由乙方负全部责任。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六、产权担保</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乙方保证所交付的货物的所有权完全属于乙方且无任何抵押、查封等产权瑕疵。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七、合同转包或分包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乙方不得将合同标的转包或分包给他人履行。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八、验收标准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1.甲方依法组织履约验收工作。验收时,采购人按照采购合同的约定对每一项技术、商务要求的履约情况进行确认。</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2.对于实际使用人和甲方分离的项目，甲方邀请实际使用人参与验收。如有必要，甲方邀请其他入围供应商或第三方专业机构及专家参与验收。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3.验收合格的项目,甲方根据采购合同的约定及时向乙方支付合同款项、退还履约保证金。验收不合格的项目，甲方依法及时处理。采购合同的履行、违约责任和解决争议的方式等适用《民法典》。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九、付款期限</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验收合格后7个工作日内，甲方按合同约定向乙方支付全部货款。本合同执行中相关的一切税费均由乙方负担。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十、不可抗力事件处理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1.在合同有效期内，任何一方因战争、洪灾、台风、地震等不可抗力事件导致不能履行合同，则合同履行期可延长，其延长期与不可抗力事件影响期相同。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2.受阻一方应在不可抗力事件发生后尽快用电话通知对方并于事故发生后XX天内将有关部门出具的证明文件等用特快专递或挂号信寄给对方审阅确认。</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3.不可抗力事件延续7天以上，双方应通过友好协商，确定是否继续履行合同。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十一、违约责任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 乙方逾期交付货物的，每逾期一天，应按逾期交货总额的0.5‰作为违约金支付给甲方，由甲方从待付货款中扣除。逾期超过约定日期3个工作日不能交货的，甲方可解除本合同。乙方因逾期交货或因其他违约行为导致甲方解除合同的，乙方应向甲方支付合同总值X‰的违约金，如造成甲方损失超过违约金的，超出部分由乙方继续承担赔偿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 乙方所交的货物品种、型号、规格、技术参数、质量不符合合同规定及征集文件规定标准的，甲方有权拒收该货物，乙方愿意更换货物但逾期交货的，按乙方逾期交货处理。乙方拒绝更换货物的，甲方可单方面解除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3. 乙方将货物送达交货地点并安装调试合格后3个工作日内进行验收。甲方无正当理由拒收货物的，甲方向乙方偿付拒收货款总值0.5‰的违约金。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4.若甲方未按照合同约定逾期向乙方支付货物费用，每逾期一天，按应支付金额的5‰作为违约金支付给乙方，直至实际支付之日。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十二、解决纠纷方式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因本合同引起的争议，甲乙双方应友好协商解决。若甲乙双方不能解决争议，任意一方可发起纠纷处理流程，由征集人进行协调。协调不能达成一致的，按照民法典规定申请仲裁、诉讼等方式进行处理。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十三、其他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1.本合同由甲乙双方签字盖章后生效。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2.合同内容如遇国家法规及政策另行有规定的，从其规定。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bdr w:val="none" w:color="auto" w:sz="0" w:space="0"/>
          <w:shd w:val="clear" w:fill="FFFFFF"/>
        </w:rPr>
        <w:t>十四、其他统计指标(财政部统计项)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是否节能产品: 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是否环保产品: 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bdr w:val="none" w:color="auto" w:sz="0" w:space="0"/>
          <w:shd w:val="clear" w:fill="FFFFFF"/>
        </w:rPr>
        <w:t>是否节水产品: 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甲方(公章)：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甲方代表：宝鸡市医疗保障局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甲方联系人： 任志超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联系电话： 0917-3263825</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单位地址： 陕西省宝鸡市金台区行政中心6号楼</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1148"/>
        <w:jc w:val="right"/>
      </w:pPr>
      <w:r>
        <w:rPr>
          <w:b/>
          <w:bCs/>
          <w:i w:val="0"/>
          <w:iCs w:val="0"/>
          <w:caps w:val="0"/>
          <w:color w:val="333333"/>
          <w:spacing w:val="0"/>
          <w:bdr w:val="none" w:color="auto" w:sz="0" w:space="0"/>
          <w:shd w:val="clear" w:fill="FFFFFF"/>
        </w:rPr>
        <w:t>2025年12月18日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乙方(公章)：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乙方代表：宝鸡金图办公设备有限公司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开户银行：中国建设银行宝鸡清姜路支行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银行账号：61001625708052501393</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乙方联系人：李正林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联系电话：18691763399</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供应商所在区域：陕西省宝鸡市渭滨区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bdr w:val="none" w:color="auto" w:sz="0" w:space="0"/>
          <w:shd w:val="clear" w:fill="FFFFFF"/>
        </w:rPr>
        <w:t>银行行号：105793000085</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1148"/>
        <w:jc w:val="right"/>
      </w:pPr>
      <w:r>
        <w:rPr>
          <w:b/>
          <w:bCs/>
          <w:i w:val="0"/>
          <w:iCs w:val="0"/>
          <w:caps w:val="0"/>
          <w:color w:val="333333"/>
          <w:spacing w:val="0"/>
          <w:bdr w:val="none" w:color="auto" w:sz="0" w:space="0"/>
          <w:shd w:val="clear" w:fill="FFFFFF"/>
        </w:rPr>
        <w:t>2025年12月18日</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zYjAzNGM1NGI5MzU2MDA5Nzg2NDUyNTYzM2RhMTUifQ=="/>
  </w:docVars>
  <w:rsids>
    <w:rsidRoot w:val="00000000"/>
    <w:rsid w:val="30115F89"/>
    <w:rsid w:val="768C06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3">
    <w:name w:val="heading 4"/>
    <w:basedOn w:val="1"/>
    <w:next w:val="1"/>
    <w:unhideWhenUsed/>
    <w:qFormat/>
    <w:uiPriority w:val="0"/>
    <w:pPr>
      <w:spacing w:before="100" w:beforeAutospacing="1" w:after="100" w:afterAutospacing="1"/>
      <w:jc w:val="left"/>
      <w:outlineLvl w:val="3"/>
    </w:pPr>
    <w:rPr>
      <w:rFonts w:hint="eastAsia" w:ascii="宋体" w:hAnsi="宋体" w:eastAsia="宋体" w:cs="宋体"/>
      <w:b/>
      <w:bCs/>
      <w:kern w:val="0"/>
      <w:sz w:val="24"/>
      <w:szCs w:val="24"/>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2025-12-18T12:52:00Z</dcterms:created>
  <dc:creator>Administrator</dc:creator>
  <cp:lastModifiedBy>东明印务</cp:lastModifiedBy>
  <dcterms:modified xsi:type="dcterms:W3CDTF">2025-12-18T12:54:43Z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141FA07B3419409FACD44A84D1D1EE25_12</vt:lpwstr>
  </property>
</Properties>
</file>