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E33B27">
      <w:pPr>
        <w:keepNext w:val="0"/>
        <w:keepLines w:val="0"/>
        <w:pageBreakBefore w:val="0"/>
        <w:widowControl w:val="0"/>
        <w:kinsoku/>
        <w:wordWrap/>
        <w:overflowPunct/>
        <w:topLinePunct w:val="0"/>
        <w:autoSpaceDE/>
        <w:autoSpaceDN/>
        <w:bidi w:val="0"/>
        <w:adjustRightInd/>
        <w:snapToGrid/>
        <w:spacing w:before="313" w:beforeLines="100" w:after="313" w:afterLines="100" w:line="560" w:lineRule="exact"/>
        <w:jc w:val="center"/>
        <w:textAlignment w:val="auto"/>
        <w:rPr>
          <w:rFonts w:hint="eastAsia" w:ascii="仿宋" w:hAnsi="仿宋" w:eastAsia="仿宋" w:cs="仿宋"/>
          <w:b/>
          <w:color w:val="auto"/>
          <w:sz w:val="28"/>
          <w:szCs w:val="28"/>
          <w:u w:val="single"/>
        </w:rPr>
      </w:pPr>
      <w:r>
        <w:rPr>
          <w:rFonts w:hint="eastAsia" w:ascii="华文中宋" w:hAnsi="华文中宋" w:eastAsia="华文中宋" w:cs="华文中宋"/>
          <w:b/>
          <w:color w:val="auto"/>
          <w:sz w:val="36"/>
          <w:szCs w:val="36"/>
        </w:rPr>
        <w:t>行政</w:t>
      </w:r>
      <w:r>
        <w:rPr>
          <w:rFonts w:hint="eastAsia" w:ascii="华文中宋" w:hAnsi="华文中宋" w:eastAsia="华文中宋" w:cs="华文中宋"/>
          <w:b/>
          <w:color w:val="auto"/>
          <w:sz w:val="36"/>
          <w:szCs w:val="36"/>
          <w:lang w:val="en-US" w:eastAsia="zh-CN"/>
        </w:rPr>
        <w:t>诉讼</w:t>
      </w:r>
      <w:r>
        <w:rPr>
          <w:rFonts w:hint="eastAsia" w:ascii="华文中宋" w:hAnsi="华文中宋" w:eastAsia="华文中宋" w:cs="华文中宋"/>
          <w:b/>
          <w:color w:val="auto"/>
          <w:sz w:val="36"/>
          <w:szCs w:val="36"/>
        </w:rPr>
        <w:t>委托代理合同</w:t>
      </w:r>
    </w:p>
    <w:p w14:paraId="39DB9B03">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eastAsia" w:ascii="仿宋" w:hAnsi="仿宋" w:eastAsia="仿宋" w:cs="仿宋"/>
          <w:b/>
          <w:color w:val="auto"/>
          <w:sz w:val="28"/>
          <w:szCs w:val="28"/>
          <w:u w:val="single"/>
        </w:rPr>
      </w:pPr>
    </w:p>
    <w:p w14:paraId="34FC6DCD">
      <w:pPr>
        <w:keepNext w:val="0"/>
        <w:keepLines w:val="0"/>
        <w:pageBreakBefore w:val="0"/>
        <w:widowControl w:val="0"/>
        <w:kinsoku/>
        <w:wordWrap/>
        <w:overflowPunct/>
        <w:topLinePunct w:val="0"/>
        <w:autoSpaceDE/>
        <w:autoSpaceDN/>
        <w:bidi w:val="0"/>
        <w:adjustRightInd/>
        <w:snapToGrid/>
        <w:spacing w:line="560" w:lineRule="exact"/>
        <w:ind w:firstLine="562" w:firstLineChars="200"/>
        <w:jc w:val="both"/>
        <w:textAlignment w:val="auto"/>
        <w:rPr>
          <w:rFonts w:hint="eastAsia" w:ascii="仿宋" w:hAnsi="仿宋" w:eastAsia="仿宋" w:cs="仿宋"/>
          <w:b/>
          <w:bCs/>
          <w:color w:val="auto"/>
          <w:sz w:val="28"/>
          <w:szCs w:val="28"/>
          <w:u w:val="single"/>
        </w:rPr>
      </w:pPr>
      <w:r>
        <w:rPr>
          <w:rFonts w:hint="eastAsia" w:ascii="仿宋" w:hAnsi="仿宋" w:eastAsia="仿宋" w:cs="仿宋"/>
          <w:b/>
          <w:color w:val="auto"/>
          <w:sz w:val="28"/>
          <w:szCs w:val="28"/>
          <w:u w:val="none"/>
        </w:rPr>
        <w:t>甲方：</w:t>
      </w:r>
      <w:r>
        <w:rPr>
          <w:rFonts w:hint="eastAsia" w:ascii="仿宋" w:hAnsi="仿宋" w:eastAsia="仿宋" w:cs="仿宋"/>
          <w:b/>
          <w:color w:val="auto"/>
          <w:sz w:val="28"/>
          <w:szCs w:val="28"/>
          <w:u w:val="single"/>
          <w:lang w:val="en-US" w:eastAsia="zh-CN"/>
        </w:rPr>
        <w:t xml:space="preserve">  西安市财政局                  </w:t>
      </w:r>
      <w:r>
        <w:rPr>
          <w:rFonts w:hint="eastAsia" w:ascii="仿宋" w:hAnsi="仿宋" w:eastAsia="仿宋" w:cs="仿宋"/>
          <w:b/>
          <w:color w:val="auto"/>
          <w:sz w:val="28"/>
          <w:szCs w:val="28"/>
          <w:u w:val="single"/>
        </w:rPr>
        <w:t xml:space="preserve">                </w:t>
      </w:r>
    </w:p>
    <w:p w14:paraId="5BC6561A">
      <w:pPr>
        <w:keepNext w:val="0"/>
        <w:keepLines w:val="0"/>
        <w:pageBreakBefore w:val="0"/>
        <w:widowControl w:val="0"/>
        <w:kinsoku/>
        <w:wordWrap/>
        <w:overflowPunct/>
        <w:topLinePunct w:val="0"/>
        <w:autoSpaceDE/>
        <w:autoSpaceDN/>
        <w:bidi w:val="0"/>
        <w:adjustRightInd/>
        <w:snapToGrid/>
        <w:spacing w:line="560" w:lineRule="exact"/>
        <w:ind w:firstLine="562" w:firstLineChars="200"/>
        <w:jc w:val="both"/>
        <w:textAlignment w:val="auto"/>
        <w:rPr>
          <w:rFonts w:hint="eastAsia" w:ascii="仿宋" w:hAnsi="仿宋" w:eastAsia="仿宋" w:cs="仿宋"/>
          <w:b/>
          <w:color w:val="auto"/>
          <w:sz w:val="28"/>
          <w:szCs w:val="28"/>
        </w:rPr>
      </w:pPr>
      <w:r>
        <w:rPr>
          <w:rFonts w:hint="eastAsia" w:ascii="仿宋" w:hAnsi="仿宋" w:eastAsia="仿宋" w:cs="仿宋"/>
          <w:b/>
          <w:bCs/>
          <w:color w:val="auto"/>
          <w:sz w:val="28"/>
          <w:szCs w:val="28"/>
          <w:u w:val="none"/>
        </w:rPr>
        <w:t>乙方：</w:t>
      </w:r>
      <w:r>
        <w:rPr>
          <w:rFonts w:hint="eastAsia" w:ascii="仿宋" w:hAnsi="仿宋" w:eastAsia="仿宋" w:cs="仿宋"/>
          <w:b/>
          <w:bCs/>
          <w:color w:val="auto"/>
          <w:sz w:val="28"/>
          <w:szCs w:val="28"/>
          <w:u w:val="single"/>
        </w:rPr>
        <w:t>北京德恒（</w:t>
      </w:r>
      <w:r>
        <w:rPr>
          <w:rFonts w:hint="eastAsia" w:ascii="仿宋" w:hAnsi="仿宋" w:eastAsia="仿宋" w:cs="仿宋"/>
          <w:b/>
          <w:bCs/>
          <w:color w:val="auto"/>
          <w:sz w:val="28"/>
          <w:szCs w:val="28"/>
          <w:u w:val="single"/>
          <w:lang w:val="en-US" w:eastAsia="zh-CN"/>
        </w:rPr>
        <w:t>西安高新区</w:t>
      </w:r>
      <w:r>
        <w:rPr>
          <w:rFonts w:hint="eastAsia" w:ascii="仿宋" w:hAnsi="仿宋" w:eastAsia="仿宋" w:cs="仿宋"/>
          <w:b/>
          <w:bCs/>
          <w:color w:val="auto"/>
          <w:sz w:val="28"/>
          <w:szCs w:val="28"/>
          <w:u w:val="single"/>
        </w:rPr>
        <w:t xml:space="preserve">）律师事务所      </w:t>
      </w:r>
    </w:p>
    <w:p w14:paraId="1C447FBB">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p>
    <w:p w14:paraId="3F0C2D15">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b/>
          <w:color w:val="auto"/>
          <w:sz w:val="28"/>
          <w:szCs w:val="28"/>
          <w:lang w:val="en-US" w:eastAsia="zh-Hans"/>
        </w:rPr>
      </w:pPr>
      <w:r>
        <w:rPr>
          <w:rFonts w:hint="eastAsia" w:ascii="仿宋" w:hAnsi="仿宋" w:eastAsia="仿宋" w:cs="仿宋"/>
          <w:b w:val="0"/>
          <w:bCs/>
          <w:color w:val="auto"/>
          <w:sz w:val="28"/>
          <w:szCs w:val="28"/>
          <w:lang w:val="en-US" w:eastAsia="zh-Hans"/>
        </w:rPr>
        <w:t>根据《中华人民共和国律师法》</w:t>
      </w:r>
      <w:r>
        <w:rPr>
          <w:rFonts w:hint="eastAsia" w:ascii="仿宋" w:hAnsi="仿宋" w:eastAsia="仿宋" w:cs="仿宋"/>
          <w:b w:val="0"/>
          <w:bCs/>
          <w:color w:val="auto"/>
          <w:sz w:val="28"/>
          <w:szCs w:val="28"/>
          <w:lang w:eastAsia="zh-Hans"/>
        </w:rPr>
        <w:t>、</w:t>
      </w:r>
      <w:r>
        <w:rPr>
          <w:rFonts w:hint="eastAsia" w:ascii="仿宋" w:hAnsi="仿宋" w:eastAsia="仿宋" w:cs="仿宋"/>
          <w:b w:val="0"/>
          <w:bCs/>
          <w:color w:val="auto"/>
          <w:sz w:val="28"/>
          <w:szCs w:val="28"/>
          <w:lang w:val="en-US" w:eastAsia="zh-Hans"/>
        </w:rPr>
        <w:t>《中华人民共和国民法典》等法律规定，甲乙双方在平等协商的基础上</w:t>
      </w:r>
      <w:r>
        <w:rPr>
          <w:rFonts w:hint="eastAsia" w:ascii="仿宋" w:hAnsi="仿宋" w:eastAsia="仿宋" w:cs="仿宋"/>
          <w:b w:val="0"/>
          <w:bCs/>
          <w:color w:val="auto"/>
          <w:sz w:val="28"/>
          <w:szCs w:val="28"/>
          <w:lang w:eastAsia="zh-Hans"/>
        </w:rPr>
        <w:t>，</w:t>
      </w:r>
      <w:r>
        <w:rPr>
          <w:rFonts w:hint="eastAsia" w:ascii="仿宋" w:hAnsi="仿宋" w:eastAsia="仿宋" w:cs="仿宋"/>
          <w:b w:val="0"/>
          <w:bCs/>
          <w:color w:val="auto"/>
          <w:sz w:val="28"/>
          <w:szCs w:val="28"/>
          <w:lang w:val="en-US" w:eastAsia="zh-Hans"/>
        </w:rPr>
        <w:t>签订本行政委托代理合同</w:t>
      </w:r>
      <w:r>
        <w:rPr>
          <w:rFonts w:hint="eastAsia" w:ascii="仿宋" w:hAnsi="仿宋" w:eastAsia="仿宋" w:cs="仿宋"/>
          <w:b w:val="0"/>
          <w:bCs/>
          <w:color w:val="auto"/>
          <w:sz w:val="28"/>
          <w:szCs w:val="28"/>
          <w:lang w:eastAsia="zh-Hans"/>
        </w:rPr>
        <w:t>。</w:t>
      </w:r>
    </w:p>
    <w:p w14:paraId="0C51F32A">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b/>
          <w:bCs w:val="0"/>
          <w:color w:val="auto"/>
          <w:sz w:val="28"/>
          <w:szCs w:val="28"/>
        </w:rPr>
      </w:pPr>
      <w:r>
        <w:rPr>
          <w:rFonts w:hint="eastAsia" w:ascii="黑体" w:hAnsi="黑体" w:eastAsia="黑体" w:cs="黑体"/>
          <w:b w:val="0"/>
          <w:bCs/>
          <w:color w:val="auto"/>
          <w:sz w:val="28"/>
          <w:szCs w:val="28"/>
        </w:rPr>
        <w:t xml:space="preserve">第一条 </w:t>
      </w:r>
      <w:r>
        <w:rPr>
          <w:rFonts w:hint="eastAsia" w:ascii="黑体" w:hAnsi="黑体" w:eastAsia="黑体" w:cs="黑体"/>
          <w:b w:val="0"/>
          <w:bCs/>
          <w:color w:val="auto"/>
          <w:sz w:val="28"/>
          <w:szCs w:val="28"/>
          <w:lang w:val="en-US" w:eastAsia="zh-Hans"/>
        </w:rPr>
        <w:t>委托事项</w:t>
      </w:r>
    </w:p>
    <w:p w14:paraId="7F4F83D5">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lang w:val="en-US" w:eastAsia="zh-Hans"/>
        </w:rPr>
      </w:pPr>
      <w:r>
        <w:rPr>
          <w:rFonts w:hint="eastAsia" w:ascii="仿宋" w:hAnsi="仿宋" w:eastAsia="仿宋" w:cs="仿宋"/>
          <w:color w:val="auto"/>
          <w:sz w:val="28"/>
          <w:szCs w:val="28"/>
        </w:rPr>
        <w:t>经甲方同意，乙方接受甲方委托，指派</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val="en-US" w:eastAsia="zh-CN"/>
        </w:rPr>
        <w:t>宋欢、</w:t>
      </w:r>
      <w:r>
        <w:rPr>
          <w:rFonts w:hint="eastAsia" w:ascii="仿宋" w:hAnsi="仿宋" w:eastAsia="仿宋" w:cs="仿宋"/>
          <w:color w:val="auto"/>
          <w:sz w:val="28"/>
          <w:szCs w:val="28"/>
          <w:u w:val="single"/>
        </w:rPr>
        <w:t>李耀华</w:t>
      </w:r>
      <w:r>
        <w:rPr>
          <w:rFonts w:hint="eastAsia" w:ascii="仿宋" w:hAnsi="仿宋" w:eastAsia="仿宋" w:cs="仿宋"/>
          <w:color w:val="auto"/>
          <w:sz w:val="28"/>
          <w:szCs w:val="28"/>
          <w:u w:val="single"/>
          <w:lang w:eastAsia="zh-CN"/>
        </w:rPr>
        <w:t>、</w:t>
      </w:r>
      <w:r>
        <w:rPr>
          <w:rFonts w:hint="eastAsia" w:ascii="仿宋" w:hAnsi="仿宋" w:eastAsia="仿宋" w:cs="仿宋"/>
          <w:color w:val="auto"/>
          <w:sz w:val="28"/>
          <w:szCs w:val="28"/>
          <w:u w:val="single"/>
          <w:lang w:val="en-US" w:eastAsia="zh-CN"/>
        </w:rPr>
        <w:t xml:space="preserve">张雄雄、赵绅（实习） </w:t>
      </w:r>
      <w:r>
        <w:rPr>
          <w:rFonts w:hint="eastAsia" w:ascii="仿宋" w:hAnsi="仿宋" w:eastAsia="仿宋" w:cs="仿宋"/>
          <w:color w:val="auto"/>
          <w:sz w:val="28"/>
          <w:szCs w:val="28"/>
          <w:u w:val="none"/>
          <w:lang w:val="en-US" w:eastAsia="zh-Hans"/>
        </w:rPr>
        <w:t>等</w:t>
      </w:r>
      <w:r>
        <w:rPr>
          <w:rFonts w:hint="eastAsia" w:ascii="仿宋" w:hAnsi="仿宋" w:eastAsia="仿宋" w:cs="仿宋"/>
          <w:color w:val="auto"/>
          <w:sz w:val="28"/>
          <w:szCs w:val="28"/>
        </w:rPr>
        <w:t>律师为</w:t>
      </w:r>
      <w:r>
        <w:rPr>
          <w:rFonts w:hint="eastAsia" w:ascii="仿宋" w:hAnsi="仿宋" w:eastAsia="仿宋" w:cs="仿宋"/>
          <w:color w:val="auto"/>
          <w:sz w:val="28"/>
          <w:szCs w:val="28"/>
          <w:u w:val="single"/>
        </w:rPr>
        <w:t xml:space="preserve"> </w:t>
      </w:r>
      <w:bookmarkStart w:id="0" w:name="_Hlk46928633"/>
      <w:r>
        <w:rPr>
          <w:rFonts w:hint="eastAsia" w:ascii="仿宋" w:hAnsi="仿宋" w:eastAsia="仿宋" w:cs="仿宋"/>
          <w:color w:val="auto"/>
          <w:sz w:val="28"/>
          <w:szCs w:val="28"/>
          <w:u w:val="single"/>
          <w:lang w:val="en-US" w:eastAsia="zh-CN"/>
        </w:rPr>
        <w:t>车兆基</w:t>
      </w:r>
      <w:r>
        <w:rPr>
          <w:rFonts w:hint="eastAsia" w:ascii="仿宋" w:hAnsi="仿宋" w:eastAsia="仿宋" w:cs="仿宋"/>
          <w:color w:val="auto"/>
          <w:sz w:val="28"/>
          <w:szCs w:val="28"/>
          <w:u w:val="single"/>
          <w:lang w:val="en-US" w:eastAsia="zh-Hans"/>
        </w:rPr>
        <w:t>与西安市人民政府、</w:t>
      </w:r>
      <w:r>
        <w:rPr>
          <w:rFonts w:hint="eastAsia" w:ascii="仿宋" w:hAnsi="仿宋" w:eastAsia="仿宋" w:cs="仿宋"/>
          <w:color w:val="auto"/>
          <w:sz w:val="28"/>
          <w:szCs w:val="28"/>
          <w:u w:val="single"/>
          <w:lang w:val="en-US" w:eastAsia="zh-CN"/>
        </w:rPr>
        <w:t>第三人</w:t>
      </w:r>
      <w:r>
        <w:rPr>
          <w:rFonts w:hint="eastAsia" w:ascii="仿宋" w:hAnsi="仿宋" w:eastAsia="仿宋" w:cs="仿宋"/>
          <w:color w:val="auto"/>
          <w:sz w:val="28"/>
          <w:szCs w:val="28"/>
          <w:u w:val="single"/>
          <w:lang w:val="en-US" w:eastAsia="zh-Hans"/>
        </w:rPr>
        <w:t>西安市财政局</w:t>
      </w:r>
      <w:bookmarkEnd w:id="0"/>
      <w:r>
        <w:rPr>
          <w:rFonts w:hint="eastAsia" w:ascii="仿宋" w:hAnsi="仿宋" w:eastAsia="仿宋" w:cs="仿宋"/>
          <w:color w:val="auto"/>
          <w:sz w:val="28"/>
          <w:szCs w:val="28"/>
          <w:u w:val="single"/>
          <w:lang w:val="en-US" w:eastAsia="zh-Hans"/>
        </w:rPr>
        <w:t>不予受理行政复议申请</w:t>
      </w:r>
      <w:r>
        <w:rPr>
          <w:rFonts w:hint="eastAsia" w:ascii="仿宋" w:hAnsi="仿宋" w:eastAsia="仿宋" w:cs="仿宋"/>
          <w:color w:val="auto"/>
          <w:sz w:val="28"/>
          <w:szCs w:val="28"/>
          <w:u w:val="single"/>
          <w:lang w:val="en-US" w:eastAsia="zh-CN"/>
        </w:rPr>
        <w:t xml:space="preserve"> 一案 一审、二审（如有）</w:t>
      </w:r>
      <w:r>
        <w:rPr>
          <w:rFonts w:hint="eastAsia" w:ascii="仿宋" w:hAnsi="仿宋" w:eastAsia="仿宋" w:cs="仿宋"/>
          <w:color w:val="auto"/>
          <w:sz w:val="28"/>
          <w:szCs w:val="28"/>
        </w:rPr>
        <w:t>阶段甲方的代理人。</w:t>
      </w:r>
    </w:p>
    <w:p w14:paraId="63629B97">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b/>
          <w:bCs w:val="0"/>
          <w:color w:val="auto"/>
          <w:sz w:val="28"/>
          <w:szCs w:val="28"/>
        </w:rPr>
      </w:pPr>
      <w:r>
        <w:rPr>
          <w:rFonts w:hint="eastAsia" w:ascii="黑体" w:hAnsi="黑体" w:eastAsia="黑体" w:cs="黑体"/>
          <w:b w:val="0"/>
          <w:bCs/>
          <w:color w:val="auto"/>
          <w:sz w:val="28"/>
          <w:szCs w:val="28"/>
        </w:rPr>
        <w:t xml:space="preserve">第二条 </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代理权限</w:t>
      </w:r>
    </w:p>
    <w:p w14:paraId="435F6FE8">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甲方委托乙方律师的代理权限为：</w:t>
      </w:r>
      <w:r>
        <w:rPr>
          <w:rFonts w:hint="eastAsia" w:ascii="仿宋" w:hAnsi="仿宋" w:eastAsia="仿宋" w:cs="仿宋"/>
          <w:color w:val="auto"/>
          <w:sz w:val="28"/>
          <w:szCs w:val="28"/>
          <w:u w:val="single"/>
        </w:rPr>
        <w:t xml:space="preserve"> 见授权委托书  </w:t>
      </w:r>
      <w:r>
        <w:rPr>
          <w:rFonts w:hint="eastAsia" w:ascii="仿宋" w:hAnsi="仿宋" w:eastAsia="仿宋" w:cs="仿宋"/>
          <w:color w:val="auto"/>
          <w:sz w:val="28"/>
          <w:szCs w:val="28"/>
        </w:rPr>
        <w:t>。</w:t>
      </w:r>
    </w:p>
    <w:p w14:paraId="7365FDBA">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color w:val="auto"/>
          <w:sz w:val="28"/>
          <w:szCs w:val="28"/>
        </w:rPr>
      </w:pPr>
      <w:r>
        <w:rPr>
          <w:rFonts w:hint="eastAsia" w:ascii="黑体" w:hAnsi="黑体" w:eastAsia="黑体" w:cs="黑体"/>
          <w:b w:val="0"/>
          <w:bCs/>
          <w:color w:val="auto"/>
          <w:sz w:val="28"/>
          <w:szCs w:val="28"/>
        </w:rPr>
        <w:t xml:space="preserve">第三条 </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甲方的权利义务</w:t>
      </w:r>
    </w:p>
    <w:p w14:paraId="77F2665A">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甲方应如实向乙方代理律师陈述事实，并提供相应的证据材料，及时办理必要的委托手续。甲方已得到乙方明确且清晰的告知：承办律师向甲方提供的分析、判断、意见，均不代表承办律师就案件做出了成功或者是胜诉的保证。</w:t>
      </w:r>
    </w:p>
    <w:p w14:paraId="2A98E73B">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color w:val="auto"/>
          <w:sz w:val="28"/>
          <w:szCs w:val="28"/>
        </w:rPr>
      </w:pPr>
      <w:r>
        <w:rPr>
          <w:rFonts w:hint="eastAsia" w:ascii="黑体" w:hAnsi="黑体" w:eastAsia="黑体" w:cs="黑体"/>
          <w:b w:val="0"/>
          <w:bCs/>
          <w:color w:val="auto"/>
          <w:sz w:val="28"/>
          <w:szCs w:val="28"/>
        </w:rPr>
        <w:t>第四条</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rPr>
        <w:t xml:space="preserve"> </w:t>
      </w:r>
      <w:r>
        <w:rPr>
          <w:rFonts w:hint="eastAsia" w:ascii="黑体" w:hAnsi="黑体" w:eastAsia="黑体" w:cs="黑体"/>
          <w:b w:val="0"/>
          <w:bCs/>
          <w:color w:val="auto"/>
          <w:sz w:val="28"/>
          <w:szCs w:val="28"/>
          <w:lang w:val="en-US" w:eastAsia="zh-Hans"/>
        </w:rPr>
        <w:t>乙方的权利义务</w:t>
      </w:r>
    </w:p>
    <w:p w14:paraId="012D8219">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在甲方授权的范围内，</w:t>
      </w:r>
      <w:r>
        <w:rPr>
          <w:rFonts w:hint="eastAsia" w:ascii="仿宋" w:hAnsi="仿宋" w:eastAsia="仿宋" w:cs="仿宋"/>
          <w:color w:val="auto"/>
          <w:sz w:val="28"/>
          <w:szCs w:val="28"/>
          <w:lang w:val="en-US" w:eastAsia="zh-Hans"/>
        </w:rPr>
        <w:t>乙方</w:t>
      </w:r>
      <w:r>
        <w:rPr>
          <w:rFonts w:hint="eastAsia" w:ascii="仿宋" w:hAnsi="仿宋" w:eastAsia="仿宋" w:cs="仿宋"/>
          <w:color w:val="auto"/>
          <w:sz w:val="28"/>
          <w:szCs w:val="28"/>
        </w:rPr>
        <w:t>代理律师应尽职尽责，依法维护甲方的合法权益。其代理活动必须遵守《律师法》规定的律师职业道德和纪律。</w:t>
      </w:r>
    </w:p>
    <w:p w14:paraId="576F1CFB">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 xml:space="preserve"> </w:t>
      </w:r>
      <w:r>
        <w:rPr>
          <w:rFonts w:hint="eastAsia" w:ascii="黑体" w:hAnsi="黑体" w:eastAsia="黑体" w:cs="黑体"/>
          <w:b w:val="0"/>
          <w:bCs/>
          <w:color w:val="auto"/>
          <w:sz w:val="28"/>
          <w:szCs w:val="28"/>
        </w:rPr>
        <w:t>第五条</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律师代理费</w:t>
      </w:r>
    </w:p>
    <w:p w14:paraId="0F1929BE">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本案根据《西安市律师服务收费指导意见》的规定及甲方委托事宜的情况</w:t>
      </w:r>
      <w:r>
        <w:rPr>
          <w:rFonts w:hint="eastAsia" w:ascii="仿宋" w:hAnsi="仿宋" w:eastAsia="仿宋" w:cs="仿宋"/>
          <w:color w:val="auto"/>
          <w:sz w:val="28"/>
          <w:szCs w:val="28"/>
          <w:lang w:val="en-US" w:eastAsia="zh-CN"/>
        </w:rPr>
        <w:t>下优惠</w:t>
      </w:r>
      <w:r>
        <w:rPr>
          <w:rFonts w:hint="eastAsia" w:ascii="仿宋" w:hAnsi="仿宋" w:eastAsia="仿宋" w:cs="仿宋"/>
          <w:color w:val="auto"/>
          <w:sz w:val="28"/>
          <w:szCs w:val="28"/>
        </w:rPr>
        <w:t>收取律师费，具体如下：</w:t>
      </w:r>
    </w:p>
    <w:p w14:paraId="184521E1">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default" w:ascii="仿宋" w:hAnsi="仿宋" w:eastAsia="仿宋" w:cs="仿宋"/>
          <w:color w:val="auto"/>
          <w:sz w:val="28"/>
          <w:szCs w:val="28"/>
          <w:u w:val="none"/>
          <w:lang w:val="en-US" w:eastAsia="zh-CN"/>
        </w:rPr>
      </w:pP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1）律师代理费一审阶段</w:t>
      </w:r>
      <w:r>
        <w:rPr>
          <w:rFonts w:hint="eastAsia" w:ascii="仿宋" w:hAnsi="仿宋" w:eastAsia="仿宋" w:cs="仿宋"/>
          <w:color w:val="auto"/>
          <w:sz w:val="28"/>
          <w:szCs w:val="28"/>
          <w:lang w:val="en-US" w:eastAsia="zh-Hans"/>
        </w:rPr>
        <w:t>人民币</w:t>
      </w:r>
      <w:r>
        <w:rPr>
          <w:rFonts w:hint="eastAsia" w:ascii="仿宋" w:hAnsi="仿宋" w:eastAsia="仿宋" w:cs="仿宋"/>
          <w:color w:val="auto"/>
          <w:sz w:val="28"/>
          <w:szCs w:val="28"/>
        </w:rPr>
        <w:t>（小写）</w:t>
      </w:r>
      <w:r>
        <w:rPr>
          <w:rFonts w:hint="eastAsia" w:ascii="仿宋" w:hAnsi="仿宋" w:eastAsia="仿宋" w:cs="仿宋"/>
          <w:color w:val="auto"/>
          <w:sz w:val="28"/>
          <w:szCs w:val="28"/>
          <w:u w:val="single"/>
          <w:lang w:val="en-US" w:eastAsia="zh-CN"/>
        </w:rPr>
        <w:t xml:space="preserve"> 7000 </w:t>
      </w:r>
      <w:r>
        <w:rPr>
          <w:rFonts w:hint="eastAsia" w:ascii="仿宋" w:hAnsi="仿宋" w:eastAsia="仿宋" w:cs="仿宋"/>
          <w:color w:val="auto"/>
          <w:sz w:val="28"/>
          <w:szCs w:val="28"/>
          <w:u w:val="none"/>
        </w:rPr>
        <w:t>元</w:t>
      </w:r>
      <w:r>
        <w:rPr>
          <w:rFonts w:hint="eastAsia" w:ascii="仿宋" w:hAnsi="仿宋" w:eastAsia="仿宋" w:cs="仿宋"/>
          <w:color w:val="auto"/>
          <w:sz w:val="28"/>
          <w:szCs w:val="28"/>
        </w:rPr>
        <w:t>（大写）</w:t>
      </w:r>
      <w:r>
        <w:rPr>
          <w:rFonts w:hint="eastAsia" w:ascii="仿宋" w:hAnsi="仿宋" w:eastAsia="仿宋" w:cs="仿宋"/>
          <w:color w:val="auto"/>
          <w:sz w:val="28"/>
          <w:szCs w:val="28"/>
          <w:u w:val="single"/>
          <w:lang w:val="en-US" w:eastAsia="zh-CN"/>
        </w:rPr>
        <w:t xml:space="preserve"> 柒仟 </w:t>
      </w:r>
      <w:r>
        <w:rPr>
          <w:rFonts w:hint="eastAsia" w:ascii="仿宋" w:hAnsi="仿宋" w:eastAsia="仿宋" w:cs="仿宋"/>
          <w:color w:val="auto"/>
          <w:sz w:val="28"/>
          <w:szCs w:val="28"/>
          <w:u w:val="none"/>
          <w:lang w:val="en-US" w:eastAsia="zh-Hans"/>
        </w:rPr>
        <w:t>元</w:t>
      </w:r>
      <w:r>
        <w:rPr>
          <w:rFonts w:hint="eastAsia" w:ascii="仿宋" w:hAnsi="仿宋" w:eastAsia="仿宋" w:cs="仿宋"/>
          <w:color w:val="auto"/>
          <w:sz w:val="28"/>
          <w:szCs w:val="28"/>
          <w:u w:val="none"/>
        </w:rPr>
        <w:t>整</w:t>
      </w:r>
      <w:r>
        <w:rPr>
          <w:rFonts w:hint="eastAsia" w:ascii="仿宋" w:hAnsi="仿宋" w:eastAsia="仿宋" w:cs="仿宋"/>
          <w:color w:val="auto"/>
          <w:sz w:val="28"/>
          <w:szCs w:val="28"/>
          <w:u w:val="none"/>
          <w:lang w:eastAsia="zh-CN"/>
        </w:rPr>
        <w:t>；</w:t>
      </w:r>
      <w:r>
        <w:rPr>
          <w:rFonts w:hint="eastAsia" w:ascii="仿宋" w:hAnsi="仿宋" w:eastAsia="仿宋" w:cs="仿宋"/>
          <w:color w:val="auto"/>
          <w:sz w:val="28"/>
          <w:szCs w:val="28"/>
          <w:u w:val="none"/>
          <w:lang w:val="en-US" w:eastAsia="zh-CN"/>
        </w:rPr>
        <w:t>二审阶段</w:t>
      </w:r>
      <w:r>
        <w:rPr>
          <w:rFonts w:hint="eastAsia" w:ascii="仿宋" w:hAnsi="仿宋" w:eastAsia="仿宋" w:cs="仿宋"/>
          <w:color w:val="auto"/>
          <w:sz w:val="28"/>
          <w:szCs w:val="28"/>
          <w:highlight w:val="none"/>
          <w:lang w:eastAsia="zh-CN"/>
        </w:rPr>
        <w:t>人民币（小写）</w:t>
      </w:r>
      <w:bookmarkStart w:id="1" w:name="_GoBack"/>
      <w:bookmarkEnd w:id="1"/>
      <w:r>
        <w:rPr>
          <w:rFonts w:hint="eastAsia" w:ascii="仿宋" w:hAnsi="仿宋" w:eastAsia="仿宋" w:cs="仿宋"/>
          <w:color w:val="auto"/>
          <w:sz w:val="28"/>
          <w:szCs w:val="28"/>
          <w:highlight w:val="none"/>
          <w:u w:val="single"/>
          <w:lang w:val="en-US" w:eastAsia="zh-CN"/>
        </w:rPr>
        <w:t>3500</w:t>
      </w:r>
      <w:r>
        <w:rPr>
          <w:rFonts w:hint="eastAsia" w:ascii="仿宋" w:hAnsi="仿宋" w:eastAsia="仿宋" w:cs="仿宋"/>
          <w:color w:val="auto"/>
          <w:sz w:val="28"/>
          <w:szCs w:val="28"/>
          <w:highlight w:val="none"/>
          <w:u w:val="single"/>
          <w:lang w:eastAsia="zh-CN"/>
        </w:rPr>
        <w:t xml:space="preserve"> </w:t>
      </w:r>
      <w:r>
        <w:rPr>
          <w:rFonts w:hint="eastAsia" w:ascii="仿宋" w:hAnsi="仿宋" w:eastAsia="仿宋" w:cs="仿宋"/>
          <w:color w:val="auto"/>
          <w:sz w:val="28"/>
          <w:szCs w:val="28"/>
          <w:highlight w:val="none"/>
          <w:lang w:eastAsia="zh-CN"/>
        </w:rPr>
        <w:t xml:space="preserve">元。（大写） </w:t>
      </w:r>
      <w:r>
        <w:rPr>
          <w:rFonts w:hint="eastAsia" w:ascii="仿宋" w:hAnsi="仿宋" w:eastAsia="仿宋" w:cs="仿宋"/>
          <w:color w:val="auto"/>
          <w:sz w:val="28"/>
          <w:szCs w:val="28"/>
          <w:highlight w:val="none"/>
          <w:u w:val="single"/>
          <w:lang w:val="en-US" w:eastAsia="zh-CN"/>
        </w:rPr>
        <w:t>叁仟伍百</w:t>
      </w:r>
      <w:r>
        <w:rPr>
          <w:rFonts w:hint="eastAsia" w:ascii="仿宋" w:hAnsi="仿宋" w:eastAsia="仿宋" w:cs="仿宋"/>
          <w:color w:val="auto"/>
          <w:sz w:val="28"/>
          <w:szCs w:val="28"/>
          <w:highlight w:val="none"/>
          <w:u w:val="single"/>
          <w:lang w:eastAsia="zh-CN"/>
        </w:rPr>
        <w:t xml:space="preserve">元 </w:t>
      </w:r>
      <w:r>
        <w:rPr>
          <w:rFonts w:hint="eastAsia" w:ascii="仿宋" w:hAnsi="仿宋" w:eastAsia="仿宋" w:cs="仿宋"/>
          <w:color w:val="auto"/>
          <w:sz w:val="28"/>
          <w:szCs w:val="28"/>
          <w:highlight w:val="none"/>
          <w:lang w:eastAsia="zh-CN"/>
        </w:rPr>
        <w:t>整。</w:t>
      </w:r>
    </w:p>
    <w:p w14:paraId="65628455">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甲方应在</w:t>
      </w:r>
      <w:r>
        <w:rPr>
          <w:rFonts w:hint="eastAsia" w:ascii="仿宋" w:hAnsi="仿宋" w:eastAsia="仿宋" w:cs="仿宋"/>
          <w:color w:val="auto"/>
          <w:sz w:val="28"/>
          <w:szCs w:val="28"/>
          <w:lang w:val="en-US" w:eastAsia="zh-CN"/>
        </w:rPr>
        <w:t>履行相应采购手续且</w:t>
      </w:r>
      <w:r>
        <w:rPr>
          <w:rFonts w:hint="eastAsia" w:ascii="仿宋" w:hAnsi="仿宋" w:eastAsia="仿宋" w:cs="仿宋"/>
          <w:color w:val="auto"/>
          <w:sz w:val="28"/>
          <w:szCs w:val="28"/>
        </w:rPr>
        <w:t>本合同签订</w:t>
      </w:r>
      <w:r>
        <w:rPr>
          <w:rFonts w:hint="eastAsia" w:ascii="仿宋" w:hAnsi="仿宋" w:eastAsia="仿宋" w:cs="仿宋"/>
          <w:color w:val="auto"/>
          <w:sz w:val="28"/>
          <w:szCs w:val="28"/>
          <w:lang w:val="en-US" w:eastAsia="zh-CN"/>
        </w:rPr>
        <w:t>后</w:t>
      </w:r>
      <w:r>
        <w:rPr>
          <w:rFonts w:hint="eastAsia" w:ascii="仿宋" w:hAnsi="仿宋" w:eastAsia="仿宋" w:cs="仿宋"/>
          <w:color w:val="auto"/>
          <w:sz w:val="28"/>
          <w:szCs w:val="28"/>
          <w:u w:val="single"/>
          <w:lang w:val="en-US" w:eastAsia="zh-CN"/>
        </w:rPr>
        <w:t xml:space="preserve"> 十五</w:t>
      </w:r>
      <w:r>
        <w:rPr>
          <w:rFonts w:hint="eastAsia" w:ascii="仿宋" w:hAnsi="仿宋" w:eastAsia="仿宋" w:cs="仿宋"/>
          <w:color w:val="auto"/>
          <w:sz w:val="28"/>
          <w:szCs w:val="28"/>
          <w:u w:val="single"/>
          <w:lang w:eastAsia="zh-CN"/>
        </w:rPr>
        <w:t xml:space="preserve"> </w:t>
      </w:r>
      <w:r>
        <w:rPr>
          <w:rFonts w:hint="eastAsia" w:ascii="仿宋" w:hAnsi="仿宋" w:eastAsia="仿宋" w:cs="仿宋"/>
          <w:color w:val="auto"/>
          <w:sz w:val="28"/>
          <w:szCs w:val="28"/>
        </w:rPr>
        <w:t>日内向乙方</w:t>
      </w:r>
      <w:r>
        <w:rPr>
          <w:rFonts w:hint="eastAsia" w:ascii="仿宋" w:hAnsi="仿宋" w:eastAsia="仿宋" w:cs="仿宋"/>
          <w:color w:val="auto"/>
          <w:sz w:val="28"/>
          <w:szCs w:val="28"/>
          <w:lang w:val="en-US" w:eastAsia="zh-Hans"/>
        </w:rPr>
        <w:t>一次性</w:t>
      </w:r>
      <w:r>
        <w:rPr>
          <w:rFonts w:hint="eastAsia" w:ascii="仿宋" w:hAnsi="仿宋" w:eastAsia="仿宋" w:cs="仿宋"/>
          <w:color w:val="auto"/>
          <w:sz w:val="28"/>
          <w:szCs w:val="28"/>
          <w:lang w:val="en-US" w:eastAsia="zh-CN"/>
        </w:rPr>
        <w:t>支付一审</w:t>
      </w:r>
      <w:r>
        <w:rPr>
          <w:rFonts w:hint="eastAsia" w:ascii="仿宋" w:hAnsi="仿宋" w:eastAsia="仿宋" w:cs="仿宋"/>
          <w:color w:val="auto"/>
          <w:sz w:val="28"/>
          <w:szCs w:val="28"/>
        </w:rPr>
        <w:t>代理费。</w:t>
      </w:r>
    </w:p>
    <w:p w14:paraId="33F5D4BF">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lang w:val="en-US" w:eastAsia="zh-CN"/>
        </w:rPr>
        <w:t>3</w:t>
      </w: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lang w:val="en-US" w:eastAsia="zh-CN"/>
        </w:rPr>
        <w:t>如</w:t>
      </w:r>
      <w:r>
        <w:rPr>
          <w:rFonts w:hint="eastAsia" w:ascii="仿宋" w:hAnsi="仿宋" w:eastAsia="仿宋" w:cs="仿宋"/>
          <w:color w:val="auto"/>
          <w:sz w:val="28"/>
          <w:szCs w:val="28"/>
          <w:highlight w:val="none"/>
          <w:lang w:eastAsia="zh-CN"/>
        </w:rPr>
        <w:t>本案</w:t>
      </w:r>
      <w:r>
        <w:rPr>
          <w:rFonts w:hint="eastAsia" w:ascii="仿宋" w:hAnsi="仿宋" w:eastAsia="仿宋" w:cs="仿宋"/>
          <w:color w:val="auto"/>
          <w:sz w:val="28"/>
          <w:szCs w:val="28"/>
          <w:highlight w:val="none"/>
          <w:lang w:val="en-US" w:eastAsia="zh-CN"/>
        </w:rPr>
        <w:t>进入二审程序</w:t>
      </w: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lang w:val="en-US" w:eastAsia="zh-CN"/>
        </w:rPr>
        <w:t>自开庭之日（如预算未经人大批准，以人大批复之日）起</w:t>
      </w:r>
      <w:r>
        <w:rPr>
          <w:rFonts w:hint="eastAsia" w:ascii="仿宋" w:hAnsi="仿宋" w:eastAsia="仿宋" w:cs="仿宋"/>
          <w:color w:val="auto"/>
          <w:sz w:val="28"/>
          <w:szCs w:val="28"/>
          <w:highlight w:val="none"/>
          <w:u w:val="single"/>
          <w:lang w:eastAsia="zh-CN"/>
        </w:rPr>
        <w:t xml:space="preserve"> 十</w:t>
      </w:r>
      <w:r>
        <w:rPr>
          <w:rFonts w:hint="eastAsia" w:ascii="仿宋" w:hAnsi="仿宋" w:eastAsia="仿宋" w:cs="仿宋"/>
          <w:color w:val="auto"/>
          <w:sz w:val="28"/>
          <w:szCs w:val="28"/>
          <w:highlight w:val="none"/>
          <w:u w:val="single"/>
          <w:lang w:val="en-US" w:eastAsia="zh-CN"/>
        </w:rPr>
        <w:t>五</w:t>
      </w:r>
      <w:r>
        <w:rPr>
          <w:rFonts w:hint="eastAsia" w:ascii="仿宋" w:hAnsi="仿宋" w:eastAsia="仿宋" w:cs="仿宋"/>
          <w:color w:val="auto"/>
          <w:sz w:val="28"/>
          <w:szCs w:val="28"/>
          <w:highlight w:val="none"/>
          <w:u w:val="single"/>
          <w:lang w:eastAsia="zh-CN"/>
        </w:rPr>
        <w:t xml:space="preserve"> </w:t>
      </w:r>
      <w:r>
        <w:rPr>
          <w:rFonts w:hint="eastAsia" w:ascii="仿宋" w:hAnsi="仿宋" w:eastAsia="仿宋" w:cs="仿宋"/>
          <w:color w:val="auto"/>
          <w:sz w:val="28"/>
          <w:szCs w:val="28"/>
          <w:highlight w:val="none"/>
          <w:lang w:eastAsia="zh-CN"/>
        </w:rPr>
        <w:t>日内，甲方向乙方一次性支付二审阶段代理费。</w:t>
      </w:r>
    </w:p>
    <w:p w14:paraId="5DFFC601">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lang w:val="en-US" w:eastAsia="zh-CN"/>
        </w:rPr>
        <w:t>4）</w:t>
      </w:r>
      <w:r>
        <w:rPr>
          <w:rFonts w:hint="eastAsia" w:ascii="仿宋" w:hAnsi="仿宋" w:eastAsia="仿宋" w:cs="仿宋"/>
          <w:color w:val="auto"/>
          <w:sz w:val="28"/>
          <w:szCs w:val="28"/>
          <w:highlight w:val="none"/>
          <w:lang w:eastAsia="zh-CN"/>
        </w:rPr>
        <w:t>甲方付款前，乙方应当出具等额增值税发票。</w:t>
      </w:r>
    </w:p>
    <w:p w14:paraId="0613FCA1">
      <w:pPr>
        <w:keepNext w:val="0"/>
        <w:keepLines w:val="0"/>
        <w:pageBreakBefore w:val="0"/>
        <w:widowControl w:val="0"/>
        <w:kinsoku/>
        <w:overflowPunct/>
        <w:topLinePunct w:val="0"/>
        <w:autoSpaceDE/>
        <w:autoSpaceDN/>
        <w:bidi w:val="0"/>
        <w:adjustRightInd/>
        <w:snapToGrid/>
        <w:spacing w:line="560" w:lineRule="exact"/>
        <w:ind w:firstLine="562" w:firstLineChars="200"/>
        <w:jc w:val="left"/>
        <w:textAlignment w:val="auto"/>
        <w:rPr>
          <w:rFonts w:hint="eastAsia" w:ascii="仿宋" w:hAnsi="仿宋" w:eastAsia="仿宋" w:cs="仿宋"/>
          <w:b/>
          <w:bCs/>
          <w:sz w:val="28"/>
          <w:szCs w:val="28"/>
        </w:rPr>
      </w:pPr>
      <w:r>
        <w:rPr>
          <w:rFonts w:hint="eastAsia" w:ascii="仿宋" w:hAnsi="仿宋" w:eastAsia="仿宋" w:cs="仿宋"/>
          <w:b/>
          <w:bCs/>
          <w:sz w:val="28"/>
          <w:szCs w:val="28"/>
        </w:rPr>
        <w:t xml:space="preserve">乙方户名：北京德恒（西安高新区）律师事务所               </w:t>
      </w:r>
    </w:p>
    <w:p w14:paraId="4FFF12A3">
      <w:pPr>
        <w:spacing w:line="560" w:lineRule="exact"/>
        <w:ind w:firstLine="562" w:firstLineChars="200"/>
        <w:rPr>
          <w:rFonts w:hint="eastAsia" w:ascii="仿宋" w:hAnsi="仿宋" w:eastAsia="仿宋" w:cs="仿宋"/>
          <w:b/>
          <w:bCs/>
          <w:sz w:val="28"/>
          <w:szCs w:val="28"/>
        </w:rPr>
      </w:pPr>
      <w:r>
        <w:rPr>
          <w:rFonts w:hint="eastAsia" w:ascii="仿宋" w:hAnsi="仿宋" w:eastAsia="仿宋" w:cs="仿宋"/>
          <w:b/>
          <w:bCs/>
          <w:sz w:val="28"/>
          <w:szCs w:val="28"/>
        </w:rPr>
        <w:t xml:space="preserve">开户行：招商银行股份有限公司西安凤城十二路支行            </w:t>
      </w:r>
    </w:p>
    <w:p w14:paraId="378779B1">
      <w:pPr>
        <w:keepNext w:val="0"/>
        <w:keepLines w:val="0"/>
        <w:pageBreakBefore w:val="0"/>
        <w:widowControl w:val="0"/>
        <w:kinsoku/>
        <w:overflowPunct/>
        <w:topLinePunct w:val="0"/>
        <w:autoSpaceDE/>
        <w:autoSpaceDN/>
        <w:bidi w:val="0"/>
        <w:adjustRightInd/>
        <w:snapToGrid/>
        <w:spacing w:line="560" w:lineRule="exact"/>
        <w:ind w:firstLine="562" w:firstLineChars="200"/>
        <w:jc w:val="left"/>
        <w:textAlignment w:val="auto"/>
        <w:rPr>
          <w:rFonts w:hint="default" w:ascii="Times New Roman" w:hAnsi="Times New Roman" w:eastAsia="仿宋" w:cs="Times New Roman"/>
          <w:b/>
          <w:bCs/>
          <w:sz w:val="28"/>
          <w:szCs w:val="28"/>
        </w:rPr>
      </w:pPr>
      <w:r>
        <w:rPr>
          <w:rFonts w:hint="eastAsia" w:ascii="仿宋" w:hAnsi="仿宋" w:eastAsia="仿宋" w:cs="仿宋"/>
          <w:b/>
          <w:bCs/>
          <w:sz w:val="28"/>
          <w:szCs w:val="28"/>
        </w:rPr>
        <w:t>账号：129911003810501</w:t>
      </w:r>
    </w:p>
    <w:p w14:paraId="6BF4F868">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b/>
          <w:bCs/>
          <w:color w:val="auto"/>
          <w:sz w:val="28"/>
          <w:szCs w:val="28"/>
          <w:lang w:eastAsia="zh-Hans"/>
        </w:rPr>
      </w:pPr>
      <w:r>
        <w:rPr>
          <w:rFonts w:hint="eastAsia" w:ascii="黑体" w:hAnsi="黑体" w:eastAsia="黑体" w:cs="黑体"/>
          <w:b w:val="0"/>
          <w:bCs/>
          <w:color w:val="auto"/>
          <w:sz w:val="28"/>
          <w:szCs w:val="28"/>
          <w:lang w:val="en-US" w:eastAsia="zh-Hans"/>
        </w:rPr>
        <w:t>第六条</w:t>
      </w:r>
      <w:r>
        <w:rPr>
          <w:rFonts w:hint="eastAsia" w:ascii="黑体" w:hAnsi="黑体" w:eastAsia="黑体" w:cs="黑体"/>
          <w:b w:val="0"/>
          <w:bCs/>
          <w:color w:val="auto"/>
          <w:sz w:val="28"/>
          <w:szCs w:val="28"/>
          <w:lang w:eastAsia="zh-Hans"/>
        </w:rPr>
        <w:t xml:space="preserve"> </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案件办理</w:t>
      </w:r>
    </w:p>
    <w:p w14:paraId="219E9EC0">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lang w:val="en-US" w:eastAsia="zh-Hans"/>
        </w:rPr>
      </w:pPr>
      <w:r>
        <w:rPr>
          <w:rFonts w:hint="eastAsia" w:ascii="仿宋" w:hAnsi="仿宋" w:eastAsia="仿宋" w:cs="仿宋"/>
          <w:color w:val="auto"/>
          <w:sz w:val="28"/>
          <w:szCs w:val="28"/>
          <w:lang w:val="en-US" w:eastAsia="zh-Hans"/>
        </w:rPr>
        <w:t>承办律师因客观原因不能代理的，乙方应指定其他律师接替，并应于事前征得甲方同意。但是，乙方指派其他律师或者是律师助理处理文件送达、调查、文件制作、文件复印等程序性工作或者是一般工作不需要征得甲方同意，也无需通知甲方。因情况紧急，为维护甲方利益，乙方指定其他律师接替不需取得甲方同意；但是事后需及时通知甲方。乙方指派其他律师承办案件，不影响约定的律师费。</w:t>
      </w:r>
    </w:p>
    <w:p w14:paraId="3BFF0ABB">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b/>
          <w:bCs/>
          <w:color w:val="auto"/>
          <w:sz w:val="28"/>
          <w:szCs w:val="28"/>
          <w:lang w:val="en-US" w:eastAsia="zh-Hans"/>
        </w:rPr>
      </w:pPr>
      <w:r>
        <w:rPr>
          <w:rFonts w:hint="eastAsia" w:ascii="黑体" w:hAnsi="黑体" w:eastAsia="黑体" w:cs="黑体"/>
          <w:b w:val="0"/>
          <w:bCs/>
          <w:color w:val="auto"/>
          <w:sz w:val="28"/>
          <w:szCs w:val="28"/>
          <w:lang w:val="en-US" w:eastAsia="zh-Hans"/>
        </w:rPr>
        <w:t>第七条</w:t>
      </w:r>
      <w:r>
        <w:rPr>
          <w:rFonts w:hint="eastAsia" w:ascii="黑体" w:hAnsi="黑体" w:eastAsia="黑体" w:cs="黑体"/>
          <w:b w:val="0"/>
          <w:bCs/>
          <w:color w:val="auto"/>
          <w:sz w:val="28"/>
          <w:szCs w:val="28"/>
          <w:lang w:eastAsia="zh-Hans"/>
        </w:rPr>
        <w:t xml:space="preserve"> </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豁免条款</w:t>
      </w:r>
    </w:p>
    <w:p w14:paraId="1D03A7C1">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甲方充分知晓北京德恒律师事务所（以下简称“德恒”）为大型跨境律师事务所，有北京总部及各地分支机构，并同时服务于诸多客户，因此在利益冲突事宜处理上，甲方理解并认可：乙方的利冲义务限为德恒律师不得在本协议约定的事项中（如系常年法律顾问服务，则在实际提供法律服务的事项中）担任对方当事人的代理人或辩护人。</w:t>
      </w:r>
    </w:p>
    <w:p w14:paraId="060A689E">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考虑到可能会存在双方签约时无法获知或签约后才新生利冲的情形，在执行本协议过程中，若发生此类情形，甲方理解并认可乙方有权作出回避的安排或解除本合同且不视为乙方违约。</w:t>
      </w:r>
    </w:p>
    <w:p w14:paraId="0142C21B">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甲方理解并认可本协议终止或解除后，德恒不再承担利冲义务。乙方应建立内部防火墙并正确履行律师保密义务。</w:t>
      </w:r>
    </w:p>
    <w:p w14:paraId="4F5701BA">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color w:val="auto"/>
          <w:sz w:val="28"/>
          <w:szCs w:val="28"/>
        </w:rPr>
      </w:pPr>
      <w:r>
        <w:rPr>
          <w:rFonts w:hint="eastAsia" w:ascii="黑体" w:hAnsi="黑体" w:eastAsia="黑体" w:cs="黑体"/>
          <w:b w:val="0"/>
          <w:bCs/>
          <w:color w:val="auto"/>
          <w:sz w:val="28"/>
          <w:szCs w:val="28"/>
        </w:rPr>
        <w:t>第</w:t>
      </w:r>
      <w:r>
        <w:rPr>
          <w:rFonts w:hint="eastAsia" w:ascii="黑体" w:hAnsi="黑体" w:eastAsia="黑体" w:cs="黑体"/>
          <w:b w:val="0"/>
          <w:bCs/>
          <w:color w:val="auto"/>
          <w:sz w:val="28"/>
          <w:szCs w:val="28"/>
          <w:lang w:val="en-US" w:eastAsia="zh-Hans"/>
        </w:rPr>
        <w:t>八</w:t>
      </w:r>
      <w:r>
        <w:rPr>
          <w:rFonts w:hint="eastAsia" w:ascii="黑体" w:hAnsi="黑体" w:eastAsia="黑体" w:cs="黑体"/>
          <w:b w:val="0"/>
          <w:bCs/>
          <w:color w:val="auto"/>
          <w:sz w:val="28"/>
          <w:szCs w:val="28"/>
        </w:rPr>
        <w:t xml:space="preserve">条 </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代理期限</w:t>
      </w:r>
    </w:p>
    <w:p w14:paraId="1EB16029">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highlight w:val="none"/>
        </w:rPr>
        <w:t>本合同自签订时生效至本案</w:t>
      </w:r>
      <w:r>
        <w:rPr>
          <w:rFonts w:hint="eastAsia" w:ascii="仿宋" w:hAnsi="仿宋" w:eastAsia="仿宋" w:cs="仿宋"/>
          <w:color w:val="auto"/>
          <w:sz w:val="28"/>
          <w:szCs w:val="28"/>
          <w:highlight w:val="none"/>
          <w:u w:val="single"/>
          <w:lang w:val="en-US" w:eastAsia="zh-CN"/>
        </w:rPr>
        <w:t xml:space="preserve"> </w:t>
      </w:r>
      <w:r>
        <w:rPr>
          <w:rFonts w:hint="eastAsia" w:ascii="仿宋" w:hAnsi="仿宋" w:eastAsia="仿宋" w:cs="仿宋"/>
          <w:sz w:val="28"/>
          <w:szCs w:val="28"/>
          <w:highlight w:val="none"/>
          <w:u w:val="single"/>
          <w:lang w:val="en-US" w:eastAsia="zh-Hans"/>
        </w:rPr>
        <w:t>委托事项办理完毕</w:t>
      </w:r>
      <w:r>
        <w:rPr>
          <w:rFonts w:hint="eastAsia" w:ascii="仿宋" w:hAnsi="仿宋" w:eastAsia="仿宋" w:cs="仿宋"/>
          <w:color w:val="auto"/>
          <w:sz w:val="28"/>
          <w:szCs w:val="28"/>
          <w:highlight w:val="none"/>
          <w:u w:val="single"/>
          <w:lang w:val="en-US" w:eastAsia="zh-CN"/>
        </w:rPr>
        <w:t xml:space="preserve"> </w:t>
      </w:r>
      <w:r>
        <w:rPr>
          <w:rFonts w:hint="eastAsia" w:ascii="仿宋" w:hAnsi="仿宋" w:eastAsia="仿宋" w:cs="仿宋"/>
          <w:color w:val="auto"/>
          <w:sz w:val="28"/>
          <w:szCs w:val="28"/>
          <w:highlight w:val="none"/>
        </w:rPr>
        <w:t>时终止。乙方律师依据本合同在处理甲方事务过程中，协助甲方与相对方达成庭外和解、</w:t>
      </w:r>
      <w:r>
        <w:rPr>
          <w:rFonts w:hint="eastAsia" w:ascii="仿宋" w:hAnsi="仿宋" w:eastAsia="仿宋" w:cs="仿宋"/>
          <w:color w:val="auto"/>
          <w:sz w:val="28"/>
          <w:szCs w:val="28"/>
        </w:rPr>
        <w:t>调解，亦应视为乙方处理甲方事务完毕，甲方不得要求减、免、退费。甲方非经乙方同意擅自变更代理律师的，不得要求减、免、退费。</w:t>
      </w:r>
    </w:p>
    <w:p w14:paraId="6084BCD5">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b/>
          <w:bCs/>
          <w:color w:val="auto"/>
          <w:sz w:val="28"/>
          <w:szCs w:val="28"/>
        </w:rPr>
      </w:pPr>
      <w:r>
        <w:rPr>
          <w:rFonts w:hint="eastAsia" w:ascii="黑体" w:hAnsi="黑体" w:eastAsia="黑体" w:cs="黑体"/>
          <w:b w:val="0"/>
          <w:bCs/>
          <w:color w:val="auto"/>
          <w:sz w:val="28"/>
          <w:szCs w:val="28"/>
        </w:rPr>
        <w:t>第</w:t>
      </w:r>
      <w:r>
        <w:rPr>
          <w:rFonts w:hint="eastAsia" w:ascii="黑体" w:hAnsi="黑体" w:eastAsia="黑体" w:cs="黑体"/>
          <w:b w:val="0"/>
          <w:bCs/>
          <w:color w:val="auto"/>
          <w:sz w:val="28"/>
          <w:szCs w:val="28"/>
          <w:lang w:val="en-US" w:eastAsia="zh-CN"/>
        </w:rPr>
        <w:t>九</w:t>
      </w:r>
      <w:r>
        <w:rPr>
          <w:rFonts w:hint="eastAsia" w:ascii="黑体" w:hAnsi="黑体" w:eastAsia="黑体" w:cs="黑体"/>
          <w:b w:val="0"/>
          <w:bCs/>
          <w:color w:val="auto"/>
          <w:sz w:val="28"/>
          <w:szCs w:val="28"/>
        </w:rPr>
        <w:t xml:space="preserve">条 </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争议解决</w:t>
      </w:r>
    </w:p>
    <w:p w14:paraId="13095851">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本合同未尽事宜，双方可另行协商确定。因合同履行中出现争议的，双方应进行协商，协商不成的，可诉至</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lang w:val="en-US" w:eastAsia="zh-Hans"/>
        </w:rPr>
        <w:t>乙方所在地</w:t>
      </w:r>
      <w:r>
        <w:rPr>
          <w:rFonts w:hint="eastAsia" w:ascii="仿宋" w:hAnsi="仿宋" w:eastAsia="仿宋" w:cs="仿宋"/>
          <w:color w:val="auto"/>
          <w:sz w:val="28"/>
          <w:szCs w:val="28"/>
          <w:u w:val="single"/>
          <w:lang w:eastAsia="zh-Hans"/>
        </w:rPr>
        <w:t xml:space="preserve"> </w:t>
      </w:r>
      <w:r>
        <w:rPr>
          <w:rFonts w:hint="eastAsia" w:ascii="仿宋" w:hAnsi="仿宋" w:eastAsia="仿宋" w:cs="仿宋"/>
          <w:color w:val="auto"/>
          <w:sz w:val="28"/>
          <w:szCs w:val="28"/>
        </w:rPr>
        <w:t>人民法院。</w:t>
      </w:r>
    </w:p>
    <w:p w14:paraId="2BEE55A7">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color w:val="auto"/>
          <w:sz w:val="28"/>
          <w:szCs w:val="28"/>
        </w:rPr>
      </w:pPr>
      <w:r>
        <w:rPr>
          <w:rFonts w:hint="eastAsia" w:ascii="黑体" w:hAnsi="黑体" w:eastAsia="黑体" w:cs="黑体"/>
          <w:b w:val="0"/>
          <w:bCs/>
          <w:color w:val="auto"/>
          <w:sz w:val="28"/>
          <w:szCs w:val="28"/>
        </w:rPr>
        <w:t xml:space="preserve">第十条 </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其他</w:t>
      </w:r>
    </w:p>
    <w:p w14:paraId="45381EA2">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本合同一式</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lang w:val="en-US" w:eastAsia="zh-Hans"/>
        </w:rPr>
        <w:t>肆</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rPr>
        <w:t>份，甲方持</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lang w:val="en-US" w:eastAsia="zh-Hans"/>
        </w:rPr>
        <w:t>贰</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rPr>
        <w:t>份、乙方持</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lang w:val="en-US" w:eastAsia="zh-Hans"/>
        </w:rPr>
        <w:t>贰</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rPr>
        <w:t>份。合同自甲乙双方盖章或签字之日起生效。</w:t>
      </w:r>
    </w:p>
    <w:tbl>
      <w:tblPr>
        <w:tblStyle w:val="5"/>
        <w:tblpPr w:leftFromText="180" w:rightFromText="180" w:vertAnchor="text" w:horzAnchor="page" w:tblpX="1967" w:tblpY="1249"/>
        <w:tblOverlap w:val="never"/>
        <w:tblW w:w="0" w:type="auto"/>
        <w:tblInd w:w="0" w:type="dxa"/>
        <w:tblLayout w:type="autofit"/>
        <w:tblCellMar>
          <w:top w:w="0" w:type="dxa"/>
          <w:left w:w="108" w:type="dxa"/>
          <w:bottom w:w="0" w:type="dxa"/>
          <w:right w:w="108" w:type="dxa"/>
        </w:tblCellMar>
      </w:tblPr>
      <w:tblGrid>
        <w:gridCol w:w="4366"/>
        <w:gridCol w:w="4053"/>
      </w:tblGrid>
      <w:tr w14:paraId="76BA1FCB">
        <w:trPr>
          <w:trHeight w:val="1043" w:hRule="atLeast"/>
        </w:trPr>
        <w:tc>
          <w:tcPr>
            <w:tcW w:w="4366" w:type="dxa"/>
            <w:noWrap w:val="0"/>
            <w:vAlign w:val="top"/>
          </w:tcPr>
          <w:p w14:paraId="5357597D">
            <w:pPr>
              <w:spacing w:line="560" w:lineRule="exact"/>
              <w:rPr>
                <w:rFonts w:hint="default" w:ascii="仿宋" w:hAnsi="仿宋" w:eastAsia="仿宋" w:cs="仿宋"/>
                <w:sz w:val="28"/>
                <w:szCs w:val="28"/>
                <w:lang w:val="en-US" w:eastAsia="zh-CN"/>
              </w:rPr>
            </w:pPr>
            <w:r>
              <w:rPr>
                <w:rFonts w:hint="eastAsia" w:ascii="仿宋" w:hAnsi="仿宋" w:eastAsia="仿宋" w:cs="仿宋"/>
                <w:b/>
                <w:bCs/>
                <w:sz w:val="28"/>
                <w:szCs w:val="28"/>
              </w:rPr>
              <w:t>甲方</w:t>
            </w:r>
            <w:r>
              <w:rPr>
                <w:rFonts w:hint="eastAsia" w:ascii="仿宋" w:hAnsi="仿宋" w:eastAsia="仿宋" w:cs="仿宋"/>
                <w:sz w:val="28"/>
                <w:szCs w:val="28"/>
              </w:rPr>
              <w:t>：</w:t>
            </w:r>
            <w:r>
              <w:rPr>
                <w:rFonts w:hint="eastAsia" w:ascii="仿宋" w:hAnsi="仿宋" w:eastAsia="仿宋" w:cs="仿宋"/>
                <w:b/>
                <w:bCs/>
                <w:sz w:val="28"/>
                <w:szCs w:val="28"/>
                <w:lang w:val="en-US" w:eastAsia="zh-CN"/>
              </w:rPr>
              <w:t>西安市财政局</w:t>
            </w:r>
          </w:p>
          <w:p w14:paraId="2980BB5D">
            <w:pPr>
              <w:spacing w:line="560" w:lineRule="exact"/>
              <w:rPr>
                <w:rFonts w:hint="eastAsia" w:ascii="仿宋" w:hAnsi="仿宋" w:eastAsia="仿宋" w:cs="仿宋"/>
                <w:sz w:val="28"/>
                <w:szCs w:val="28"/>
              </w:rPr>
            </w:pPr>
          </w:p>
        </w:tc>
        <w:tc>
          <w:tcPr>
            <w:tcW w:w="4053" w:type="dxa"/>
            <w:noWrap w:val="0"/>
            <w:vAlign w:val="top"/>
          </w:tcPr>
          <w:p w14:paraId="56500CD7">
            <w:pPr>
              <w:spacing w:line="560" w:lineRule="exact"/>
              <w:jc w:val="left"/>
              <w:rPr>
                <w:rFonts w:hint="eastAsia" w:ascii="仿宋" w:hAnsi="仿宋" w:eastAsia="仿宋" w:cs="仿宋"/>
                <w:sz w:val="28"/>
                <w:szCs w:val="28"/>
              </w:rPr>
            </w:pPr>
            <w:r>
              <w:rPr>
                <w:rFonts w:hint="eastAsia" w:ascii="仿宋" w:hAnsi="仿宋" w:eastAsia="仿宋" w:cs="仿宋"/>
                <w:b/>
                <w:sz w:val="28"/>
                <w:szCs w:val="28"/>
              </w:rPr>
              <w:t>乙方：北京德恒（西安高新区）律师事务所</w:t>
            </w:r>
          </w:p>
        </w:tc>
      </w:tr>
      <w:tr w14:paraId="1869F93E">
        <w:trPr>
          <w:trHeight w:val="1564" w:hRule="atLeast"/>
        </w:trPr>
        <w:tc>
          <w:tcPr>
            <w:tcW w:w="4366" w:type="dxa"/>
            <w:noWrap w:val="0"/>
            <w:vAlign w:val="top"/>
          </w:tcPr>
          <w:p w14:paraId="121BB155">
            <w:pPr>
              <w:spacing w:line="560" w:lineRule="exact"/>
              <w:rPr>
                <w:rFonts w:hint="eastAsia" w:ascii="仿宋" w:hAnsi="仿宋" w:eastAsia="仿宋" w:cs="仿宋"/>
                <w:sz w:val="28"/>
                <w:szCs w:val="28"/>
              </w:rPr>
            </w:pPr>
            <w:r>
              <w:rPr>
                <w:rFonts w:hint="eastAsia" w:ascii="仿宋" w:hAnsi="仿宋" w:eastAsia="仿宋" w:cs="仿宋"/>
                <w:b/>
                <w:bCs/>
                <w:sz w:val="28"/>
                <w:szCs w:val="28"/>
              </w:rPr>
              <w:t>法定代表人/授权代表：</w:t>
            </w:r>
          </w:p>
        </w:tc>
        <w:tc>
          <w:tcPr>
            <w:tcW w:w="4053" w:type="dxa"/>
            <w:noWrap w:val="0"/>
            <w:vAlign w:val="top"/>
          </w:tcPr>
          <w:p w14:paraId="2DE9AB58">
            <w:pPr>
              <w:spacing w:line="560" w:lineRule="exact"/>
              <w:rPr>
                <w:rFonts w:hint="eastAsia" w:ascii="仿宋" w:hAnsi="仿宋" w:eastAsia="仿宋" w:cs="仿宋"/>
                <w:sz w:val="28"/>
                <w:szCs w:val="28"/>
              </w:rPr>
            </w:pPr>
            <w:r>
              <w:rPr>
                <w:rFonts w:hint="eastAsia" w:ascii="仿宋" w:hAnsi="仿宋" w:eastAsia="仿宋" w:cs="仿宋"/>
                <w:b/>
                <w:bCs/>
                <w:sz w:val="28"/>
                <w:szCs w:val="28"/>
              </w:rPr>
              <w:t>法定代表人/授权代表：</w:t>
            </w:r>
          </w:p>
        </w:tc>
      </w:tr>
      <w:tr w14:paraId="7AA65BAD">
        <w:trPr>
          <w:trHeight w:val="522" w:hRule="atLeast"/>
        </w:trPr>
        <w:tc>
          <w:tcPr>
            <w:tcW w:w="4366" w:type="dxa"/>
            <w:noWrap w:val="0"/>
            <w:vAlign w:val="top"/>
          </w:tcPr>
          <w:p w14:paraId="1D7DEDDC">
            <w:pPr>
              <w:spacing w:line="560" w:lineRule="exact"/>
              <w:rPr>
                <w:rFonts w:hint="eastAsia" w:ascii="仿宋" w:hAnsi="仿宋" w:eastAsia="仿宋" w:cs="仿宋"/>
                <w:sz w:val="28"/>
                <w:szCs w:val="28"/>
              </w:rPr>
            </w:pPr>
            <w:r>
              <w:rPr>
                <w:rFonts w:hint="eastAsia" w:ascii="仿宋" w:hAnsi="仿宋" w:eastAsia="仿宋" w:cs="仿宋"/>
                <w:b/>
                <w:bCs/>
                <w:sz w:val="28"/>
                <w:szCs w:val="28"/>
              </w:rPr>
              <w:t>签订日期</w:t>
            </w:r>
            <w:r>
              <w:rPr>
                <w:rFonts w:hint="eastAsia" w:ascii="仿宋" w:hAnsi="仿宋" w:eastAsia="仿宋" w:cs="仿宋"/>
                <w:sz w:val="28"/>
                <w:szCs w:val="28"/>
              </w:rPr>
              <w:t>：    年   月   日</w:t>
            </w:r>
          </w:p>
        </w:tc>
        <w:tc>
          <w:tcPr>
            <w:tcW w:w="4053" w:type="dxa"/>
            <w:noWrap w:val="0"/>
            <w:vAlign w:val="top"/>
          </w:tcPr>
          <w:p w14:paraId="1492DAE5">
            <w:pPr>
              <w:spacing w:line="560" w:lineRule="exact"/>
              <w:rPr>
                <w:rFonts w:hint="eastAsia" w:ascii="仿宋" w:hAnsi="仿宋" w:eastAsia="仿宋" w:cs="仿宋"/>
                <w:sz w:val="28"/>
                <w:szCs w:val="28"/>
              </w:rPr>
            </w:pPr>
            <w:r>
              <w:rPr>
                <w:rFonts w:hint="eastAsia" w:ascii="仿宋" w:hAnsi="仿宋" w:eastAsia="仿宋" w:cs="仿宋"/>
                <w:b/>
                <w:bCs/>
                <w:sz w:val="28"/>
                <w:szCs w:val="28"/>
              </w:rPr>
              <w:t>签订日期：</w:t>
            </w:r>
            <w:r>
              <w:rPr>
                <w:rFonts w:hint="eastAsia" w:ascii="仿宋" w:hAnsi="仿宋" w:eastAsia="仿宋" w:cs="仿宋"/>
                <w:sz w:val="28"/>
                <w:szCs w:val="28"/>
              </w:rPr>
              <w:t xml:space="preserve">    年   月  日</w:t>
            </w:r>
          </w:p>
        </w:tc>
      </w:tr>
    </w:tbl>
    <w:p w14:paraId="52F397C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b/>
          <w:bCs/>
          <w:color w:val="auto"/>
          <w:sz w:val="28"/>
          <w:szCs w:val="28"/>
          <w:highlight w:val="yellow"/>
        </w:rPr>
      </w:pPr>
    </w:p>
    <w:sectPr>
      <w:headerReference r:id="rId3" w:type="default"/>
      <w:footerReference r:id="rId4" w:type="default"/>
      <w:footerReference r:id="rId5" w:type="even"/>
      <w:pgSz w:w="11906" w:h="16838"/>
      <w:pgMar w:top="1440" w:right="1800" w:bottom="1440" w:left="1800" w:header="851" w:footer="850"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503050405090304"/>
    <w:charset w:val="A1"/>
    <w:family w:val="auto"/>
    <w:pitch w:val="default"/>
    <w:sig w:usb0="E0000AFF" w:usb1="00007843" w:usb2="00000001" w:usb3="00000000" w:csb0="400001BF" w:csb1="DFF7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Helvetica Neue">
    <w:panose1 w:val="02000503000000020004"/>
    <w:charset w:val="00"/>
    <w:family w:val="auto"/>
    <w:pitch w:val="default"/>
    <w:sig w:usb0="E50002FF" w:usb1="500079DB" w:usb2="00000010" w:usb3="00000000" w:csb0="00000000" w:csb1="00000000"/>
  </w:font>
  <w:font w:name="汉仪中黑KW">
    <w:panose1 w:val="00020600040101010101"/>
    <w:charset w:val="86"/>
    <w:family w:val="auto"/>
    <w:pitch w:val="default"/>
    <w:sig w:usb0="A00002BF" w:usb1="18EF7CFA" w:usb2="00000016" w:usb3="00000000" w:csb0="00040000" w:csb1="00000000"/>
  </w:font>
  <w:font w:name="华文中宋">
    <w:altName w:val="汉仪书宋二KW"/>
    <w:panose1 w:val="02010600040101010101"/>
    <w:charset w:val="86"/>
    <w:family w:val="auto"/>
    <w:pitch w:val="default"/>
    <w:sig w:usb0="00000000" w:usb1="00000000" w:usb2="00000000" w:usb3="00000000" w:csb0="0004009F" w:csb1="DFD70000"/>
  </w:font>
  <w:font w:name="仿宋">
    <w:altName w:val="方正仿宋_GBK"/>
    <w:panose1 w:val="02010609060101010101"/>
    <w:charset w:val="86"/>
    <w:family w:val="auto"/>
    <w:pitch w:val="default"/>
    <w:sig w:usb0="00000000" w:usb1="00000000" w:usb2="00000016" w:usb3="00000000" w:csb0="00040001" w:csb1="00000000"/>
  </w:font>
  <w:font w:name="方正仿宋_GBK">
    <w:panose1 w:val="02000000000000000000"/>
    <w:charset w:val="86"/>
    <w:family w:val="auto"/>
    <w:pitch w:val="default"/>
    <w:sig w:usb0="A00002BF" w:usb1="38CF7CFA" w:usb2="00082016" w:usb3="00000000" w:csb0="00040001" w:csb1="00000000"/>
  </w:font>
  <w:font w:name="冬青黑体简体中文">
    <w:panose1 w:val="020B0300000000000000"/>
    <w:charset w:val="86"/>
    <w:family w:val="auto"/>
    <w:pitch w:val="default"/>
    <w:sig w:usb0="A00002BF" w:usb1="1ACF7CFA" w:usb2="00000016" w:usb3="00000000" w:csb0="00060007" w:csb1="00000000"/>
  </w:font>
  <w:font w:name="Kingsoft Sign">
    <w:panose1 w:val="05050102010706020507"/>
    <w:charset w:val="00"/>
    <w:family w:val="auto"/>
    <w:pitch w:val="default"/>
    <w:sig w:usb0="00000000"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A74A97">
    <w:pPr>
      <w:pStyle w:val="3"/>
    </w:pPr>
    <w:r>
      <w:rPr>
        <w:rFonts w:hint="eastAsia" w:eastAsia="宋体"/>
        <w:lang w:eastAsia="zh-CN"/>
      </w:rPr>
      <w:drawing>
        <wp:inline distT="0" distB="0" distL="114300" distR="114300">
          <wp:extent cx="5274310" cy="431800"/>
          <wp:effectExtent l="0" t="0" r="2540" b="4445"/>
          <wp:docPr id="3" name="图片 3" descr="841f3583b489ff1890df981c8e82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841f3583b489ff1890df981c8e82183"/>
                  <pic:cNvPicPr>
                    <a:picLocks noChangeAspect="1"/>
                  </pic:cNvPicPr>
                </pic:nvPicPr>
                <pic:blipFill>
                  <a:blip r:embed="rId1"/>
                  <a:stretch>
                    <a:fillRect/>
                  </a:stretch>
                </pic:blipFill>
                <pic:spPr>
                  <a:xfrm>
                    <a:off x="0" y="0"/>
                    <a:ext cx="5274310" cy="431800"/>
                  </a:xfrm>
                  <a:prstGeom prst="rect">
                    <a:avLst/>
                  </a:prstGeom>
                </pic:spPr>
              </pic:pic>
            </a:graphicData>
          </a:graphic>
        </wp:inline>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Style w:val="7"/>
      </w:rPr>
      <w:id w:val="1"/>
    </w:sdtPr>
    <w:sdtEndPr>
      <w:rPr>
        <w:rStyle w:val="7"/>
      </w:rPr>
    </w:sdtEndPr>
    <w:sdtContent>
      <w:p w14:paraId="175E4535">
        <w:pPr>
          <w:pStyle w:val="3"/>
          <w:framePr w:wrap="around" w:vAnchor="text" w:hAnchor="margin" w:xAlign="center" w:y="1"/>
          <w:rPr>
            <w:rStyle w:val="7"/>
          </w:rPr>
        </w:pPr>
        <w:r>
          <w:rPr>
            <w:rStyle w:val="7"/>
          </w:rPr>
          <w:fldChar w:fldCharType="begin"/>
        </w:r>
        <w:r>
          <w:rPr>
            <w:rStyle w:val="7"/>
          </w:rPr>
          <w:instrText xml:space="preserve"> PAGE </w:instrText>
        </w:r>
        <w:r>
          <w:rPr>
            <w:rStyle w:val="7"/>
          </w:rPr>
          <w:fldChar w:fldCharType="end"/>
        </w:r>
      </w:p>
    </w:sdtContent>
  </w:sdt>
  <w:p w14:paraId="30C3CD0B">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141B54">
    <w:pPr>
      <w:pStyle w:val="4"/>
      <w:pBdr>
        <w:bottom w:val="single" w:color="auto" w:sz="4" w:space="1"/>
      </w:pBdr>
      <w:jc w:val="both"/>
    </w:pPr>
    <w:r>
      <w:rPr>
        <w:rFonts w:hint="default" w:eastAsia="宋体"/>
        <w:lang w:val="en-US" w:eastAsia="zh-CN"/>
      </w:rPr>
      <w:drawing>
        <wp:inline distT="0" distB="0" distL="114300" distR="114300">
          <wp:extent cx="1800225" cy="214630"/>
          <wp:effectExtent l="0" t="0" r="9525" b="13970"/>
          <wp:docPr id="1" name="图片 9" descr="C:/Users/Administrator/Desktop/德恒西高logo.png德恒西高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9" descr="C:/Users/Administrator/Desktop/德恒西高logo.png德恒西高logo"/>
                  <pic:cNvPicPr>
                    <a:picLocks noChangeAspect="1"/>
                  </pic:cNvPicPr>
                </pic:nvPicPr>
                <pic:blipFill>
                  <a:blip r:embed="rId1"/>
                  <a:srcRect t="3439" b="3439"/>
                  <a:stretch>
                    <a:fillRect/>
                  </a:stretch>
                </pic:blipFill>
                <pic:spPr>
                  <a:xfrm>
                    <a:off x="0" y="0"/>
                    <a:ext cx="1800225" cy="21463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150F"/>
    <w:rsid w:val="00141126"/>
    <w:rsid w:val="00146452"/>
    <w:rsid w:val="0016620C"/>
    <w:rsid w:val="00180757"/>
    <w:rsid w:val="00277B8E"/>
    <w:rsid w:val="00325E9E"/>
    <w:rsid w:val="003F273D"/>
    <w:rsid w:val="0040109E"/>
    <w:rsid w:val="005A2CC5"/>
    <w:rsid w:val="006410D4"/>
    <w:rsid w:val="00872720"/>
    <w:rsid w:val="00902EA9"/>
    <w:rsid w:val="00A13DAD"/>
    <w:rsid w:val="00AC57B2"/>
    <w:rsid w:val="00AF150F"/>
    <w:rsid w:val="00C75429"/>
    <w:rsid w:val="00CC01C7"/>
    <w:rsid w:val="00CD22ED"/>
    <w:rsid w:val="00CF6774"/>
    <w:rsid w:val="00E23079"/>
    <w:rsid w:val="00EF270D"/>
    <w:rsid w:val="039D3415"/>
    <w:rsid w:val="06C76B13"/>
    <w:rsid w:val="08EF7ECE"/>
    <w:rsid w:val="17745474"/>
    <w:rsid w:val="17CC40F0"/>
    <w:rsid w:val="1B7C88A9"/>
    <w:rsid w:val="1BFF1A62"/>
    <w:rsid w:val="1EF026AD"/>
    <w:rsid w:val="1FBF3C84"/>
    <w:rsid w:val="1FFB3F6D"/>
    <w:rsid w:val="1FFFFEAD"/>
    <w:rsid w:val="239FB416"/>
    <w:rsid w:val="253C6DA3"/>
    <w:rsid w:val="27BF5BED"/>
    <w:rsid w:val="27ED131A"/>
    <w:rsid w:val="27FC6331"/>
    <w:rsid w:val="288C744A"/>
    <w:rsid w:val="2DFFF534"/>
    <w:rsid w:val="2F7F102D"/>
    <w:rsid w:val="2FBE9953"/>
    <w:rsid w:val="31CE543B"/>
    <w:rsid w:val="327D8D69"/>
    <w:rsid w:val="37F5A070"/>
    <w:rsid w:val="3B7CC6C6"/>
    <w:rsid w:val="3BCE5C10"/>
    <w:rsid w:val="3CBB5D5F"/>
    <w:rsid w:val="3EBC8CB6"/>
    <w:rsid w:val="3F6F752E"/>
    <w:rsid w:val="3FBBD59D"/>
    <w:rsid w:val="3FF5EF30"/>
    <w:rsid w:val="3FFE0E56"/>
    <w:rsid w:val="412B469A"/>
    <w:rsid w:val="45BF9DCE"/>
    <w:rsid w:val="4AEE49C0"/>
    <w:rsid w:val="4FFC0940"/>
    <w:rsid w:val="527CBED0"/>
    <w:rsid w:val="53FE5F43"/>
    <w:rsid w:val="55E34C58"/>
    <w:rsid w:val="5A1FB637"/>
    <w:rsid w:val="5AEFF85F"/>
    <w:rsid w:val="5B7E07A6"/>
    <w:rsid w:val="5C3F2B45"/>
    <w:rsid w:val="5CBD71BD"/>
    <w:rsid w:val="5DFF66D8"/>
    <w:rsid w:val="5E7EB184"/>
    <w:rsid w:val="5F1959A0"/>
    <w:rsid w:val="5F7B424F"/>
    <w:rsid w:val="5FF3EBFC"/>
    <w:rsid w:val="5FFE33F1"/>
    <w:rsid w:val="5FFFD298"/>
    <w:rsid w:val="62D730AF"/>
    <w:rsid w:val="64205B84"/>
    <w:rsid w:val="64C34181"/>
    <w:rsid w:val="65EF360B"/>
    <w:rsid w:val="65FC2FEF"/>
    <w:rsid w:val="66E23EB7"/>
    <w:rsid w:val="67AE0B3A"/>
    <w:rsid w:val="67FE3DA2"/>
    <w:rsid w:val="6BADBA61"/>
    <w:rsid w:val="6BC739AB"/>
    <w:rsid w:val="6C22FF17"/>
    <w:rsid w:val="6CFFEDCD"/>
    <w:rsid w:val="6D6F7B55"/>
    <w:rsid w:val="6DBF51FE"/>
    <w:rsid w:val="6DE38ADF"/>
    <w:rsid w:val="6F5EFB47"/>
    <w:rsid w:val="6FFFC0E5"/>
    <w:rsid w:val="717FDBB9"/>
    <w:rsid w:val="72AFF7DA"/>
    <w:rsid w:val="732163A6"/>
    <w:rsid w:val="73A76C86"/>
    <w:rsid w:val="73DF216B"/>
    <w:rsid w:val="74830C02"/>
    <w:rsid w:val="75C8CF98"/>
    <w:rsid w:val="761A607B"/>
    <w:rsid w:val="76764EEC"/>
    <w:rsid w:val="76F7793B"/>
    <w:rsid w:val="76F7893A"/>
    <w:rsid w:val="77397001"/>
    <w:rsid w:val="77768886"/>
    <w:rsid w:val="77BE4024"/>
    <w:rsid w:val="77DF889A"/>
    <w:rsid w:val="77E69B90"/>
    <w:rsid w:val="77EFA41B"/>
    <w:rsid w:val="77FF2073"/>
    <w:rsid w:val="785C8F78"/>
    <w:rsid w:val="79BECF10"/>
    <w:rsid w:val="79E32A5D"/>
    <w:rsid w:val="7AAF3394"/>
    <w:rsid w:val="7B2B4666"/>
    <w:rsid w:val="7B7F15A6"/>
    <w:rsid w:val="7BB9D5E6"/>
    <w:rsid w:val="7BFDDD17"/>
    <w:rsid w:val="7D767644"/>
    <w:rsid w:val="7DAFE0E6"/>
    <w:rsid w:val="7DAFE975"/>
    <w:rsid w:val="7DDEABCD"/>
    <w:rsid w:val="7DFCAFF9"/>
    <w:rsid w:val="7DFFEFE6"/>
    <w:rsid w:val="7E3E3D43"/>
    <w:rsid w:val="7E5FA8C6"/>
    <w:rsid w:val="7F1D30E9"/>
    <w:rsid w:val="7F3C0C02"/>
    <w:rsid w:val="7FB728BA"/>
    <w:rsid w:val="7FE75DE3"/>
    <w:rsid w:val="7FEFD00E"/>
    <w:rsid w:val="7FEFF0BE"/>
    <w:rsid w:val="7FF66C54"/>
    <w:rsid w:val="7FF94D28"/>
    <w:rsid w:val="7FF9A2AD"/>
    <w:rsid w:val="7FFD80E4"/>
    <w:rsid w:val="97BF72DB"/>
    <w:rsid w:val="9CF76434"/>
    <w:rsid w:val="9D7BAEC7"/>
    <w:rsid w:val="9DFF9697"/>
    <w:rsid w:val="ADE6DCA8"/>
    <w:rsid w:val="ADF15935"/>
    <w:rsid w:val="B5FBB83D"/>
    <w:rsid w:val="BB7FAFDC"/>
    <w:rsid w:val="BBFF84E0"/>
    <w:rsid w:val="BE6D8972"/>
    <w:rsid w:val="BEDE4EAA"/>
    <w:rsid w:val="BEE31FE7"/>
    <w:rsid w:val="BF0BD1B4"/>
    <w:rsid w:val="BF95DD73"/>
    <w:rsid w:val="CEFF6731"/>
    <w:rsid w:val="CF77950A"/>
    <w:rsid w:val="D7EF27BC"/>
    <w:rsid w:val="D9F6CA55"/>
    <w:rsid w:val="DB46FCCB"/>
    <w:rsid w:val="DB847EBD"/>
    <w:rsid w:val="DBB754A7"/>
    <w:rsid w:val="DBDFE6F3"/>
    <w:rsid w:val="DBFB8870"/>
    <w:rsid w:val="DE717640"/>
    <w:rsid w:val="DFBF40F8"/>
    <w:rsid w:val="DFDEDC37"/>
    <w:rsid w:val="DFFFBDA1"/>
    <w:rsid w:val="E5EF8ADD"/>
    <w:rsid w:val="E5FF32BC"/>
    <w:rsid w:val="E7372EC2"/>
    <w:rsid w:val="E77EA288"/>
    <w:rsid w:val="E7C78E4B"/>
    <w:rsid w:val="E7FD1702"/>
    <w:rsid w:val="EABFA413"/>
    <w:rsid w:val="EBBF2E0D"/>
    <w:rsid w:val="EBF73C9B"/>
    <w:rsid w:val="EC7F7F73"/>
    <w:rsid w:val="ECCF6010"/>
    <w:rsid w:val="EE750B40"/>
    <w:rsid w:val="EEEA4DFA"/>
    <w:rsid w:val="EFEF2CE9"/>
    <w:rsid w:val="F52F1C2C"/>
    <w:rsid w:val="F7DC01E7"/>
    <w:rsid w:val="F7E6EE58"/>
    <w:rsid w:val="F7EF8236"/>
    <w:rsid w:val="F7F95FD8"/>
    <w:rsid w:val="F7FD5791"/>
    <w:rsid w:val="F7FF4AD4"/>
    <w:rsid w:val="F7FF64B5"/>
    <w:rsid w:val="F9BBC481"/>
    <w:rsid w:val="FAAF0E83"/>
    <w:rsid w:val="FBB3BE65"/>
    <w:rsid w:val="FBD7D61F"/>
    <w:rsid w:val="FBE55448"/>
    <w:rsid w:val="FBEF0DDF"/>
    <w:rsid w:val="FBFD8963"/>
    <w:rsid w:val="FC3EB649"/>
    <w:rsid w:val="FC5F9E77"/>
    <w:rsid w:val="FD383B92"/>
    <w:rsid w:val="FDF9B8B3"/>
    <w:rsid w:val="FDFF7EA2"/>
    <w:rsid w:val="FE7C6BE9"/>
    <w:rsid w:val="FE97EE05"/>
    <w:rsid w:val="FEF6F49E"/>
    <w:rsid w:val="FEF709AA"/>
    <w:rsid w:val="FEFBF92D"/>
    <w:rsid w:val="FF1D3D08"/>
    <w:rsid w:val="FF67CC2E"/>
    <w:rsid w:val="FF7BF71D"/>
    <w:rsid w:val="FF7CFA92"/>
    <w:rsid w:val="FFBD2065"/>
    <w:rsid w:val="FFBD3760"/>
    <w:rsid w:val="FFBF906D"/>
    <w:rsid w:val="FFC28761"/>
    <w:rsid w:val="FFCB2F65"/>
    <w:rsid w:val="FFE645A3"/>
    <w:rsid w:val="FFED6E49"/>
    <w:rsid w:val="FFEF140D"/>
    <w:rsid w:val="FFFF8C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Balloon Text"/>
    <w:basedOn w:val="1"/>
    <w:link w:val="8"/>
    <w:qFormat/>
    <w:uiPriority w:val="0"/>
    <w:rPr>
      <w:rFonts w:ascii="宋体" w:hAnsi="Calibri"/>
      <w:sz w:val="18"/>
      <w:szCs w:val="18"/>
    </w:rPr>
  </w:style>
  <w:style w:type="paragraph" w:styleId="3">
    <w:name w:val="footer"/>
    <w:basedOn w:val="1"/>
    <w:qFormat/>
    <w:uiPriority w:val="0"/>
    <w:pPr>
      <w:tabs>
        <w:tab w:val="center" w:pos="4153"/>
        <w:tab w:val="right" w:pos="8306"/>
      </w:tabs>
      <w:snapToGrid w:val="0"/>
      <w:jc w:val="left"/>
    </w:pPr>
    <w:rPr>
      <w:rFonts w:ascii="Calibri" w:hAnsi="Calibri"/>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Calibri" w:hAnsi="Calibri"/>
      <w:sz w:val="18"/>
    </w:rPr>
  </w:style>
  <w:style w:type="character" w:styleId="7">
    <w:name w:val="page number"/>
    <w:basedOn w:val="6"/>
    <w:qFormat/>
    <w:uiPriority w:val="0"/>
  </w:style>
  <w:style w:type="character" w:customStyle="1" w:styleId="8">
    <w:name w:val="批注框文本 字符"/>
    <w:link w:val="2"/>
    <w:qFormat/>
    <w:uiPriority w:val="0"/>
    <w:rPr>
      <w:rFonts w:ascii="宋体"/>
      <w:kern w:val="2"/>
      <w:sz w:val="18"/>
      <w:szCs w:val="18"/>
    </w:rPr>
  </w:style>
  <w:style w:type="paragraph" w:customStyle="1" w:styleId="9">
    <w:name w:val="正常"/>
    <w:qFormat/>
    <w:uiPriority w:val="0"/>
    <w:pPr>
      <w:framePr w:wrap="around" w:vAnchor="margin" w:hAnchor="text" w:y="1"/>
      <w:widowControl w:val="0"/>
      <w:jc w:val="both"/>
    </w:pPr>
    <w:rPr>
      <w:rFonts w:ascii="Calibri" w:hAnsi="Calibri" w:eastAsia="Calibri" w:cs="Calibri"/>
      <w:color w:val="000000"/>
      <w:kern w:val="2"/>
      <w:sz w:val="21"/>
      <w:szCs w:val="21"/>
      <w:u w:color="000000"/>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Users/zhangxiongxiong/Library/Containers/com.kingsoft.wpsoffice.mac/Data/C:\Users\zhangxiongxiong\Library\Containers\com.kingsoft.wpsoffice.mac\Data\C:\Users\lilychoo\Library\Containers\com.kingsoft.wpsoffice.mac\Data\D:\Users\liyaohua\Library\Containers\com.kingsoft.wpsoffice.mac\Data\D:\Users\liyaohua\Library\Group%20Containers\UBF8T346G9.Office\User%20Content.localized\Templates.localized\&#24503;&#24658;&#23458;&#25143;&#27719;&#25253;.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德恒客户汇报.dotx</Template>
  <Pages>4</Pages>
  <Words>1462</Words>
  <Characters>1491</Characters>
  <Lines>8</Lines>
  <Paragraphs>2</Paragraphs>
  <TotalTime>0</TotalTime>
  <ScaleCrop>false</ScaleCrop>
  <LinksUpToDate>false</LinksUpToDate>
  <CharactersWithSpaces>1629</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2020-04-05T10:32:00Z</dcterms:created>
  <dc:creator>Microsoft Office User</dc:creator>
  <cp:lastModifiedBy>德恒西安高新区张律师</cp:lastModifiedBy>
  <dcterms:modified xsi:type="dcterms:W3CDTF">2025-12-19T10:43:19Z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C919E43FC9F9D5EEA9CD6C674F61FA61_43</vt:lpwstr>
  </property>
  <property fmtid="{D5CDD505-2E9C-101B-9397-08002B2CF9AE}" pid="4" name="KSOTemplateDocerSaveRecord">
    <vt:lpwstr>eyJoZGlkIjoiNDljM2FjNjUyMDYyZmNkOTMzMDE1OWZkNTE4MDc5OGQiLCJ1c2VySWQiOiI2MzczMTYzMTIifQ==</vt:lpwstr>
  </property>
</Properties>
</file>