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2CD37">
      <w:pPr>
        <w:jc w:val="center"/>
        <w:rPr>
          <w:rFonts w:hint="eastAsia" w:ascii="黑体" w:hAnsi="黑体" w:eastAsia="黑体" w:cs="黑体"/>
          <w:b/>
          <w:bCs/>
          <w:color w:val="auto"/>
          <w:sz w:val="52"/>
          <w:szCs w:val="52"/>
        </w:rPr>
      </w:pPr>
    </w:p>
    <w:p w14:paraId="715252C3">
      <w:pPr>
        <w:jc w:val="center"/>
        <w:rPr>
          <w:rFonts w:hint="eastAsia" w:ascii="黑体" w:hAnsi="黑体" w:eastAsia="黑体" w:cs="黑体"/>
          <w:b/>
          <w:bCs/>
          <w:color w:val="auto"/>
          <w:sz w:val="52"/>
          <w:szCs w:val="52"/>
        </w:rPr>
      </w:pPr>
    </w:p>
    <w:p w14:paraId="2462F41A">
      <w:pPr>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西安市</w:t>
      </w:r>
      <w:r>
        <w:rPr>
          <w:rFonts w:hint="eastAsia" w:ascii="黑体" w:hAnsi="黑体" w:eastAsia="黑体" w:cs="黑体"/>
          <w:b/>
          <w:bCs/>
          <w:color w:val="auto"/>
          <w:sz w:val="52"/>
          <w:szCs w:val="52"/>
          <w:lang w:val="en-US" w:eastAsia="zh-CN"/>
        </w:rPr>
        <w:t>莲湖区</w:t>
      </w:r>
      <w:r>
        <w:rPr>
          <w:rFonts w:hint="eastAsia" w:ascii="黑体" w:hAnsi="黑体" w:eastAsia="黑体" w:cs="黑体"/>
          <w:b/>
          <w:bCs/>
          <w:color w:val="auto"/>
          <w:sz w:val="52"/>
          <w:szCs w:val="52"/>
        </w:rPr>
        <w:t>民政局</w:t>
      </w:r>
    </w:p>
    <w:p w14:paraId="6279CD54">
      <w:pPr>
        <w:jc w:val="center"/>
        <w:rPr>
          <w:rFonts w:hint="eastAsia" w:ascii="黑体" w:hAnsi="黑体" w:eastAsia="黑体" w:cs="黑体"/>
          <w:b/>
          <w:bCs/>
          <w:color w:val="auto"/>
          <w:sz w:val="44"/>
          <w:szCs w:val="44"/>
        </w:rPr>
      </w:pPr>
      <w:r>
        <w:rPr>
          <w:rFonts w:hint="eastAsia" w:ascii="黑体" w:hAnsi="黑体" w:eastAsia="黑体" w:cs="黑体"/>
          <w:b/>
          <w:bCs/>
          <w:color w:val="auto"/>
          <w:sz w:val="52"/>
          <w:szCs w:val="52"/>
          <w:lang w:val="en-US" w:eastAsia="zh-CN"/>
        </w:rPr>
        <w:t>2025</w:t>
      </w:r>
      <w:r>
        <w:rPr>
          <w:rFonts w:hint="eastAsia" w:ascii="黑体" w:hAnsi="黑体" w:eastAsia="黑体" w:cs="黑体"/>
          <w:b/>
          <w:bCs/>
          <w:color w:val="auto"/>
          <w:sz w:val="52"/>
          <w:szCs w:val="52"/>
          <w:lang w:eastAsia="zh-CN"/>
        </w:rPr>
        <w:t>—</w:t>
      </w:r>
      <w:r>
        <w:rPr>
          <w:rFonts w:hint="eastAsia" w:ascii="黑体" w:hAnsi="黑体" w:eastAsia="黑体" w:cs="黑体"/>
          <w:b/>
          <w:bCs/>
          <w:color w:val="auto"/>
          <w:sz w:val="52"/>
          <w:szCs w:val="52"/>
          <w:lang w:val="en-US" w:eastAsia="zh-CN"/>
        </w:rPr>
        <w:t>2026年</w:t>
      </w:r>
      <w:r>
        <w:rPr>
          <w:rFonts w:hint="eastAsia" w:ascii="黑体" w:hAnsi="黑体" w:eastAsia="黑体" w:cs="黑体"/>
          <w:b/>
          <w:bCs/>
          <w:color w:val="auto"/>
          <w:sz w:val="52"/>
          <w:szCs w:val="52"/>
        </w:rPr>
        <w:t>路牌保洁维护</w:t>
      </w:r>
      <w:r>
        <w:rPr>
          <w:rFonts w:hint="eastAsia" w:ascii="黑体" w:hAnsi="黑体" w:eastAsia="黑体" w:cs="黑体"/>
          <w:b/>
          <w:bCs/>
          <w:color w:val="auto"/>
          <w:sz w:val="52"/>
          <w:szCs w:val="52"/>
          <w:lang w:val="en-US" w:eastAsia="zh-CN"/>
        </w:rPr>
        <w:t>及</w:t>
      </w:r>
      <w:r>
        <w:rPr>
          <w:rFonts w:hint="eastAsia" w:ascii="黑体" w:hAnsi="黑体" w:eastAsia="黑体" w:cs="黑体"/>
          <w:b/>
          <w:bCs/>
          <w:color w:val="auto"/>
          <w:sz w:val="52"/>
          <w:szCs w:val="52"/>
        </w:rPr>
        <w:t>设置维修项目</w:t>
      </w:r>
    </w:p>
    <w:p w14:paraId="52C1E664">
      <w:pPr>
        <w:jc w:val="center"/>
        <w:rPr>
          <w:rFonts w:hint="eastAsia" w:ascii="黑体" w:hAnsi="黑体" w:eastAsia="黑体" w:cs="黑体"/>
          <w:b/>
          <w:bCs/>
          <w:color w:val="auto"/>
          <w:sz w:val="72"/>
          <w:szCs w:val="72"/>
        </w:rPr>
      </w:pPr>
    </w:p>
    <w:p w14:paraId="087EC2BA">
      <w:pPr>
        <w:jc w:val="center"/>
        <w:rPr>
          <w:rFonts w:hint="eastAsia" w:ascii="黑体" w:hAnsi="黑体" w:eastAsia="黑体" w:cs="黑体"/>
          <w:b/>
          <w:bCs/>
          <w:color w:val="auto"/>
          <w:sz w:val="72"/>
          <w:szCs w:val="72"/>
        </w:rPr>
      </w:pPr>
    </w:p>
    <w:p w14:paraId="2130AF68">
      <w:pPr>
        <w:jc w:val="center"/>
        <w:rPr>
          <w:rFonts w:hint="eastAsia" w:ascii="黑体" w:hAnsi="黑体" w:eastAsia="黑体" w:cs="黑体"/>
          <w:color w:val="auto"/>
          <w:sz w:val="52"/>
          <w:szCs w:val="52"/>
        </w:rPr>
      </w:pPr>
      <w:r>
        <w:rPr>
          <w:rFonts w:hint="eastAsia" w:ascii="黑体" w:hAnsi="黑体" w:eastAsia="黑体" w:cs="黑体"/>
          <w:b/>
          <w:bCs/>
          <w:color w:val="auto"/>
          <w:sz w:val="72"/>
          <w:szCs w:val="72"/>
        </w:rPr>
        <w:t>服  务  合  同</w:t>
      </w:r>
    </w:p>
    <w:p w14:paraId="4F29C234">
      <w:pPr>
        <w:spacing w:before="312" w:beforeLines="100" w:after="100" w:afterAutospacing="1" w:line="120" w:lineRule="atLeast"/>
        <w:ind w:left="540" w:leftChars="257"/>
        <w:rPr>
          <w:rFonts w:hint="eastAsia" w:ascii="宋体" w:hAnsi="宋体"/>
          <w:b/>
          <w:color w:val="auto"/>
          <w:sz w:val="24"/>
        </w:rPr>
      </w:pPr>
    </w:p>
    <w:p w14:paraId="4F0F3138">
      <w:pPr>
        <w:spacing w:before="312" w:beforeLines="100" w:after="100" w:afterAutospacing="1" w:line="120" w:lineRule="atLeast"/>
        <w:ind w:left="540" w:leftChars="257"/>
        <w:rPr>
          <w:rFonts w:hint="eastAsia" w:ascii="宋体" w:hAnsi="宋体"/>
          <w:b/>
          <w:color w:val="auto"/>
          <w:sz w:val="24"/>
        </w:rPr>
      </w:pPr>
    </w:p>
    <w:p w14:paraId="19DB4C73">
      <w:pPr>
        <w:spacing w:before="312" w:beforeLines="100" w:after="100" w:afterAutospacing="1" w:line="120" w:lineRule="atLeast"/>
        <w:ind w:left="540" w:leftChars="257"/>
        <w:rPr>
          <w:rFonts w:hint="eastAsia" w:ascii="宋体" w:hAnsi="宋体"/>
          <w:b/>
          <w:color w:val="auto"/>
          <w:sz w:val="24"/>
        </w:rPr>
      </w:pPr>
    </w:p>
    <w:p w14:paraId="7A0ACBF8">
      <w:pPr>
        <w:spacing w:before="312" w:beforeLines="100" w:after="100" w:afterAutospacing="1" w:line="120" w:lineRule="atLeast"/>
        <w:ind w:left="540" w:leftChars="257"/>
        <w:rPr>
          <w:rFonts w:hint="eastAsia" w:ascii="宋体" w:hAnsi="宋体"/>
          <w:b/>
          <w:color w:val="auto"/>
          <w:sz w:val="24"/>
        </w:rPr>
      </w:pPr>
    </w:p>
    <w:p w14:paraId="07CD0ED5">
      <w:pPr>
        <w:spacing w:before="312" w:beforeLines="100" w:after="100" w:afterAutospacing="1" w:line="120" w:lineRule="atLeast"/>
        <w:ind w:left="540" w:leftChars="257"/>
        <w:rPr>
          <w:rFonts w:hint="eastAsia" w:ascii="宋体" w:hAnsi="宋体"/>
          <w:b/>
          <w:color w:val="auto"/>
          <w:sz w:val="24"/>
        </w:rPr>
      </w:pPr>
    </w:p>
    <w:p w14:paraId="677DAD48">
      <w:pPr>
        <w:spacing w:before="312" w:beforeLines="100" w:after="100" w:afterAutospacing="1" w:line="120" w:lineRule="atLeast"/>
        <w:ind w:left="540" w:leftChars="257"/>
        <w:rPr>
          <w:rFonts w:hint="eastAsia" w:ascii="宋体" w:hAnsi="宋体"/>
          <w:b/>
          <w:color w:val="auto"/>
          <w:sz w:val="24"/>
        </w:rPr>
      </w:pPr>
    </w:p>
    <w:p w14:paraId="30E99FFF">
      <w:pPr>
        <w:spacing w:before="312" w:beforeLines="100" w:after="100" w:afterAutospacing="1" w:line="120" w:lineRule="atLeast"/>
        <w:ind w:left="540" w:leftChars="257"/>
        <w:rPr>
          <w:rFonts w:hint="eastAsia" w:ascii="宋体" w:hAnsi="宋体"/>
          <w:b/>
          <w:color w:val="auto"/>
          <w:sz w:val="24"/>
        </w:rPr>
      </w:pPr>
    </w:p>
    <w:p w14:paraId="472F3A8E">
      <w:pPr>
        <w:spacing w:before="312" w:beforeLines="100" w:after="100" w:afterAutospacing="1" w:line="120" w:lineRule="atLeast"/>
        <w:ind w:left="540" w:leftChars="257"/>
        <w:rPr>
          <w:rFonts w:hint="eastAsia" w:ascii="宋体" w:hAnsi="宋体"/>
          <w:b/>
          <w:color w:val="auto"/>
          <w:sz w:val="24"/>
        </w:rPr>
      </w:pPr>
    </w:p>
    <w:p w14:paraId="22905842">
      <w:pPr>
        <w:spacing w:before="312" w:beforeLines="100" w:after="100" w:afterAutospacing="1" w:line="120" w:lineRule="atLeast"/>
        <w:ind w:left="540" w:leftChars="257"/>
        <w:rPr>
          <w:rFonts w:hint="eastAsia" w:ascii="宋体" w:hAnsi="宋体"/>
          <w:b/>
          <w:color w:val="auto"/>
          <w:sz w:val="24"/>
        </w:rPr>
      </w:pPr>
    </w:p>
    <w:p w14:paraId="6C72EEB6">
      <w:pPr>
        <w:spacing w:before="312" w:beforeLines="100" w:after="100" w:afterAutospacing="1" w:line="120" w:lineRule="atLeast"/>
        <w:rPr>
          <w:rFonts w:hint="eastAsia" w:ascii="宋体" w:hAnsi="宋体"/>
          <w:b/>
          <w:color w:val="auto"/>
          <w:sz w:val="24"/>
        </w:rPr>
      </w:pPr>
    </w:p>
    <w:p w14:paraId="39AB31D9">
      <w:pPr>
        <w:numPr>
          <w:ilvl w:val="0"/>
          <w:numId w:val="0"/>
        </w:numPr>
        <w:spacing w:before="312" w:beforeLines="100" w:after="100" w:afterAutospacing="1" w:line="120" w:lineRule="atLeast"/>
        <w:ind w:firstLine="3213" w:firstLineChars="1000"/>
        <w:rPr>
          <w:rFonts w:hint="eastAsia" w:ascii="宋体" w:hAnsi="宋体"/>
          <w:b/>
          <w:bCs w:val="0"/>
          <w:color w:val="auto"/>
          <w:sz w:val="32"/>
          <w:szCs w:val="32"/>
          <w:lang w:val="en-US" w:eastAsia="zh-CN"/>
        </w:rPr>
      </w:pPr>
      <w:r>
        <w:rPr>
          <w:rFonts w:hint="eastAsia" w:ascii="宋体" w:hAnsi="宋体"/>
          <w:b/>
          <w:bCs w:val="0"/>
          <w:color w:val="auto"/>
          <w:sz w:val="32"/>
          <w:szCs w:val="32"/>
          <w:lang w:val="en-US" w:eastAsia="zh-CN"/>
        </w:rPr>
        <w:t>第一部分   保洁维护</w:t>
      </w:r>
    </w:p>
    <w:p w14:paraId="46362AA1">
      <w:pPr>
        <w:numPr>
          <w:ilvl w:val="0"/>
          <w:numId w:val="0"/>
        </w:numPr>
        <w:spacing w:before="312" w:beforeLines="100" w:after="100" w:afterAutospacing="1" w:line="120" w:lineRule="atLeast"/>
        <w:ind w:firstLine="482" w:firstLineChars="200"/>
        <w:rPr>
          <w:rFonts w:hint="default" w:ascii="宋体" w:hAnsi="宋体"/>
          <w:b/>
          <w:color w:val="auto"/>
          <w:sz w:val="24"/>
          <w:u w:val="single"/>
          <w:lang w:val="en-US"/>
        </w:rPr>
      </w:pPr>
      <w:r>
        <w:rPr>
          <w:rFonts w:hint="eastAsia" w:ascii="宋体" w:hAnsi="宋体"/>
          <w:b/>
          <w:color w:val="auto"/>
          <w:sz w:val="24"/>
        </w:rPr>
        <w:t>甲方</w:t>
      </w:r>
      <w:r>
        <w:rPr>
          <w:rFonts w:hint="eastAsia" w:ascii="宋体" w:hAnsi="宋体"/>
          <w:b/>
          <w:color w:val="auto"/>
          <w:sz w:val="24"/>
          <w:lang w:eastAsia="zh-CN"/>
        </w:rPr>
        <w:t>（</w:t>
      </w:r>
      <w:r>
        <w:rPr>
          <w:rFonts w:hint="eastAsia" w:ascii="宋体" w:hAnsi="宋体"/>
          <w:b/>
          <w:color w:val="auto"/>
          <w:sz w:val="24"/>
          <w:lang w:val="en-US" w:eastAsia="zh-CN"/>
        </w:rPr>
        <w:t>采购人</w:t>
      </w:r>
      <w:r>
        <w:rPr>
          <w:rFonts w:hint="eastAsia" w:ascii="宋体" w:hAnsi="宋体"/>
          <w:b/>
          <w:color w:val="auto"/>
          <w:sz w:val="24"/>
          <w:lang w:eastAsia="zh-CN"/>
        </w:rPr>
        <w:t>）</w:t>
      </w:r>
      <w:r>
        <w:rPr>
          <w:rFonts w:hint="eastAsia" w:ascii="宋体" w:hAnsi="宋体"/>
          <w:b/>
          <w:color w:val="auto"/>
          <w:sz w:val="24"/>
        </w:rPr>
        <w:t>：</w:t>
      </w:r>
      <w:r>
        <w:rPr>
          <w:rFonts w:hint="eastAsia" w:ascii="宋体" w:hAnsi="宋体"/>
          <w:b/>
          <w:color w:val="auto"/>
          <w:sz w:val="24"/>
          <w:lang w:val="en-US" w:eastAsia="zh-CN"/>
        </w:rPr>
        <w:t xml:space="preserve"> </w:t>
      </w:r>
      <w:r>
        <w:rPr>
          <w:rFonts w:hint="eastAsia" w:ascii="宋体" w:hAnsi="宋体"/>
          <w:b/>
          <w:color w:val="auto"/>
          <w:sz w:val="24"/>
          <w:u w:val="single"/>
        </w:rPr>
        <w:t>西安市莲湖区</w:t>
      </w:r>
      <w:r>
        <w:rPr>
          <w:rFonts w:hint="eastAsia" w:ascii="宋体" w:hAnsi="宋体"/>
          <w:b/>
          <w:color w:val="auto"/>
          <w:sz w:val="24"/>
          <w:u w:val="single"/>
          <w:lang w:eastAsia="zh-CN"/>
        </w:rPr>
        <w:t>民政局</w:t>
      </w:r>
      <w:r>
        <w:rPr>
          <w:rFonts w:hint="eastAsia" w:ascii="宋体" w:hAnsi="宋体"/>
          <w:b/>
          <w:color w:val="auto"/>
          <w:sz w:val="24"/>
          <w:u w:val="single"/>
          <w:lang w:val="en-US" w:eastAsia="zh-CN"/>
        </w:rPr>
        <w:t xml:space="preserve">             </w:t>
      </w:r>
    </w:p>
    <w:p w14:paraId="1B5FD86D">
      <w:pPr>
        <w:spacing w:before="100" w:beforeAutospacing="1" w:after="312" w:afterLines="100" w:line="120" w:lineRule="atLeast"/>
        <w:ind w:left="540" w:leftChars="257"/>
        <w:rPr>
          <w:rFonts w:ascii="宋体" w:hAnsi="宋体"/>
          <w:b/>
          <w:color w:val="auto"/>
          <w:sz w:val="24"/>
        </w:rPr>
      </w:pPr>
      <w:r>
        <w:rPr>
          <w:rFonts w:hint="eastAsia" w:ascii="宋体" w:hAnsi="宋体"/>
          <w:b/>
          <w:color w:val="auto"/>
          <w:sz w:val="24"/>
        </w:rPr>
        <w:t>乙方</w:t>
      </w:r>
      <w:r>
        <w:rPr>
          <w:rFonts w:hint="eastAsia" w:ascii="宋体" w:hAnsi="宋体"/>
          <w:b/>
          <w:color w:val="auto"/>
          <w:sz w:val="24"/>
          <w:lang w:eastAsia="zh-CN"/>
        </w:rPr>
        <w:t>（</w:t>
      </w:r>
      <w:r>
        <w:rPr>
          <w:rFonts w:hint="eastAsia" w:ascii="宋体" w:hAnsi="宋体"/>
          <w:b/>
          <w:color w:val="auto"/>
          <w:sz w:val="24"/>
          <w:lang w:val="en-US" w:eastAsia="zh-CN"/>
        </w:rPr>
        <w:t>供应商</w:t>
      </w:r>
      <w:r>
        <w:rPr>
          <w:rFonts w:hint="eastAsia" w:ascii="宋体" w:hAnsi="宋体"/>
          <w:b/>
          <w:color w:val="auto"/>
          <w:sz w:val="24"/>
          <w:lang w:eastAsia="zh-CN"/>
        </w:rPr>
        <w:t>）</w:t>
      </w:r>
      <w:r>
        <w:rPr>
          <w:rFonts w:hint="eastAsia" w:ascii="宋体" w:hAnsi="宋体"/>
          <w:b/>
          <w:color w:val="auto"/>
          <w:sz w:val="24"/>
        </w:rPr>
        <w:t>：</w:t>
      </w:r>
      <w:r>
        <w:rPr>
          <w:rFonts w:hint="eastAsia" w:ascii="宋体" w:hAnsi="宋体"/>
          <w:b/>
          <w:color w:val="auto"/>
          <w:sz w:val="24"/>
          <w:u w:val="single"/>
        </w:rPr>
        <w:t xml:space="preserve"> 陕西宸逸贵建筑工程有限公司      </w:t>
      </w:r>
    </w:p>
    <w:p w14:paraId="4796CA6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按照政府采购程序组织竞争性磋商，确定乙方为</w:t>
      </w:r>
      <w:r>
        <w:rPr>
          <w:rFonts w:hint="eastAsia"/>
          <w:color w:val="auto"/>
          <w:sz w:val="24"/>
          <w:lang w:eastAsia="zh-CN"/>
        </w:rPr>
        <w:t>莲湖区路牌保洁维护、设置维修项目</w:t>
      </w:r>
      <w:r>
        <w:rPr>
          <w:rFonts w:hint="eastAsia"/>
          <w:color w:val="auto"/>
          <w:sz w:val="24"/>
        </w:rPr>
        <w:t>(项目编号:SXWXZBDL202</w:t>
      </w:r>
      <w:r>
        <w:rPr>
          <w:rFonts w:hint="eastAsia"/>
          <w:color w:val="auto"/>
          <w:sz w:val="24"/>
          <w:lang w:val="en-US" w:eastAsia="zh-CN"/>
        </w:rPr>
        <w:t>5</w:t>
      </w:r>
      <w:r>
        <w:rPr>
          <w:rFonts w:hint="eastAsia"/>
          <w:color w:val="auto"/>
          <w:sz w:val="24"/>
        </w:rPr>
        <w:t>-10</w:t>
      </w:r>
      <w:r>
        <w:rPr>
          <w:rFonts w:hint="eastAsia"/>
          <w:color w:val="auto"/>
          <w:sz w:val="24"/>
          <w:lang w:val="en-US" w:eastAsia="zh-CN"/>
        </w:rPr>
        <w:t>11</w:t>
      </w:r>
      <w:r>
        <w:rPr>
          <w:rFonts w:hint="eastAsia"/>
          <w:color w:val="auto"/>
          <w:sz w:val="24"/>
        </w:rPr>
        <w:t>)的中标服务商。依据《中华人民共和国政府采购法》、《中华人民共和国民法典》以及</w:t>
      </w:r>
      <w:r>
        <w:rPr>
          <w:rFonts w:hint="eastAsia"/>
          <w:color w:val="auto"/>
          <w:sz w:val="24"/>
          <w:lang w:val="en-US" w:eastAsia="zh-CN"/>
        </w:rPr>
        <w:t>竞争性磋商文件</w:t>
      </w:r>
      <w:r>
        <w:rPr>
          <w:rFonts w:hint="eastAsia"/>
          <w:color w:val="auto"/>
          <w:sz w:val="24"/>
        </w:rPr>
        <w:t>、</w:t>
      </w:r>
      <w:r>
        <w:rPr>
          <w:rFonts w:hint="eastAsia"/>
          <w:color w:val="auto"/>
          <w:sz w:val="24"/>
          <w:lang w:val="en-US" w:eastAsia="zh-CN"/>
        </w:rPr>
        <w:t>成交</w:t>
      </w:r>
      <w:r>
        <w:rPr>
          <w:rFonts w:hint="eastAsia"/>
          <w:color w:val="auto"/>
          <w:sz w:val="24"/>
        </w:rPr>
        <w:t>通知书，经甲、乙双方协商，达成如下合同条款。</w:t>
      </w:r>
    </w:p>
    <w:p w14:paraId="51C6BF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4"/>
          <w:lang w:eastAsia="zh-CN"/>
        </w:rPr>
      </w:pPr>
      <w:r>
        <w:rPr>
          <w:rFonts w:hint="eastAsia" w:ascii="黑体" w:hAnsi="黑体" w:eastAsia="黑体" w:cs="黑体"/>
          <w:color w:val="auto"/>
          <w:sz w:val="24"/>
        </w:rPr>
        <w:t>一、 合同标的物内容合同</w:t>
      </w:r>
      <w:r>
        <w:rPr>
          <w:rFonts w:hint="eastAsia" w:ascii="黑体" w:hAnsi="黑体" w:eastAsia="黑体" w:cs="黑体"/>
          <w:color w:val="auto"/>
          <w:sz w:val="24"/>
          <w:lang w:val="en-US" w:eastAsia="zh-CN"/>
        </w:rPr>
        <w:t>总价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2724"/>
        <w:gridCol w:w="2131"/>
      </w:tblGrid>
      <w:tr w14:paraId="528D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tcBorders>
              <w:top w:val="single" w:color="auto" w:sz="4" w:space="0"/>
              <w:left w:val="single" w:color="auto" w:sz="4" w:space="0"/>
              <w:bottom w:val="single" w:color="auto" w:sz="4" w:space="0"/>
              <w:right w:val="single" w:color="auto" w:sz="4" w:space="0"/>
            </w:tcBorders>
            <w:noWrap w:val="0"/>
            <w:vAlign w:val="top"/>
          </w:tcPr>
          <w:p w14:paraId="5E882DCC">
            <w:pPr>
              <w:spacing w:line="400" w:lineRule="exact"/>
              <w:jc w:val="center"/>
              <w:rPr>
                <w:rFonts w:hint="eastAsia"/>
                <w:color w:val="auto"/>
                <w:sz w:val="24"/>
              </w:rPr>
            </w:pPr>
            <w:r>
              <w:rPr>
                <w:rFonts w:hint="eastAsia"/>
                <w:color w:val="auto"/>
                <w:sz w:val="24"/>
              </w:rPr>
              <w:t>序号</w:t>
            </w:r>
          </w:p>
        </w:tc>
        <w:tc>
          <w:tcPr>
            <w:tcW w:w="2724" w:type="dxa"/>
            <w:tcBorders>
              <w:top w:val="single" w:color="auto" w:sz="4" w:space="0"/>
              <w:left w:val="single" w:color="auto" w:sz="4" w:space="0"/>
              <w:bottom w:val="single" w:color="auto" w:sz="4" w:space="0"/>
              <w:right w:val="single" w:color="auto" w:sz="4" w:space="0"/>
            </w:tcBorders>
            <w:noWrap w:val="0"/>
            <w:vAlign w:val="top"/>
          </w:tcPr>
          <w:p w14:paraId="39949563">
            <w:pPr>
              <w:spacing w:line="400" w:lineRule="exact"/>
              <w:jc w:val="center"/>
              <w:rPr>
                <w:rFonts w:hint="eastAsia"/>
                <w:color w:val="auto"/>
                <w:sz w:val="24"/>
              </w:rPr>
            </w:pPr>
            <w:r>
              <w:rPr>
                <w:rFonts w:hint="eastAsia"/>
                <w:color w:val="auto"/>
                <w:sz w:val="24"/>
              </w:rPr>
              <w:t>服务名称</w:t>
            </w:r>
          </w:p>
        </w:tc>
        <w:tc>
          <w:tcPr>
            <w:tcW w:w="2131" w:type="dxa"/>
            <w:tcBorders>
              <w:top w:val="single" w:color="auto" w:sz="4" w:space="0"/>
              <w:left w:val="single" w:color="auto" w:sz="4" w:space="0"/>
              <w:bottom w:val="single" w:color="auto" w:sz="4" w:space="0"/>
              <w:right w:val="single" w:color="auto" w:sz="4" w:space="0"/>
            </w:tcBorders>
            <w:noWrap w:val="0"/>
            <w:vAlign w:val="top"/>
          </w:tcPr>
          <w:p w14:paraId="3209300D">
            <w:pPr>
              <w:spacing w:line="400" w:lineRule="exact"/>
              <w:jc w:val="center"/>
              <w:rPr>
                <w:rFonts w:hint="eastAsia"/>
                <w:color w:val="auto"/>
                <w:sz w:val="24"/>
              </w:rPr>
            </w:pPr>
            <w:r>
              <w:rPr>
                <w:rFonts w:hint="eastAsia"/>
                <w:color w:val="auto"/>
                <w:sz w:val="24"/>
              </w:rPr>
              <w:t>合同</w:t>
            </w:r>
            <w:r>
              <w:rPr>
                <w:rFonts w:hint="eastAsia"/>
                <w:color w:val="auto"/>
                <w:sz w:val="24"/>
                <w:lang w:val="en-US" w:eastAsia="zh-CN"/>
              </w:rPr>
              <w:t>总价</w:t>
            </w:r>
            <w:r>
              <w:rPr>
                <w:rFonts w:hint="eastAsia"/>
                <w:color w:val="auto"/>
                <w:sz w:val="24"/>
              </w:rPr>
              <w:t>（元）</w:t>
            </w:r>
          </w:p>
        </w:tc>
      </w:tr>
      <w:tr w14:paraId="47A2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top"/>
          </w:tcPr>
          <w:p w14:paraId="1AA8C3E0">
            <w:pPr>
              <w:spacing w:line="400" w:lineRule="exact"/>
              <w:jc w:val="center"/>
              <w:rPr>
                <w:rFonts w:hint="eastAsia"/>
                <w:color w:val="auto"/>
                <w:sz w:val="24"/>
              </w:rPr>
            </w:pPr>
            <w:r>
              <w:rPr>
                <w:rFonts w:hint="eastAsia"/>
                <w:color w:val="auto"/>
                <w:sz w:val="24"/>
              </w:rPr>
              <w:t>1</w:t>
            </w:r>
          </w:p>
        </w:tc>
        <w:tc>
          <w:tcPr>
            <w:tcW w:w="2724" w:type="dxa"/>
            <w:tcBorders>
              <w:top w:val="single" w:color="auto" w:sz="4" w:space="0"/>
              <w:left w:val="single" w:color="auto" w:sz="4" w:space="0"/>
              <w:bottom w:val="single" w:color="auto" w:sz="4" w:space="0"/>
              <w:right w:val="single" w:color="auto" w:sz="4" w:space="0"/>
            </w:tcBorders>
            <w:noWrap w:val="0"/>
            <w:vAlign w:val="top"/>
          </w:tcPr>
          <w:p w14:paraId="38ED3E30">
            <w:pPr>
              <w:spacing w:line="400" w:lineRule="exact"/>
              <w:jc w:val="center"/>
              <w:rPr>
                <w:rFonts w:hint="default" w:eastAsia="宋体"/>
                <w:color w:val="auto"/>
                <w:sz w:val="24"/>
                <w:lang w:val="en-US" w:eastAsia="zh-CN"/>
              </w:rPr>
            </w:pPr>
            <w:r>
              <w:rPr>
                <w:rFonts w:hint="eastAsia"/>
                <w:color w:val="auto"/>
                <w:sz w:val="24"/>
                <w:lang w:val="en-US" w:eastAsia="zh-CN"/>
              </w:rPr>
              <w:t>路牌保洁维护</w:t>
            </w:r>
          </w:p>
        </w:tc>
        <w:tc>
          <w:tcPr>
            <w:tcW w:w="2131" w:type="dxa"/>
            <w:tcBorders>
              <w:top w:val="single" w:color="auto" w:sz="4" w:space="0"/>
              <w:left w:val="single" w:color="auto" w:sz="4" w:space="0"/>
              <w:bottom w:val="single" w:color="auto" w:sz="4" w:space="0"/>
              <w:right w:val="single" w:color="auto" w:sz="4" w:space="0"/>
            </w:tcBorders>
            <w:noWrap w:val="0"/>
            <w:vAlign w:val="top"/>
          </w:tcPr>
          <w:p w14:paraId="4893DACF">
            <w:pPr>
              <w:spacing w:line="400" w:lineRule="exact"/>
              <w:jc w:val="center"/>
              <w:rPr>
                <w:color w:val="auto"/>
                <w:sz w:val="24"/>
              </w:rPr>
            </w:pPr>
            <w:r>
              <w:rPr>
                <w:rFonts w:hint="eastAsia"/>
                <w:color w:val="auto"/>
                <w:sz w:val="24"/>
              </w:rPr>
              <w:t>195990.00</w:t>
            </w:r>
          </w:p>
        </w:tc>
      </w:tr>
    </w:tbl>
    <w:p w14:paraId="1A6691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4"/>
        </w:rPr>
      </w:pPr>
      <w:r>
        <w:rPr>
          <w:rFonts w:hint="eastAsia" w:ascii="黑体" w:hAnsi="黑体" w:eastAsia="黑体" w:cs="黑体"/>
          <w:color w:val="auto"/>
          <w:sz w:val="24"/>
        </w:rPr>
        <w:t>二、项目实施地点及期限:</w:t>
      </w:r>
    </w:p>
    <w:p w14:paraId="3E4B701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eastAsia="宋体"/>
          <w:color w:val="auto"/>
          <w:sz w:val="24"/>
          <w:u w:val="single"/>
          <w:lang w:val="en-US" w:eastAsia="zh-CN"/>
        </w:rPr>
      </w:pPr>
      <w:r>
        <w:rPr>
          <w:rFonts w:hint="eastAsia"/>
          <w:color w:val="auto"/>
          <w:sz w:val="24"/>
        </w:rPr>
        <w:t>（一）实施地点:</w:t>
      </w:r>
      <w:r>
        <w:rPr>
          <w:rFonts w:hint="eastAsia"/>
          <w:color w:val="auto"/>
          <w:sz w:val="24"/>
          <w:lang w:val="en-US" w:eastAsia="zh-CN"/>
        </w:rPr>
        <w:t xml:space="preserve"> </w:t>
      </w:r>
      <w:r>
        <w:rPr>
          <w:rFonts w:hint="eastAsia"/>
          <w:color w:val="auto"/>
          <w:sz w:val="24"/>
          <w:u w:val="single"/>
          <w:lang w:val="en-US" w:eastAsia="zh-CN"/>
        </w:rPr>
        <w:t xml:space="preserve">    莲湖区辖区内所有路牌                  </w:t>
      </w:r>
    </w:p>
    <w:p w14:paraId="0492392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eastAsia="宋体"/>
          <w:color w:val="auto"/>
          <w:sz w:val="24"/>
          <w:u w:val="single"/>
          <w:lang w:val="en-US" w:eastAsia="zh-CN"/>
        </w:rPr>
      </w:pPr>
      <w:r>
        <w:rPr>
          <w:rFonts w:hint="eastAsia"/>
          <w:color w:val="auto"/>
          <w:sz w:val="24"/>
        </w:rPr>
        <w:t xml:space="preserve">（二）合同期限: </w:t>
      </w:r>
      <w:r>
        <w:rPr>
          <w:rFonts w:hint="eastAsia"/>
          <w:color w:val="auto"/>
          <w:sz w:val="24"/>
          <w:u w:val="single"/>
          <w:lang w:val="en-US" w:eastAsia="zh-CN"/>
        </w:rPr>
        <w:t xml:space="preserve">    2025年9月30日-2026年8月31日             </w:t>
      </w:r>
    </w:p>
    <w:p w14:paraId="5544F26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4"/>
        </w:rPr>
      </w:pPr>
      <w:r>
        <w:rPr>
          <w:rFonts w:hint="eastAsia" w:ascii="黑体" w:hAnsi="黑体" w:eastAsia="黑体" w:cs="黑体"/>
          <w:color w:val="auto"/>
          <w:sz w:val="24"/>
        </w:rPr>
        <w:t>三、合同价款</w:t>
      </w:r>
    </w:p>
    <w:p w14:paraId="320E22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（一）合同</w:t>
      </w:r>
      <w:r>
        <w:rPr>
          <w:rFonts w:hint="eastAsia"/>
          <w:color w:val="auto"/>
          <w:sz w:val="24"/>
          <w:lang w:val="en-US" w:eastAsia="zh-CN"/>
        </w:rPr>
        <w:t>总</w:t>
      </w:r>
      <w:r>
        <w:rPr>
          <w:rFonts w:hint="eastAsia"/>
          <w:color w:val="auto"/>
          <w:sz w:val="24"/>
        </w:rPr>
        <w:t>价为人民币（大写）：</w:t>
      </w:r>
      <w:r>
        <w:rPr>
          <w:rFonts w:hint="eastAsia"/>
          <w:color w:val="auto"/>
          <w:sz w:val="24"/>
          <w:u w:val="single"/>
          <w:lang w:val="en-US" w:eastAsia="zh-CN"/>
        </w:rPr>
        <w:t xml:space="preserve">   拾玖万伍仟玖佰玖拾元   </w:t>
      </w:r>
      <w:r>
        <w:rPr>
          <w:rFonts w:hint="eastAsia"/>
          <w:color w:val="auto"/>
          <w:sz w:val="24"/>
        </w:rPr>
        <w:t>（￥</w:t>
      </w:r>
      <w:r>
        <w:rPr>
          <w:rFonts w:hint="eastAsia"/>
          <w:color w:val="auto"/>
          <w:sz w:val="24"/>
          <w:u w:val="single"/>
          <w:lang w:val="en-US" w:eastAsia="zh-CN"/>
        </w:rPr>
        <w:t xml:space="preserve">   195990     </w:t>
      </w:r>
      <w:r>
        <w:rPr>
          <w:rFonts w:hint="eastAsia"/>
          <w:color w:val="auto"/>
          <w:sz w:val="24"/>
        </w:rPr>
        <w:t>元）。</w:t>
      </w:r>
    </w:p>
    <w:p w14:paraId="17FBFD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w:t>
      </w:r>
      <w:r>
        <w:rPr>
          <w:rFonts w:hint="eastAsia"/>
          <w:color w:val="auto"/>
          <w:sz w:val="24"/>
          <w:lang w:val="en-US" w:eastAsia="zh-CN"/>
        </w:rPr>
        <w:t>二</w:t>
      </w:r>
      <w:r>
        <w:rPr>
          <w:rFonts w:hint="eastAsia"/>
          <w:color w:val="auto"/>
          <w:sz w:val="24"/>
        </w:rPr>
        <w:t>）合同总价一次性包死，不受市场价格变化因素的影响。</w:t>
      </w:r>
    </w:p>
    <w:p w14:paraId="3D364A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4"/>
        </w:rPr>
      </w:pPr>
      <w:r>
        <w:rPr>
          <w:rFonts w:hint="eastAsia" w:ascii="黑体" w:hAnsi="黑体" w:eastAsia="黑体" w:cs="黑体"/>
          <w:color w:val="auto"/>
          <w:sz w:val="24"/>
        </w:rPr>
        <w:t>四、款项结算</w:t>
      </w:r>
    </w:p>
    <w:p w14:paraId="4CEB3D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（一）</w:t>
      </w:r>
      <w:r>
        <w:rPr>
          <w:rFonts w:hint="eastAsia" w:ascii="宋体" w:hAnsi="宋体" w:cs="宋体"/>
          <w:color w:val="auto"/>
          <w:sz w:val="24"/>
          <w:szCs w:val="24"/>
          <w:lang w:eastAsia="zh-CN"/>
        </w:rPr>
        <w:t>合同签订后一个月内支付总价款的</w:t>
      </w:r>
      <w:r>
        <w:rPr>
          <w:rFonts w:hint="eastAsia" w:ascii="宋体" w:hAnsi="宋体" w:cs="宋体"/>
          <w:color w:val="auto"/>
          <w:sz w:val="24"/>
          <w:szCs w:val="24"/>
          <w:lang w:val="en-US" w:eastAsia="zh-CN"/>
        </w:rPr>
        <w:t>60%；合同期满且甲方验收合格后30日内，支付保洁维护费剩余部分。</w:t>
      </w:r>
      <w:r>
        <w:rPr>
          <w:rFonts w:hint="eastAsia"/>
          <w:color w:val="auto"/>
          <w:sz w:val="24"/>
        </w:rPr>
        <w:t>甲方付款前，乙方需开具足额有效的增值税发票，甲方开票信息如下: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4900"/>
      </w:tblGrid>
      <w:tr w14:paraId="3D58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2" w:type="dxa"/>
            <w:tcBorders>
              <w:top w:val="single" w:color="auto" w:sz="4" w:space="0"/>
              <w:left w:val="single" w:color="auto" w:sz="4" w:space="0"/>
              <w:bottom w:val="single" w:color="auto" w:sz="4" w:space="0"/>
              <w:right w:val="single" w:color="auto" w:sz="4" w:space="0"/>
            </w:tcBorders>
            <w:noWrap w:val="0"/>
            <w:vAlign w:val="top"/>
          </w:tcPr>
          <w:p w14:paraId="7D24EF2C">
            <w:pPr>
              <w:spacing w:line="400" w:lineRule="exact"/>
              <w:jc w:val="left"/>
              <w:rPr>
                <w:rFonts w:hint="eastAsia"/>
                <w:color w:val="auto"/>
                <w:sz w:val="24"/>
              </w:rPr>
            </w:pPr>
            <w:r>
              <w:rPr>
                <w:rFonts w:hint="eastAsia"/>
                <w:color w:val="auto"/>
                <w:sz w:val="24"/>
              </w:rPr>
              <w:t>公司注册登记的名称（全称）</w:t>
            </w:r>
          </w:p>
        </w:tc>
        <w:tc>
          <w:tcPr>
            <w:tcW w:w="4900" w:type="dxa"/>
            <w:tcBorders>
              <w:top w:val="single" w:color="auto" w:sz="4" w:space="0"/>
              <w:left w:val="single" w:color="auto" w:sz="4" w:space="0"/>
              <w:bottom w:val="single" w:color="auto" w:sz="4" w:space="0"/>
              <w:right w:val="single" w:color="auto" w:sz="4" w:space="0"/>
            </w:tcBorders>
            <w:noWrap w:val="0"/>
            <w:vAlign w:val="top"/>
          </w:tcPr>
          <w:p w14:paraId="47E075BB">
            <w:pPr>
              <w:spacing w:line="400" w:lineRule="exact"/>
              <w:jc w:val="center"/>
              <w:rPr>
                <w:rFonts w:hint="eastAsia"/>
                <w:color w:val="auto"/>
                <w:sz w:val="24"/>
              </w:rPr>
            </w:pPr>
            <w:r>
              <w:rPr>
                <w:rFonts w:hint="eastAsia"/>
                <w:color w:val="auto"/>
                <w:sz w:val="24"/>
              </w:rPr>
              <w:t>西安市</w:t>
            </w:r>
            <w:r>
              <w:rPr>
                <w:rFonts w:hint="eastAsia"/>
                <w:color w:val="auto"/>
                <w:sz w:val="24"/>
                <w:lang w:val="en-US" w:eastAsia="zh-CN"/>
              </w:rPr>
              <w:t>莲湖区</w:t>
            </w:r>
            <w:r>
              <w:rPr>
                <w:rFonts w:hint="eastAsia"/>
                <w:color w:val="auto"/>
                <w:sz w:val="24"/>
              </w:rPr>
              <w:t>民政局</w:t>
            </w:r>
          </w:p>
        </w:tc>
      </w:tr>
      <w:tr w14:paraId="297B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2" w:type="dxa"/>
            <w:tcBorders>
              <w:top w:val="single" w:color="auto" w:sz="4" w:space="0"/>
              <w:left w:val="single" w:color="auto" w:sz="4" w:space="0"/>
              <w:bottom w:val="single" w:color="auto" w:sz="4" w:space="0"/>
              <w:right w:val="single" w:color="auto" w:sz="4" w:space="0"/>
            </w:tcBorders>
            <w:noWrap w:val="0"/>
            <w:vAlign w:val="top"/>
          </w:tcPr>
          <w:p w14:paraId="1753D864">
            <w:pPr>
              <w:spacing w:line="400" w:lineRule="exact"/>
              <w:jc w:val="left"/>
              <w:rPr>
                <w:rFonts w:hint="eastAsia"/>
                <w:color w:val="auto"/>
                <w:sz w:val="24"/>
              </w:rPr>
            </w:pPr>
            <w:r>
              <w:rPr>
                <w:rFonts w:hint="eastAsia"/>
                <w:color w:val="auto"/>
                <w:sz w:val="24"/>
              </w:rPr>
              <w:t>统一社会信用代码</w:t>
            </w:r>
          </w:p>
        </w:tc>
        <w:tc>
          <w:tcPr>
            <w:tcW w:w="4900" w:type="dxa"/>
            <w:tcBorders>
              <w:top w:val="single" w:color="auto" w:sz="4" w:space="0"/>
              <w:left w:val="single" w:color="auto" w:sz="4" w:space="0"/>
              <w:bottom w:val="single" w:color="auto" w:sz="4" w:space="0"/>
              <w:right w:val="single" w:color="auto" w:sz="4" w:space="0"/>
            </w:tcBorders>
            <w:noWrap w:val="0"/>
            <w:vAlign w:val="top"/>
          </w:tcPr>
          <w:p w14:paraId="14B4DD5D">
            <w:pPr>
              <w:spacing w:line="400" w:lineRule="exact"/>
              <w:jc w:val="center"/>
              <w:rPr>
                <w:rFonts w:hint="default" w:eastAsia="宋体"/>
                <w:color w:val="auto"/>
                <w:sz w:val="24"/>
                <w:lang w:val="en-US" w:eastAsia="zh-CN"/>
              </w:rPr>
            </w:pPr>
            <w:r>
              <w:rPr>
                <w:rFonts w:hint="eastAsia"/>
                <w:color w:val="auto"/>
                <w:sz w:val="24"/>
                <w:lang w:val="en-US" w:eastAsia="zh-CN"/>
              </w:rPr>
              <w:t>11610104MB2903473W</w:t>
            </w:r>
          </w:p>
        </w:tc>
      </w:tr>
      <w:tr w14:paraId="0BE8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622" w:type="dxa"/>
            <w:tcBorders>
              <w:top w:val="single" w:color="auto" w:sz="4" w:space="0"/>
              <w:left w:val="single" w:color="auto" w:sz="4" w:space="0"/>
              <w:bottom w:val="single" w:color="auto" w:sz="4" w:space="0"/>
              <w:right w:val="single" w:color="auto" w:sz="4" w:space="0"/>
            </w:tcBorders>
            <w:noWrap w:val="0"/>
            <w:vAlign w:val="top"/>
          </w:tcPr>
          <w:p w14:paraId="00AC3D78">
            <w:pPr>
              <w:spacing w:line="400" w:lineRule="exact"/>
              <w:jc w:val="left"/>
              <w:rPr>
                <w:rFonts w:hint="eastAsia"/>
                <w:color w:val="auto"/>
                <w:sz w:val="24"/>
              </w:rPr>
            </w:pPr>
            <w:r>
              <w:rPr>
                <w:rFonts w:hint="eastAsia"/>
                <w:color w:val="auto"/>
                <w:sz w:val="24"/>
              </w:rPr>
              <w:t>地址、电话</w:t>
            </w:r>
          </w:p>
        </w:tc>
        <w:tc>
          <w:tcPr>
            <w:tcW w:w="4900" w:type="dxa"/>
            <w:tcBorders>
              <w:top w:val="single" w:color="auto" w:sz="4" w:space="0"/>
              <w:left w:val="single" w:color="auto" w:sz="4" w:space="0"/>
              <w:bottom w:val="single" w:color="auto" w:sz="4" w:space="0"/>
              <w:right w:val="single" w:color="auto" w:sz="4" w:space="0"/>
            </w:tcBorders>
            <w:noWrap w:val="0"/>
            <w:vAlign w:val="top"/>
          </w:tcPr>
          <w:p w14:paraId="4331560B">
            <w:pPr>
              <w:spacing w:line="400" w:lineRule="exact"/>
              <w:jc w:val="center"/>
              <w:rPr>
                <w:rFonts w:hint="default" w:eastAsia="宋体"/>
                <w:color w:val="auto"/>
                <w:sz w:val="24"/>
                <w:lang w:val="en-US" w:eastAsia="zh-CN"/>
              </w:rPr>
            </w:pPr>
            <w:r>
              <w:rPr>
                <w:rFonts w:hint="eastAsia"/>
                <w:color w:val="auto"/>
                <w:sz w:val="24"/>
              </w:rPr>
              <w:t>陕西省西安市</w:t>
            </w:r>
            <w:r>
              <w:rPr>
                <w:rFonts w:hint="eastAsia"/>
                <w:color w:val="auto"/>
                <w:sz w:val="24"/>
                <w:lang w:val="en-US" w:eastAsia="zh-CN"/>
              </w:rPr>
              <w:t>莲湖区庙后街169号</w:t>
            </w:r>
            <w:r>
              <w:rPr>
                <w:rFonts w:hint="eastAsia"/>
                <w:color w:val="auto"/>
                <w:sz w:val="24"/>
              </w:rPr>
              <w:t>029-</w:t>
            </w:r>
            <w:r>
              <w:rPr>
                <w:rFonts w:hint="eastAsia"/>
                <w:color w:val="auto"/>
                <w:sz w:val="24"/>
                <w:lang w:val="en-US" w:eastAsia="zh-CN"/>
              </w:rPr>
              <w:t>87247309</w:t>
            </w:r>
          </w:p>
        </w:tc>
      </w:tr>
      <w:tr w14:paraId="705D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2" w:type="dxa"/>
            <w:tcBorders>
              <w:top w:val="single" w:color="auto" w:sz="4" w:space="0"/>
              <w:left w:val="single" w:color="auto" w:sz="4" w:space="0"/>
              <w:bottom w:val="single" w:color="auto" w:sz="4" w:space="0"/>
              <w:right w:val="single" w:color="auto" w:sz="4" w:space="0"/>
            </w:tcBorders>
            <w:noWrap w:val="0"/>
            <w:vAlign w:val="top"/>
          </w:tcPr>
          <w:p w14:paraId="08718488">
            <w:pPr>
              <w:spacing w:line="400" w:lineRule="exact"/>
              <w:jc w:val="left"/>
              <w:rPr>
                <w:rFonts w:hint="eastAsia"/>
                <w:color w:val="auto"/>
                <w:sz w:val="24"/>
              </w:rPr>
            </w:pPr>
            <w:r>
              <w:rPr>
                <w:rFonts w:hint="eastAsia"/>
                <w:color w:val="auto"/>
                <w:sz w:val="24"/>
              </w:rPr>
              <w:t>开户行</w:t>
            </w:r>
          </w:p>
        </w:tc>
        <w:tc>
          <w:tcPr>
            <w:tcW w:w="4900" w:type="dxa"/>
            <w:tcBorders>
              <w:top w:val="single" w:color="auto" w:sz="4" w:space="0"/>
              <w:left w:val="single" w:color="auto" w:sz="4" w:space="0"/>
              <w:bottom w:val="single" w:color="auto" w:sz="4" w:space="0"/>
              <w:right w:val="single" w:color="auto" w:sz="4" w:space="0"/>
            </w:tcBorders>
            <w:noWrap w:val="0"/>
            <w:vAlign w:val="top"/>
          </w:tcPr>
          <w:p w14:paraId="14F425D5">
            <w:pPr>
              <w:spacing w:line="400" w:lineRule="exact"/>
              <w:jc w:val="center"/>
              <w:rPr>
                <w:rFonts w:hint="default" w:eastAsia="宋体"/>
                <w:color w:val="auto"/>
                <w:sz w:val="24"/>
                <w:lang w:val="en-US" w:eastAsia="zh-CN"/>
              </w:rPr>
            </w:pPr>
            <w:r>
              <w:rPr>
                <w:rFonts w:hint="eastAsia"/>
                <w:color w:val="auto"/>
                <w:sz w:val="24"/>
                <w:lang w:val="en-US" w:eastAsia="zh-CN"/>
              </w:rPr>
              <w:t>工商银行北大街支行营业室</w:t>
            </w:r>
          </w:p>
        </w:tc>
      </w:tr>
      <w:tr w14:paraId="0CFA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2" w:type="dxa"/>
            <w:tcBorders>
              <w:top w:val="single" w:color="auto" w:sz="4" w:space="0"/>
              <w:left w:val="single" w:color="auto" w:sz="4" w:space="0"/>
              <w:bottom w:val="single" w:color="auto" w:sz="4" w:space="0"/>
              <w:right w:val="single" w:color="auto" w:sz="4" w:space="0"/>
            </w:tcBorders>
            <w:noWrap w:val="0"/>
            <w:vAlign w:val="top"/>
          </w:tcPr>
          <w:p w14:paraId="52F8DBB4">
            <w:pPr>
              <w:spacing w:line="400" w:lineRule="exact"/>
              <w:jc w:val="left"/>
              <w:rPr>
                <w:rFonts w:hint="eastAsia"/>
                <w:color w:val="auto"/>
                <w:sz w:val="24"/>
              </w:rPr>
            </w:pPr>
            <w:r>
              <w:rPr>
                <w:rFonts w:hint="eastAsia"/>
                <w:color w:val="auto"/>
                <w:sz w:val="24"/>
              </w:rPr>
              <w:t>银行账号</w:t>
            </w:r>
          </w:p>
        </w:tc>
        <w:tc>
          <w:tcPr>
            <w:tcW w:w="4900" w:type="dxa"/>
            <w:tcBorders>
              <w:top w:val="single" w:color="auto" w:sz="4" w:space="0"/>
              <w:left w:val="single" w:color="auto" w:sz="4" w:space="0"/>
              <w:bottom w:val="single" w:color="auto" w:sz="4" w:space="0"/>
              <w:right w:val="single" w:color="auto" w:sz="4" w:space="0"/>
            </w:tcBorders>
            <w:noWrap w:val="0"/>
            <w:vAlign w:val="top"/>
          </w:tcPr>
          <w:p w14:paraId="5EC0BBC4">
            <w:pPr>
              <w:spacing w:line="400" w:lineRule="exact"/>
              <w:jc w:val="center"/>
              <w:rPr>
                <w:rFonts w:hint="default" w:eastAsia="宋体"/>
                <w:color w:val="auto"/>
                <w:sz w:val="24"/>
                <w:lang w:val="en-US" w:eastAsia="zh-CN"/>
              </w:rPr>
            </w:pPr>
            <w:r>
              <w:rPr>
                <w:rFonts w:hint="eastAsia"/>
                <w:color w:val="auto"/>
                <w:sz w:val="24"/>
                <w:lang w:val="en-US" w:eastAsia="zh-CN"/>
              </w:rPr>
              <w:t>3700020509088324077</w:t>
            </w:r>
          </w:p>
        </w:tc>
      </w:tr>
      <w:tr w14:paraId="74E4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2" w:type="dxa"/>
            <w:tcBorders>
              <w:top w:val="single" w:color="auto" w:sz="4" w:space="0"/>
              <w:left w:val="single" w:color="auto" w:sz="4" w:space="0"/>
              <w:bottom w:val="single" w:color="auto" w:sz="4" w:space="0"/>
              <w:right w:val="single" w:color="auto" w:sz="4" w:space="0"/>
            </w:tcBorders>
            <w:noWrap w:val="0"/>
            <w:vAlign w:val="top"/>
          </w:tcPr>
          <w:p w14:paraId="5C69B186">
            <w:pPr>
              <w:spacing w:line="400" w:lineRule="exact"/>
              <w:jc w:val="left"/>
              <w:rPr>
                <w:rFonts w:hint="eastAsia"/>
                <w:color w:val="auto"/>
                <w:sz w:val="24"/>
              </w:rPr>
            </w:pPr>
            <w:r>
              <w:rPr>
                <w:rFonts w:hint="eastAsia"/>
                <w:color w:val="auto"/>
                <w:sz w:val="24"/>
              </w:rPr>
              <w:t>所需发票类型</w:t>
            </w:r>
          </w:p>
        </w:tc>
        <w:tc>
          <w:tcPr>
            <w:tcW w:w="4900" w:type="dxa"/>
            <w:tcBorders>
              <w:top w:val="single" w:color="auto" w:sz="4" w:space="0"/>
              <w:left w:val="single" w:color="auto" w:sz="4" w:space="0"/>
              <w:bottom w:val="single" w:color="auto" w:sz="4" w:space="0"/>
              <w:right w:val="single" w:color="auto" w:sz="4" w:space="0"/>
            </w:tcBorders>
            <w:noWrap w:val="0"/>
            <w:vAlign w:val="top"/>
          </w:tcPr>
          <w:p w14:paraId="39B19DFF">
            <w:pPr>
              <w:spacing w:line="400" w:lineRule="exact"/>
              <w:jc w:val="center"/>
              <w:rPr>
                <w:rFonts w:hint="eastAsia"/>
                <w:color w:val="auto"/>
                <w:sz w:val="24"/>
              </w:rPr>
            </w:pPr>
            <w:r>
              <w:rPr>
                <w:rFonts w:hint="eastAsia"/>
                <w:color w:val="auto"/>
                <w:sz w:val="24"/>
              </w:rPr>
              <w:t>□增值税专用发票 ☑增值税普通发票</w:t>
            </w:r>
          </w:p>
        </w:tc>
      </w:tr>
    </w:tbl>
    <w:p w14:paraId="4167B94A">
      <w:pPr>
        <w:keepNext w:val="0"/>
        <w:keepLines w:val="0"/>
        <w:pageBreakBefore w:val="0"/>
        <w:widowControl w:val="0"/>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乙方开具的增值税发票符合以下情形之一的，乙方需重新提供等额合法合规的增值税发票，甲方有权延迟支付应付款项，且不承担任何违约责任，乙方的各项合同义务仍按合同约定履行，如导致甲方损失，乙方需赔偿全部损失（包括罚金、滞纳金、税款等）：</w:t>
      </w:r>
    </w:p>
    <w:p w14:paraId="77A95B84">
      <w:pPr>
        <w:keepNext w:val="0"/>
        <w:keepLines w:val="0"/>
        <w:pageBreakBefore w:val="0"/>
        <w:widowControl w:val="0"/>
        <w:numPr>
          <w:ilvl w:val="0"/>
          <w:numId w:val="1"/>
        </w:numPr>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开具虚假、作废等无效发票或者违反国家法律、法规开具提供发票的</w:t>
      </w:r>
    </w:p>
    <w:p w14:paraId="6983AB3C">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（2）开其发票种类错误；开具发票税率与合同约定不符</w:t>
      </w:r>
    </w:p>
    <w:p w14:paraId="47FFCD9C">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（3）发票上信息错误</w:t>
      </w:r>
    </w:p>
    <w:p w14:paraId="417C69B5">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（4）因乙方延迟送达、开具错误等原因造成发票认证失败</w:t>
      </w:r>
    </w:p>
    <w:p w14:paraId="7076213C">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若增值税发票丢失，乙方应积极配合甲方申请《丢失增值税专用发票已报税证明单》，否则乙方承担因此造成的损失。</w:t>
      </w:r>
    </w:p>
    <w:p w14:paraId="2CFF8C41">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（三）支付方式：银行转账。</w:t>
      </w:r>
    </w:p>
    <w:p w14:paraId="0A655024">
      <w:pPr>
        <w:keepNext w:val="0"/>
        <w:keepLines w:val="0"/>
        <w:pageBreakBefore w:val="0"/>
        <w:widowControl w:val="0"/>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乙方指定收款账户：</w:t>
      </w:r>
    </w:p>
    <w:p w14:paraId="45FAB3D6">
      <w:pPr>
        <w:keepNext w:val="0"/>
        <w:keepLines w:val="0"/>
        <w:pageBreakBefore w:val="0"/>
        <w:widowControl w:val="0"/>
        <w:wordWrap/>
        <w:overflowPunct/>
        <w:topLinePunct w:val="0"/>
        <w:autoSpaceDE/>
        <w:autoSpaceDN/>
        <w:bidi w:val="0"/>
        <w:adjustRightInd/>
        <w:snapToGrid/>
        <w:spacing w:line="520" w:lineRule="exact"/>
        <w:ind w:firstLine="480" w:firstLineChars="200"/>
        <w:textAlignment w:val="auto"/>
        <w:rPr>
          <w:rFonts w:hint="eastAsia" w:ascii="宋体" w:hAnsi="宋体"/>
          <w:b/>
          <w:color w:val="auto"/>
          <w:sz w:val="24"/>
          <w:szCs w:val="24"/>
          <w:u w:val="single"/>
        </w:rPr>
      </w:pPr>
      <w:r>
        <w:rPr>
          <w:rFonts w:hint="eastAsia" w:ascii="Times New Roman" w:hAnsi="Times New Roman" w:eastAsia="宋体" w:cs="Times New Roman"/>
          <w:color w:val="auto"/>
          <w:kern w:val="2"/>
          <w:sz w:val="24"/>
          <w:szCs w:val="24"/>
          <w:lang w:val="en-US" w:eastAsia="zh-CN" w:bidi="ar-SA"/>
        </w:rPr>
        <w:t>户名：</w:t>
      </w:r>
      <w:r>
        <w:rPr>
          <w:rFonts w:hint="eastAsia" w:ascii="宋体" w:hAnsi="宋体" w:cs="宋体"/>
          <w:b w:val="0"/>
          <w:bCs/>
          <w:color w:val="auto"/>
          <w:sz w:val="24"/>
          <w:szCs w:val="24"/>
          <w:u w:val="single"/>
        </w:rPr>
        <w:t xml:space="preserve">陕西宸逸贵建筑工程有限公司 </w:t>
      </w:r>
      <w:r>
        <w:rPr>
          <w:rFonts w:hint="eastAsia" w:ascii="宋体" w:hAnsi="宋体"/>
          <w:b w:val="0"/>
          <w:bCs/>
          <w:color w:val="auto"/>
          <w:sz w:val="24"/>
          <w:szCs w:val="24"/>
          <w:u w:val="single"/>
        </w:rPr>
        <w:t xml:space="preserve"> </w:t>
      </w:r>
    </w:p>
    <w:p w14:paraId="1661C831">
      <w:pPr>
        <w:keepNext w:val="0"/>
        <w:keepLines w:val="0"/>
        <w:pageBreakBefore w:val="0"/>
        <w:widowControl w:val="0"/>
        <w:kinsoku/>
        <w:wordWrap/>
        <w:overflowPunct/>
        <w:topLinePunct w:val="0"/>
        <w:autoSpaceDE/>
        <w:autoSpaceDN/>
        <w:bidi w:val="0"/>
        <w:adjustRightInd/>
        <w:snapToGrid/>
        <w:spacing w:before="100" w:beforeAutospacing="1" w:after="312" w:afterLines="100" w:line="520" w:lineRule="exact"/>
        <w:ind w:left="540" w:leftChars="257"/>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开户行：</w:t>
      </w:r>
      <w:r>
        <w:rPr>
          <w:rFonts w:hint="eastAsia" w:cs="Times New Roman"/>
          <w:b w:val="0"/>
          <w:bCs w:val="0"/>
          <w:color w:val="auto"/>
          <w:kern w:val="2"/>
          <w:sz w:val="24"/>
          <w:szCs w:val="24"/>
          <w:u w:val="single"/>
          <w:lang w:val="en-US" w:eastAsia="zh-CN" w:bidi="ar-SA"/>
        </w:rPr>
        <w:t>西安工商银行股份有限公司西安徐家湾支行</w:t>
      </w:r>
    </w:p>
    <w:p w14:paraId="44B6095F">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kern w:val="2"/>
          <w:sz w:val="24"/>
          <w:szCs w:val="24"/>
          <w:u w:val="single"/>
          <w:lang w:val="en-US" w:eastAsia="zh-CN" w:bidi="ar-SA"/>
        </w:rPr>
      </w:pPr>
      <w:r>
        <w:rPr>
          <w:rFonts w:hint="eastAsia" w:ascii="宋体" w:hAnsi="宋体" w:eastAsia="宋体" w:cs="宋体"/>
          <w:color w:val="auto"/>
          <w:kern w:val="2"/>
          <w:sz w:val="24"/>
          <w:szCs w:val="24"/>
          <w:lang w:val="en-US" w:eastAsia="zh-CN" w:bidi="ar-SA"/>
        </w:rPr>
        <w:t>银行卡号：</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 w:val="0"/>
          <w:bCs w:val="0"/>
          <w:color w:val="auto"/>
          <w:kern w:val="2"/>
          <w:sz w:val="24"/>
          <w:szCs w:val="24"/>
          <w:u w:val="single"/>
          <w:lang w:val="en-US" w:eastAsia="zh-CN" w:bidi="ar-SA"/>
        </w:rPr>
        <w:t>3700022609200273367</w:t>
      </w:r>
      <w:bookmarkStart w:id="2" w:name="_GoBack"/>
      <w:bookmarkEnd w:id="2"/>
      <w:r>
        <w:rPr>
          <w:rFonts w:hint="eastAsia" w:ascii="宋体" w:hAnsi="宋体" w:eastAsia="宋体" w:cs="宋体"/>
          <w:b w:val="0"/>
          <w:bCs w:val="0"/>
          <w:color w:val="auto"/>
          <w:kern w:val="2"/>
          <w:sz w:val="24"/>
          <w:szCs w:val="24"/>
          <w:u w:val="single"/>
          <w:lang w:val="en-US" w:eastAsia="zh-CN" w:bidi="ar-SA"/>
        </w:rPr>
        <w:t xml:space="preserve">  </w:t>
      </w:r>
    </w:p>
    <w:p w14:paraId="27A681D6">
      <w:pPr>
        <w:pStyle w:val="6"/>
        <w:keepNext w:val="0"/>
        <w:keepLines w:val="0"/>
        <w:pageBreakBefore w:val="0"/>
        <w:widowControl w:val="0"/>
        <w:wordWrap/>
        <w:overflowPunct/>
        <w:topLinePunct w:val="0"/>
        <w:autoSpaceDE/>
        <w:autoSpaceDN/>
        <w:bidi w:val="0"/>
        <w:adjustRightInd/>
        <w:snapToGrid/>
        <w:spacing w:line="520" w:lineRule="exact"/>
        <w:ind w:firstLine="480" w:firstLineChars="200"/>
        <w:textAlignment w:val="auto"/>
        <w:rPr>
          <w:rFonts w:hint="eastAsia"/>
          <w:color w:val="auto"/>
          <w:sz w:val="24"/>
          <w:u w:val="single"/>
        </w:rPr>
      </w:pPr>
      <w:r>
        <w:rPr>
          <w:rFonts w:hint="eastAsia"/>
          <w:color w:val="auto"/>
          <w:sz w:val="24"/>
          <w:u w:val="single"/>
        </w:rPr>
        <w:t>乙方保证该账户信息真实准确、合法有效。乙方如变更账户信息，应至少提前5个工作日书面通知甲方。乙方未能及时通知甲方其银行信息变更导致的收款延误、丢失等责任与甲方无关。</w:t>
      </w:r>
    </w:p>
    <w:p w14:paraId="49E3FE7D">
      <w:pPr>
        <w:keepNext w:val="0"/>
        <w:keepLines w:val="0"/>
        <w:pageBreakBefore w:val="0"/>
        <w:widowControl w:val="0"/>
        <w:wordWrap/>
        <w:overflowPunct/>
        <w:topLinePunct w:val="0"/>
        <w:autoSpaceDE/>
        <w:autoSpaceDN/>
        <w:bidi w:val="0"/>
        <w:adjustRightInd/>
        <w:snapToGrid/>
        <w:spacing w:line="520" w:lineRule="exact"/>
        <w:ind w:firstLine="480" w:firstLineChars="200"/>
        <w:textAlignment w:val="auto"/>
        <w:rPr>
          <w:rFonts w:hint="eastAsia" w:ascii="黑体" w:hAnsi="黑体" w:eastAsia="黑体" w:cs="黑体"/>
          <w:color w:val="auto"/>
          <w:sz w:val="24"/>
        </w:rPr>
      </w:pPr>
      <w:r>
        <w:rPr>
          <w:rFonts w:hint="eastAsia" w:ascii="黑体" w:hAnsi="黑体" w:eastAsia="黑体" w:cs="黑体"/>
          <w:color w:val="auto"/>
          <w:sz w:val="24"/>
        </w:rPr>
        <w:t>五、双方的权利和义务</w:t>
      </w:r>
    </w:p>
    <w:p w14:paraId="6A4CE5BA">
      <w:pPr>
        <w:keepNext w:val="0"/>
        <w:keepLines w:val="0"/>
        <w:pageBreakBefore w:val="0"/>
        <w:widowControl w:val="0"/>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（一）甲方的权利和义务</w:t>
      </w:r>
    </w:p>
    <w:p w14:paraId="2D333094">
      <w:pPr>
        <w:keepNext w:val="0"/>
        <w:keepLines w:val="0"/>
        <w:pageBreakBefore w:val="0"/>
        <w:widowControl w:val="0"/>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1</w:t>
      </w:r>
      <w:r>
        <w:rPr>
          <w:rFonts w:hint="eastAsia"/>
          <w:color w:val="auto"/>
          <w:sz w:val="24"/>
          <w:lang w:eastAsia="zh-CN"/>
        </w:rPr>
        <w:t>.</w:t>
      </w:r>
      <w:r>
        <w:rPr>
          <w:rFonts w:hint="eastAsia"/>
          <w:color w:val="auto"/>
          <w:sz w:val="24"/>
        </w:rPr>
        <w:t>甲方有权对乙方人员的工作情况监督检查，明确员工职责范围，对工作中不负责任、违反管理规定的人员，有权提出更换要求，乙方应无条件予以执行，在2日内更换相关人员。</w:t>
      </w:r>
    </w:p>
    <w:p w14:paraId="0CE2318E">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2</w:t>
      </w:r>
      <w:r>
        <w:rPr>
          <w:rFonts w:hint="eastAsia"/>
          <w:color w:val="auto"/>
          <w:sz w:val="24"/>
          <w:lang w:eastAsia="zh-CN"/>
        </w:rPr>
        <w:t>.</w:t>
      </w:r>
      <w:r>
        <w:rPr>
          <w:rFonts w:hint="eastAsia"/>
          <w:color w:val="auto"/>
          <w:sz w:val="24"/>
        </w:rPr>
        <w:t>甲方不得指派服务人员从事与工作内容无关的事情。</w:t>
      </w:r>
    </w:p>
    <w:p w14:paraId="00DC3CD5">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3</w:t>
      </w:r>
      <w:r>
        <w:rPr>
          <w:rFonts w:hint="eastAsia"/>
          <w:color w:val="auto"/>
          <w:sz w:val="24"/>
          <w:lang w:eastAsia="zh-CN"/>
        </w:rPr>
        <w:t>.</w:t>
      </w:r>
      <w:r>
        <w:rPr>
          <w:rFonts w:hint="eastAsia"/>
          <w:color w:val="auto"/>
          <w:sz w:val="24"/>
        </w:rPr>
        <w:t>甲方负责组织人员进行验收，在乙方提供服务符合合同约定或甲方要求且经甲方书面验收通过的，按合同约定支付道路路牌保洁维护费用。</w:t>
      </w:r>
    </w:p>
    <w:p w14:paraId="64757E18">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（二）乙方的权利和义务</w:t>
      </w:r>
    </w:p>
    <w:p w14:paraId="1B855CE0">
      <w:pPr>
        <w:keepNext w:val="0"/>
        <w:keepLines w:val="0"/>
        <w:pageBreakBefore w:val="0"/>
        <w:widowControl w:val="0"/>
        <w:wordWrap/>
        <w:overflowPunct/>
        <w:topLinePunct w:val="0"/>
        <w:autoSpaceDE/>
        <w:autoSpaceDN/>
        <w:bidi w:val="0"/>
        <w:adjustRightInd/>
        <w:snapToGrid/>
        <w:spacing w:line="520" w:lineRule="exact"/>
        <w:textAlignment w:val="auto"/>
        <w:rPr>
          <w:color w:val="auto"/>
          <w:sz w:val="24"/>
        </w:rPr>
      </w:pPr>
      <w:r>
        <w:rPr>
          <w:rFonts w:hint="eastAsia"/>
          <w:color w:val="auto"/>
          <w:sz w:val="24"/>
        </w:rPr>
        <w:t>1</w:t>
      </w:r>
      <w:r>
        <w:rPr>
          <w:rFonts w:hint="eastAsia"/>
          <w:color w:val="auto"/>
          <w:sz w:val="24"/>
          <w:lang w:eastAsia="zh-CN"/>
        </w:rPr>
        <w:t>.</w:t>
      </w:r>
      <w:r>
        <w:rPr>
          <w:rFonts w:hint="eastAsia"/>
          <w:color w:val="auto"/>
          <w:sz w:val="24"/>
        </w:rPr>
        <w:t>乙方在巡查时发现道路路牌破损残缺，歪倒倾斜、丢失的应及时告知甲方。</w:t>
      </w:r>
    </w:p>
    <w:p w14:paraId="73448DEE">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2</w:t>
      </w:r>
      <w:r>
        <w:rPr>
          <w:rFonts w:hint="eastAsia"/>
          <w:color w:val="auto"/>
          <w:sz w:val="24"/>
          <w:lang w:eastAsia="zh-CN"/>
        </w:rPr>
        <w:t>.</w:t>
      </w:r>
      <w:r>
        <w:rPr>
          <w:rFonts w:hint="eastAsia"/>
          <w:color w:val="auto"/>
          <w:sz w:val="24"/>
        </w:rPr>
        <w:t xml:space="preserve"> 乙方在保洁维护协议期内应及时对</w:t>
      </w:r>
      <w:r>
        <w:rPr>
          <w:rFonts w:hint="eastAsia"/>
          <w:color w:val="auto"/>
          <w:sz w:val="24"/>
          <w:lang w:val="en-US" w:eastAsia="zh-CN"/>
        </w:rPr>
        <w:t>莲湖</w:t>
      </w:r>
      <w:r>
        <w:rPr>
          <w:rFonts w:hint="eastAsia"/>
          <w:color w:val="auto"/>
          <w:sz w:val="24"/>
        </w:rPr>
        <w:t>区所有路牌进行保洁，保证路牌牌面文字内容完好清晰、牌面整洁、无乱涂乱写、张贴野广告及其他附着物现象，保洁维护过程中发现路牌油漆脱落的要2日内修补。</w:t>
      </w:r>
    </w:p>
    <w:p w14:paraId="49D7EE03">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3</w:t>
      </w:r>
      <w:r>
        <w:rPr>
          <w:rFonts w:hint="eastAsia"/>
          <w:color w:val="auto"/>
          <w:sz w:val="24"/>
          <w:lang w:eastAsia="zh-CN"/>
        </w:rPr>
        <w:t>.</w:t>
      </w:r>
      <w:r>
        <w:rPr>
          <w:rFonts w:hint="eastAsia"/>
          <w:color w:val="auto"/>
          <w:sz w:val="24"/>
          <w:lang w:val="en-US" w:eastAsia="zh-CN"/>
        </w:rPr>
        <w:t>乙方在合同签订后一个月内，要向</w:t>
      </w:r>
      <w:r>
        <w:rPr>
          <w:rFonts w:hint="eastAsia"/>
          <w:color w:val="auto"/>
          <w:sz w:val="24"/>
        </w:rPr>
        <w:t>甲方提供</w:t>
      </w:r>
      <w:r>
        <w:rPr>
          <w:rFonts w:hint="eastAsia"/>
          <w:color w:val="auto"/>
          <w:sz w:val="24"/>
          <w:lang w:val="en-US" w:eastAsia="zh-CN"/>
        </w:rPr>
        <w:t>目前的莲湖</w:t>
      </w:r>
      <w:r>
        <w:rPr>
          <w:rFonts w:hint="eastAsia"/>
          <w:color w:val="auto"/>
          <w:sz w:val="24"/>
        </w:rPr>
        <w:t>区所有道路路牌点位图</w:t>
      </w:r>
      <w:r>
        <w:rPr>
          <w:rFonts w:hint="eastAsia"/>
          <w:color w:val="auto"/>
          <w:sz w:val="24"/>
          <w:lang w:eastAsia="zh-CN"/>
        </w:rPr>
        <w:t>，</w:t>
      </w:r>
      <w:r>
        <w:rPr>
          <w:rFonts w:hint="eastAsia"/>
          <w:color w:val="auto"/>
          <w:sz w:val="24"/>
        </w:rPr>
        <w:t>保洁期结束前1个月内，应向甲方提供最新</w:t>
      </w:r>
      <w:r>
        <w:rPr>
          <w:rFonts w:hint="eastAsia"/>
          <w:color w:val="auto"/>
          <w:sz w:val="24"/>
          <w:lang w:val="en-US" w:eastAsia="zh-CN"/>
        </w:rPr>
        <w:t>莲湖</w:t>
      </w:r>
      <w:r>
        <w:rPr>
          <w:rFonts w:hint="eastAsia"/>
          <w:color w:val="auto"/>
          <w:sz w:val="24"/>
        </w:rPr>
        <w:t>区所有道路路牌点位图。</w:t>
      </w:r>
    </w:p>
    <w:p w14:paraId="626018DB">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4</w:t>
      </w:r>
      <w:r>
        <w:rPr>
          <w:rFonts w:hint="eastAsia"/>
          <w:color w:val="auto"/>
          <w:sz w:val="24"/>
          <w:lang w:eastAsia="zh-CN"/>
        </w:rPr>
        <w:t>.</w:t>
      </w:r>
      <w:r>
        <w:rPr>
          <w:rFonts w:hint="eastAsia"/>
          <w:color w:val="auto"/>
          <w:sz w:val="24"/>
        </w:rPr>
        <w:t>乙方所有工作人员应自觉遵守甲方各项规章制度，乙方所订各项制度应适合甲方工作需要。乙方的机构设置及人员配备、调整应提前3日与甲方协商，并得到甲方书面同意。否则，由此给甲方造成的损失，由乙方全额承担。</w:t>
      </w:r>
    </w:p>
    <w:p w14:paraId="5758D1A1">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5</w:t>
      </w:r>
      <w:r>
        <w:rPr>
          <w:rFonts w:hint="eastAsia"/>
          <w:color w:val="auto"/>
          <w:sz w:val="24"/>
          <w:lang w:eastAsia="zh-CN"/>
        </w:rPr>
        <w:t>.</w:t>
      </w:r>
      <w:r>
        <w:rPr>
          <w:rFonts w:hint="eastAsia"/>
          <w:color w:val="auto"/>
          <w:sz w:val="24"/>
        </w:rPr>
        <w:t>协议期间除发生不可抗拒的意外灾害外，乙方应确保</w:t>
      </w:r>
      <w:r>
        <w:rPr>
          <w:rFonts w:hint="eastAsia"/>
          <w:color w:val="auto"/>
          <w:sz w:val="24"/>
          <w:lang w:val="en-US" w:eastAsia="zh-CN"/>
        </w:rPr>
        <w:t>莲湖</w:t>
      </w:r>
      <w:r>
        <w:rPr>
          <w:rFonts w:hint="eastAsia"/>
          <w:color w:val="auto"/>
          <w:sz w:val="24"/>
        </w:rPr>
        <w:t>区所有路牌整洁完好，若因巡查保洁不到位导致路牌丢失、损毁、不洁，影响路牌正常发挥指位功能或其他事故，引发后续问题，乙方应承担全部赔偿责任。</w:t>
      </w:r>
    </w:p>
    <w:p w14:paraId="22DB3089">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6</w:t>
      </w:r>
      <w:r>
        <w:rPr>
          <w:rFonts w:hint="eastAsia"/>
          <w:color w:val="auto"/>
          <w:sz w:val="24"/>
          <w:lang w:eastAsia="zh-CN"/>
        </w:rPr>
        <w:t>.</w:t>
      </w:r>
      <w:r>
        <w:rPr>
          <w:rFonts w:hint="eastAsia"/>
          <w:color w:val="auto"/>
          <w:sz w:val="24"/>
        </w:rPr>
        <w:t>乙方应确保其施工行为及使用的材料、产品不得侵害甲方或第三方的合法权益，否则应当承担所有维修费用及由此给甲方或第三方造成的一切损失。若因乙方怠于承担责任导致甲方代为承担的，乙方应按甲方代为承担责任的120%赔偿甲方。</w:t>
      </w:r>
    </w:p>
    <w:p w14:paraId="40CB1F71">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7</w:t>
      </w:r>
      <w:r>
        <w:rPr>
          <w:rFonts w:hint="eastAsia"/>
          <w:color w:val="auto"/>
          <w:sz w:val="24"/>
          <w:lang w:eastAsia="zh-CN"/>
        </w:rPr>
        <w:t>.</w:t>
      </w:r>
      <w:r>
        <w:rPr>
          <w:rFonts w:hint="eastAsia"/>
          <w:color w:val="auto"/>
          <w:sz w:val="24"/>
        </w:rPr>
        <w:t>乙方向甲方承诺本公司专业化能力，对不规范操作给甲方造成损失又无有效办法解决的乙方应向甲方赔偿全部损失，并支付合同总价</w:t>
      </w:r>
      <w:r>
        <w:rPr>
          <w:color w:val="auto"/>
          <w:sz w:val="24"/>
        </w:rPr>
        <w:t>20</w:t>
      </w:r>
      <w:r>
        <w:rPr>
          <w:rFonts w:hint="eastAsia"/>
          <w:color w:val="auto"/>
          <w:sz w:val="24"/>
        </w:rPr>
        <w:t>%的违约金。</w:t>
      </w:r>
    </w:p>
    <w:p w14:paraId="6CD7C627">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8</w:t>
      </w:r>
      <w:r>
        <w:rPr>
          <w:rFonts w:hint="eastAsia"/>
          <w:color w:val="auto"/>
          <w:sz w:val="24"/>
          <w:lang w:eastAsia="zh-CN"/>
        </w:rPr>
        <w:t>.</w:t>
      </w:r>
      <w:r>
        <w:rPr>
          <w:rFonts w:hint="eastAsia"/>
          <w:color w:val="auto"/>
          <w:sz w:val="24"/>
        </w:rPr>
        <w:t>乙方应按有关规定采取严格的安全保护措施，因乙方自身安全措施不力或其他任何原因造成任何事故导致人身、财产受损的，乙方承担全部责任和因此发生的全部费用。若因乙方怠于承担责任导致甲方代为承担的，由乙方负责全额赔偿。</w:t>
      </w:r>
    </w:p>
    <w:p w14:paraId="625C7968">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9</w:t>
      </w:r>
      <w:r>
        <w:rPr>
          <w:rFonts w:hint="eastAsia"/>
          <w:color w:val="auto"/>
          <w:sz w:val="24"/>
          <w:lang w:eastAsia="zh-CN"/>
        </w:rPr>
        <w:t>.</w:t>
      </w:r>
      <w:r>
        <w:rPr>
          <w:rFonts w:hint="eastAsia"/>
          <w:color w:val="auto"/>
          <w:sz w:val="24"/>
        </w:rPr>
        <w:t>合同履行期间，乙方对向甲方提供服务的全部人员负安全管理义务，该工作人员在为甲方提供服务过程中侵犯任何第三人人身及财产权利或自身发生工伤等情形的，乙方自行承担全部责任。甲方因此承担任何法律责任的，由乙方负责全额赔偿。</w:t>
      </w:r>
    </w:p>
    <w:p w14:paraId="253438E8">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10</w:t>
      </w:r>
      <w:r>
        <w:rPr>
          <w:rFonts w:hint="eastAsia"/>
          <w:color w:val="auto"/>
          <w:sz w:val="24"/>
          <w:lang w:eastAsia="zh-CN"/>
        </w:rPr>
        <w:t>.</w:t>
      </w:r>
      <w:r>
        <w:rPr>
          <w:rFonts w:hint="eastAsia"/>
          <w:color w:val="auto"/>
          <w:sz w:val="24"/>
        </w:rPr>
        <w:t>乙方必须与委派或更换到甲方服务的工作人员签订劳动合同。乙方委派或更换到甲方服务的工作人员工资、福利由乙方足额支付，并缴纳社保，如存在拖欠工资或福利的情形，乙方应及时协商解决， 如协商不成，甲方有权拒绝向乙方支付相应服务费。</w:t>
      </w:r>
    </w:p>
    <w:p w14:paraId="62C610B8">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11</w:t>
      </w:r>
      <w:r>
        <w:rPr>
          <w:rFonts w:hint="eastAsia"/>
          <w:color w:val="auto"/>
          <w:sz w:val="24"/>
          <w:lang w:eastAsia="zh-CN"/>
        </w:rPr>
        <w:t>.</w:t>
      </w:r>
      <w:r>
        <w:rPr>
          <w:rFonts w:hint="eastAsia"/>
          <w:color w:val="auto"/>
          <w:sz w:val="24"/>
        </w:rPr>
        <w:t>乙方对服务人员具有独立人事管理权，甲方与乙方员工之间不存在任何雇佣、劳务关系。若服务人员因劳动争议或发生受伤、死亡等与乙方产生纠纷，与甲方无关，乙方承担全部责任。若因此给甲方造成任何损失的，由乙方负责全额赔偿。</w:t>
      </w:r>
    </w:p>
    <w:p w14:paraId="10B3900A">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12</w:t>
      </w:r>
      <w:r>
        <w:rPr>
          <w:rFonts w:hint="eastAsia"/>
          <w:color w:val="auto"/>
          <w:sz w:val="24"/>
          <w:lang w:eastAsia="zh-CN"/>
        </w:rPr>
        <w:t>.</w:t>
      </w:r>
      <w:r>
        <w:rPr>
          <w:rFonts w:hint="eastAsia"/>
          <w:color w:val="auto"/>
          <w:sz w:val="24"/>
        </w:rPr>
        <w:t>乙方自行负担履行合同义务所需工具的相关费用。</w:t>
      </w:r>
    </w:p>
    <w:p w14:paraId="282FD9FF">
      <w:pPr>
        <w:keepNext w:val="0"/>
        <w:keepLines w:val="0"/>
        <w:pageBreakBefore w:val="0"/>
        <w:widowControl w:val="0"/>
        <w:wordWrap/>
        <w:overflowPunct/>
        <w:topLinePunct w:val="0"/>
        <w:autoSpaceDE/>
        <w:autoSpaceDN/>
        <w:bidi w:val="0"/>
        <w:adjustRightInd/>
        <w:snapToGrid/>
        <w:spacing w:line="520" w:lineRule="exact"/>
        <w:textAlignment w:val="auto"/>
        <w:rPr>
          <w:rFonts w:hint="eastAsia" w:ascii="黑体" w:hAnsi="黑体" w:eastAsia="黑体" w:cs="黑体"/>
          <w:color w:val="auto"/>
          <w:sz w:val="24"/>
        </w:rPr>
      </w:pPr>
      <w:r>
        <w:rPr>
          <w:rFonts w:hint="eastAsia" w:ascii="黑体" w:hAnsi="黑体" w:eastAsia="黑体" w:cs="黑体"/>
          <w:color w:val="auto"/>
          <w:sz w:val="24"/>
        </w:rPr>
        <w:t>六、质量保证</w:t>
      </w:r>
    </w:p>
    <w:p w14:paraId="1D45F9D1">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（一）乙方应该于合同签订后7个日历日内给甲方提供详细的服务工作计划。</w:t>
      </w:r>
    </w:p>
    <w:p w14:paraId="0B43FFD3">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（二）乙方应该设立专门服务小组，项目经理亲自负责，分工明确（应有具体成员名单，包括姓名、所在公司、职务、工作职责、联系方式等），并将前述信息书面提交甲方备案。</w:t>
      </w:r>
    </w:p>
    <w:p w14:paraId="4BD21D89">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1</w:t>
      </w:r>
      <w:r>
        <w:rPr>
          <w:rFonts w:hint="eastAsia"/>
          <w:color w:val="auto"/>
          <w:sz w:val="24"/>
          <w:lang w:eastAsia="zh-CN"/>
        </w:rPr>
        <w:t>.</w:t>
      </w:r>
      <w:r>
        <w:rPr>
          <w:rFonts w:hint="eastAsia"/>
          <w:color w:val="auto"/>
          <w:sz w:val="24"/>
        </w:rPr>
        <w:t>乙方每月有较为完备的客户回访安排。</w:t>
      </w:r>
    </w:p>
    <w:p w14:paraId="52CDF3F0">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2</w:t>
      </w:r>
      <w:r>
        <w:rPr>
          <w:rFonts w:hint="eastAsia"/>
          <w:color w:val="auto"/>
          <w:sz w:val="24"/>
          <w:lang w:eastAsia="zh-CN"/>
        </w:rPr>
        <w:t>.</w:t>
      </w:r>
      <w:r>
        <w:rPr>
          <w:rFonts w:hint="eastAsia"/>
          <w:color w:val="auto"/>
          <w:sz w:val="24"/>
        </w:rPr>
        <w:t>乙方有专人接待投诉举报，做好记录及受理过程。</w:t>
      </w:r>
    </w:p>
    <w:p w14:paraId="2AB6CCCE">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3</w:t>
      </w:r>
      <w:r>
        <w:rPr>
          <w:rFonts w:hint="eastAsia"/>
          <w:color w:val="auto"/>
          <w:sz w:val="24"/>
          <w:lang w:eastAsia="zh-CN"/>
        </w:rPr>
        <w:t>.</w:t>
      </w:r>
      <w:r>
        <w:rPr>
          <w:rFonts w:hint="eastAsia"/>
          <w:color w:val="auto"/>
          <w:sz w:val="24"/>
        </w:rPr>
        <w:t>乙方有完善的服务保障措施，如对服务态度、服务质量较差的人员有具体处罚办法。</w:t>
      </w:r>
    </w:p>
    <w:p w14:paraId="641CC4D9">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4</w:t>
      </w:r>
      <w:r>
        <w:rPr>
          <w:rFonts w:hint="eastAsia"/>
          <w:color w:val="auto"/>
          <w:sz w:val="24"/>
          <w:lang w:eastAsia="zh-CN"/>
        </w:rPr>
        <w:t>.</w:t>
      </w:r>
      <w:r>
        <w:rPr>
          <w:rFonts w:hint="eastAsia"/>
          <w:color w:val="auto"/>
          <w:sz w:val="24"/>
        </w:rPr>
        <w:t>甲方监管人员按照服务范围、内容以及服务考核标准对乙方每季度进行考核。考核结果作为每季度质量考核的依据。</w:t>
      </w:r>
    </w:p>
    <w:p w14:paraId="06141B76">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（三）保洁维护要求:</w:t>
      </w:r>
    </w:p>
    <w:p w14:paraId="1B4DC7E4">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1</w:t>
      </w:r>
      <w:r>
        <w:rPr>
          <w:rFonts w:hint="eastAsia"/>
          <w:color w:val="auto"/>
          <w:sz w:val="24"/>
          <w:lang w:eastAsia="zh-CN"/>
        </w:rPr>
        <w:t>.</w:t>
      </w:r>
      <w:r>
        <w:rPr>
          <w:rFonts w:hint="eastAsia"/>
          <w:color w:val="auto"/>
          <w:sz w:val="24"/>
        </w:rPr>
        <w:t>每两个星期对</w:t>
      </w:r>
      <w:r>
        <w:rPr>
          <w:rFonts w:hint="eastAsia"/>
          <w:color w:val="auto"/>
          <w:sz w:val="24"/>
          <w:lang w:val="en-US" w:eastAsia="zh-CN"/>
        </w:rPr>
        <w:t>莲湖</w:t>
      </w:r>
      <w:r>
        <w:rPr>
          <w:rFonts w:hint="eastAsia"/>
          <w:color w:val="auto"/>
          <w:sz w:val="24"/>
        </w:rPr>
        <w:t>区所有路牌巡查保洁一次，保证牌面清晰整洁，文字内容完好、无乱涂乱写、张贴野广告和私自搭设的各类附着物现象，发现上述情况当日维护、保洁。</w:t>
      </w:r>
    </w:p>
    <w:p w14:paraId="0D64BE45">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2</w:t>
      </w:r>
      <w:r>
        <w:rPr>
          <w:rFonts w:hint="eastAsia"/>
          <w:color w:val="auto"/>
          <w:sz w:val="24"/>
          <w:lang w:eastAsia="zh-CN"/>
        </w:rPr>
        <w:t>.</w:t>
      </w:r>
      <w:r>
        <w:rPr>
          <w:rFonts w:hint="eastAsia"/>
          <w:color w:val="auto"/>
          <w:sz w:val="24"/>
        </w:rPr>
        <w:t>路牌油漆脱落的要</w:t>
      </w:r>
      <w:r>
        <w:rPr>
          <w:rFonts w:hint="eastAsia"/>
          <w:color w:val="auto"/>
          <w:sz w:val="24"/>
          <w:lang w:val="en-US" w:eastAsia="zh-CN"/>
        </w:rPr>
        <w:t>于三日内及时补修</w:t>
      </w:r>
      <w:r>
        <w:rPr>
          <w:rFonts w:hint="eastAsia"/>
          <w:color w:val="auto"/>
          <w:sz w:val="24"/>
        </w:rPr>
        <w:t>，补漆要求为：牌框、半围装饰、雕花压条、铸铁件、立柱打磨光滑，喷底漆一遍，喷赭石色聚氨酯漆三遍，表面光滑无流痕无堆砌。牌面应清洁后喷漆，东西方向路牌喷蓝色聚氨酯漆、南北方向牌面喷绿色聚氨酯漆。</w:t>
      </w:r>
    </w:p>
    <w:p w14:paraId="1FF3DD23">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3</w:t>
      </w:r>
      <w:r>
        <w:rPr>
          <w:rFonts w:hint="eastAsia"/>
          <w:color w:val="auto"/>
          <w:sz w:val="24"/>
          <w:lang w:eastAsia="zh-CN"/>
        </w:rPr>
        <w:t>.</w:t>
      </w:r>
      <w:r>
        <w:rPr>
          <w:rFonts w:hint="eastAsia"/>
          <w:color w:val="auto"/>
          <w:sz w:val="24"/>
        </w:rPr>
        <w:t>保洁期内发现损坏路牌行为应及时制止并告知甲方。</w:t>
      </w:r>
    </w:p>
    <w:p w14:paraId="1723DBF0">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4</w:t>
      </w:r>
      <w:r>
        <w:rPr>
          <w:rFonts w:hint="eastAsia"/>
          <w:color w:val="auto"/>
          <w:sz w:val="24"/>
          <w:lang w:eastAsia="zh-CN"/>
        </w:rPr>
        <w:t>.</w:t>
      </w:r>
      <w:r>
        <w:rPr>
          <w:rFonts w:hint="eastAsia"/>
          <w:color w:val="auto"/>
          <w:sz w:val="24"/>
        </w:rPr>
        <w:t>保洁期间发现路牌缺失、损毁或工程围挡影响路牌正常发挥指位功能应及时告知甲方。</w:t>
      </w:r>
    </w:p>
    <w:p w14:paraId="6E029C7F">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5</w:t>
      </w:r>
      <w:r>
        <w:rPr>
          <w:rFonts w:hint="eastAsia"/>
          <w:color w:val="auto"/>
          <w:sz w:val="24"/>
          <w:lang w:eastAsia="zh-CN"/>
        </w:rPr>
        <w:t>.</w:t>
      </w:r>
      <w:r>
        <w:rPr>
          <w:rFonts w:hint="eastAsia"/>
          <w:color w:val="auto"/>
          <w:sz w:val="24"/>
        </w:rPr>
        <w:t>保洁期内每月更新一次路牌底数、 点位台账，</w:t>
      </w:r>
      <w:r>
        <w:rPr>
          <w:rFonts w:hint="eastAsia"/>
          <w:color w:val="auto"/>
          <w:sz w:val="24"/>
          <w:lang w:val="en-US" w:eastAsia="zh-CN"/>
        </w:rPr>
        <w:t>及时上</w:t>
      </w:r>
      <w:r>
        <w:rPr>
          <w:rFonts w:hint="eastAsia"/>
          <w:color w:val="auto"/>
          <w:sz w:val="24"/>
        </w:rPr>
        <w:t>报甲方。</w:t>
      </w:r>
    </w:p>
    <w:p w14:paraId="47348819">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6</w:t>
      </w:r>
      <w:r>
        <w:rPr>
          <w:rFonts w:hint="eastAsia"/>
          <w:color w:val="auto"/>
          <w:sz w:val="24"/>
          <w:lang w:eastAsia="zh-CN"/>
        </w:rPr>
        <w:t>.</w:t>
      </w:r>
      <w:r>
        <w:rPr>
          <w:rFonts w:hint="eastAsia"/>
          <w:color w:val="auto"/>
          <w:sz w:val="24"/>
        </w:rPr>
        <w:t>每周按要求报送巡查保洁维护工作台账，包括当周巡查、保洁、维护数量及相关影像资料。</w:t>
      </w:r>
    </w:p>
    <w:p w14:paraId="76111D8B">
      <w:pPr>
        <w:keepNext w:val="0"/>
        <w:keepLines w:val="0"/>
        <w:pageBreakBefore w:val="0"/>
        <w:widowControl w:val="0"/>
        <w:numPr>
          <w:ilvl w:val="0"/>
          <w:numId w:val="0"/>
        </w:numPr>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lang w:val="en-US" w:eastAsia="zh-CN"/>
        </w:rPr>
        <w:t>7.</w:t>
      </w:r>
      <w:r>
        <w:rPr>
          <w:rFonts w:hint="eastAsia"/>
          <w:color w:val="auto"/>
          <w:sz w:val="24"/>
        </w:rPr>
        <w:t>遇重大活动，应按照甲方要求集中持续巡查维护，保证不影响西安城市形象。</w:t>
      </w:r>
    </w:p>
    <w:p w14:paraId="5C45409E">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（四）服务质量以合同约定和</w:t>
      </w:r>
      <w:r>
        <w:rPr>
          <w:rFonts w:hint="eastAsia"/>
          <w:color w:val="auto"/>
          <w:sz w:val="24"/>
          <w:lang w:val="en-US" w:eastAsia="zh-CN"/>
        </w:rPr>
        <w:t>磋商</w:t>
      </w:r>
      <w:r>
        <w:rPr>
          <w:rFonts w:hint="eastAsia"/>
          <w:color w:val="auto"/>
          <w:sz w:val="24"/>
        </w:rPr>
        <w:t>文件为依据。</w:t>
      </w:r>
    </w:p>
    <w:p w14:paraId="1732203C">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ascii="黑体" w:hAnsi="黑体" w:eastAsia="黑体" w:cs="黑体"/>
          <w:color w:val="auto"/>
          <w:sz w:val="24"/>
        </w:rPr>
        <w:t>七、验收</w:t>
      </w:r>
    </w:p>
    <w:p w14:paraId="1FBF3071">
      <w:pPr>
        <w:keepNext w:val="0"/>
        <w:keepLines w:val="0"/>
        <w:pageBreakBefore w:val="0"/>
        <w:widowControl w:val="0"/>
        <w:wordWrap/>
        <w:overflowPunct/>
        <w:topLinePunct w:val="0"/>
        <w:autoSpaceDE/>
        <w:autoSpaceDN/>
        <w:bidi w:val="0"/>
        <w:adjustRightInd/>
        <w:snapToGrid/>
        <w:spacing w:line="520" w:lineRule="exact"/>
        <w:ind w:firstLine="240" w:firstLineChars="100"/>
        <w:textAlignment w:val="auto"/>
        <w:rPr>
          <w:rFonts w:hint="eastAsia"/>
          <w:color w:val="auto"/>
          <w:sz w:val="24"/>
        </w:rPr>
      </w:pPr>
      <w:r>
        <w:rPr>
          <w:rFonts w:hint="eastAsia"/>
          <w:color w:val="auto"/>
          <w:sz w:val="24"/>
        </w:rPr>
        <w:t>（一）乙方每周根据保洁维护实际情况，填写保洁维护周报并报送相关保洁维护工作照片，同时每月提供路牌点位资料作为最终结算依据。</w:t>
      </w:r>
    </w:p>
    <w:p w14:paraId="7B6901C3">
      <w:pPr>
        <w:keepNext w:val="0"/>
        <w:keepLines w:val="0"/>
        <w:pageBreakBefore w:val="0"/>
        <w:widowControl w:val="0"/>
        <w:wordWrap/>
        <w:overflowPunct/>
        <w:topLinePunct w:val="0"/>
        <w:autoSpaceDE/>
        <w:autoSpaceDN/>
        <w:bidi w:val="0"/>
        <w:adjustRightInd/>
        <w:snapToGrid/>
        <w:spacing w:line="520" w:lineRule="exact"/>
        <w:ind w:firstLine="240" w:firstLineChars="100"/>
        <w:textAlignment w:val="auto"/>
        <w:rPr>
          <w:rFonts w:hint="eastAsia"/>
          <w:color w:val="auto"/>
          <w:sz w:val="24"/>
        </w:rPr>
      </w:pPr>
      <w:r>
        <w:rPr>
          <w:rFonts w:hint="eastAsia"/>
          <w:color w:val="auto"/>
          <w:sz w:val="24"/>
        </w:rPr>
        <w:t>（二）最终验收：服务内容完成后先由乙方进行自检，自检合格后甲方组织验收，确认服务标准和服务方式是否达到采购要求，验收时乙方应派员参加，共同对验收结果进行确认，并承担相关责任。经甲方验收合格后，填写政府采购项目履约验收单作为对服务的最终认可。</w:t>
      </w:r>
    </w:p>
    <w:p w14:paraId="15028DF7">
      <w:pPr>
        <w:keepNext w:val="0"/>
        <w:keepLines w:val="0"/>
        <w:pageBreakBefore w:val="0"/>
        <w:widowControl w:val="0"/>
        <w:wordWrap/>
        <w:overflowPunct/>
        <w:topLinePunct w:val="0"/>
        <w:autoSpaceDE/>
        <w:autoSpaceDN/>
        <w:bidi w:val="0"/>
        <w:adjustRightInd/>
        <w:snapToGrid/>
        <w:spacing w:line="520" w:lineRule="exact"/>
        <w:ind w:firstLine="240" w:firstLineChars="100"/>
        <w:textAlignment w:val="auto"/>
        <w:rPr>
          <w:rFonts w:hint="eastAsia"/>
          <w:color w:val="auto"/>
          <w:sz w:val="24"/>
        </w:rPr>
      </w:pPr>
      <w:r>
        <w:rPr>
          <w:rFonts w:hint="eastAsia"/>
          <w:color w:val="auto"/>
          <w:sz w:val="24"/>
        </w:rPr>
        <w:t>（三）验收依据</w:t>
      </w:r>
    </w:p>
    <w:p w14:paraId="068C347F">
      <w:pPr>
        <w:keepNext w:val="0"/>
        <w:keepLines w:val="0"/>
        <w:pageBreakBefore w:val="0"/>
        <w:widowControl w:val="0"/>
        <w:wordWrap/>
        <w:overflowPunct/>
        <w:topLinePunct w:val="0"/>
        <w:autoSpaceDE/>
        <w:autoSpaceDN/>
        <w:bidi w:val="0"/>
        <w:adjustRightInd/>
        <w:snapToGrid/>
        <w:spacing w:line="520" w:lineRule="exact"/>
        <w:ind w:firstLine="240" w:firstLineChars="100"/>
        <w:textAlignment w:val="auto"/>
        <w:rPr>
          <w:rFonts w:hint="eastAsia"/>
          <w:color w:val="auto"/>
          <w:sz w:val="24"/>
        </w:rPr>
      </w:pPr>
      <w:r>
        <w:rPr>
          <w:rFonts w:hint="eastAsia"/>
          <w:color w:val="auto"/>
          <w:sz w:val="24"/>
        </w:rPr>
        <w:t>1</w:t>
      </w:r>
      <w:r>
        <w:rPr>
          <w:rFonts w:hint="eastAsia"/>
          <w:color w:val="auto"/>
          <w:sz w:val="24"/>
          <w:lang w:eastAsia="zh-CN"/>
        </w:rPr>
        <w:t>.</w:t>
      </w:r>
      <w:r>
        <w:rPr>
          <w:rFonts w:hint="eastAsia"/>
          <w:color w:val="auto"/>
          <w:sz w:val="24"/>
        </w:rPr>
        <w:t>磋商文件、磋商响应文件；</w:t>
      </w:r>
    </w:p>
    <w:p w14:paraId="32C856FC">
      <w:pPr>
        <w:keepNext w:val="0"/>
        <w:keepLines w:val="0"/>
        <w:pageBreakBefore w:val="0"/>
        <w:widowControl w:val="0"/>
        <w:wordWrap/>
        <w:overflowPunct/>
        <w:topLinePunct w:val="0"/>
        <w:autoSpaceDE/>
        <w:autoSpaceDN/>
        <w:bidi w:val="0"/>
        <w:adjustRightInd/>
        <w:snapToGrid/>
        <w:spacing w:line="520" w:lineRule="exact"/>
        <w:ind w:firstLine="240" w:firstLineChars="100"/>
        <w:textAlignment w:val="auto"/>
        <w:rPr>
          <w:rFonts w:hint="eastAsia"/>
          <w:color w:val="auto"/>
          <w:sz w:val="24"/>
        </w:rPr>
      </w:pPr>
      <w:r>
        <w:rPr>
          <w:rFonts w:hint="eastAsia"/>
          <w:color w:val="auto"/>
          <w:sz w:val="24"/>
        </w:rPr>
        <w:t>2</w:t>
      </w:r>
      <w:r>
        <w:rPr>
          <w:rFonts w:hint="eastAsia"/>
          <w:color w:val="auto"/>
          <w:sz w:val="24"/>
          <w:lang w:eastAsia="zh-CN"/>
        </w:rPr>
        <w:t>.</w:t>
      </w:r>
      <w:r>
        <w:rPr>
          <w:rFonts w:hint="eastAsia"/>
          <w:color w:val="auto"/>
          <w:sz w:val="24"/>
        </w:rPr>
        <w:t>本合同及附件文本；</w:t>
      </w:r>
    </w:p>
    <w:p w14:paraId="68A4BC25">
      <w:pPr>
        <w:keepNext w:val="0"/>
        <w:keepLines w:val="0"/>
        <w:pageBreakBefore w:val="0"/>
        <w:widowControl w:val="0"/>
        <w:wordWrap/>
        <w:overflowPunct/>
        <w:topLinePunct w:val="0"/>
        <w:autoSpaceDE/>
        <w:autoSpaceDN/>
        <w:bidi w:val="0"/>
        <w:adjustRightInd/>
        <w:snapToGrid/>
        <w:spacing w:line="520" w:lineRule="exact"/>
        <w:ind w:firstLine="240" w:firstLineChars="100"/>
        <w:textAlignment w:val="auto"/>
        <w:rPr>
          <w:rFonts w:hint="eastAsia"/>
          <w:color w:val="auto"/>
          <w:sz w:val="24"/>
        </w:rPr>
      </w:pPr>
      <w:r>
        <w:rPr>
          <w:rFonts w:hint="eastAsia"/>
          <w:color w:val="auto"/>
          <w:sz w:val="24"/>
        </w:rPr>
        <w:t>3</w:t>
      </w:r>
      <w:r>
        <w:rPr>
          <w:rFonts w:hint="eastAsia"/>
          <w:color w:val="auto"/>
          <w:sz w:val="24"/>
          <w:lang w:eastAsia="zh-CN"/>
        </w:rPr>
        <w:t>.</w:t>
      </w:r>
      <w:r>
        <w:rPr>
          <w:rFonts w:hint="eastAsia"/>
          <w:color w:val="auto"/>
          <w:sz w:val="24"/>
        </w:rPr>
        <w:t>合同签订时国家及行业现行的标准和技术规范。</w:t>
      </w:r>
    </w:p>
    <w:p w14:paraId="14C94965">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ascii="黑体" w:hAnsi="黑体" w:eastAsia="黑体" w:cs="黑体"/>
          <w:color w:val="auto"/>
          <w:sz w:val="24"/>
        </w:rPr>
        <w:t>九、违约责任及合同解除</w:t>
      </w:r>
    </w:p>
    <w:p w14:paraId="46AAAC7E">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（一）按《中华人民共和国民法典》等法律法规中的相关合同条款执行。</w:t>
      </w:r>
    </w:p>
    <w:p w14:paraId="3D96504D">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二）未按合同要求提供服务或服务质量不能满足合同要求，甲方应当将乙方违约的情况以及拟采取的措施以书面形式报政府采购监管部门，根据政府采购监管部门的处理意见，甲方有权依据《中华人民共和国民法典》有关条款及合同约定终止合同，并要求乙方承担合同总价款20%的违约</w:t>
      </w:r>
      <w:r>
        <w:rPr>
          <w:rFonts w:hint="eastAsia"/>
          <w:color w:val="auto"/>
          <w:sz w:val="24"/>
          <w:lang w:val="en-US" w:eastAsia="zh-CN"/>
        </w:rPr>
        <w:t>金</w:t>
      </w:r>
      <w:r>
        <w:rPr>
          <w:rFonts w:hint="eastAsia"/>
          <w:color w:val="auto"/>
          <w:sz w:val="24"/>
        </w:rPr>
        <w:t>。同时，政府采购监管部门有权依据《中华人民共和国政府采购法》及相关法律法规对乙方的违法行为进行相应的处罚。</w:t>
      </w:r>
    </w:p>
    <w:p w14:paraId="4415E544">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（三）甲方对乙方保洁工作可以随时考核检查，若发现未达合同要求的，每次乙方应向甲方支付1000元违约金。</w:t>
      </w:r>
    </w:p>
    <w:p w14:paraId="6A96D50A">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（四）在本合同履行过程中，双方因违约或造成对方经济、社会效益等损失的应当赔偿。</w:t>
      </w:r>
    </w:p>
    <w:p w14:paraId="1715D23E">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（五）乙方提供的服务不符合本项目相关文件和本合同规定的，甲方有权拒绝，并且乙方须向甲方支付本合同总价款5%的违约金。</w:t>
      </w:r>
    </w:p>
    <w:p w14:paraId="52C626F2">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六）乙方未能按照本合同约定时间提供服务或完成约定的项目服务内容的，从逾期之日起每日按本合同总价款3%的数额向甲方支付违约金；逾期30日以上的，甲方有权终止合同，由此造成的甲方经济损失由乙方承担。</w:t>
      </w:r>
    </w:p>
    <w:p w14:paraId="1B953AA9">
      <w:pPr>
        <w:keepNext w:val="0"/>
        <w:keepLines w:val="0"/>
        <w:pageBreakBefore w:val="0"/>
        <w:widowControl w:val="0"/>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（七）本合同履行过程中产生的一切违约金、赔偿金等费用，甲方有权直接从乙方服务费中直接扣除。</w:t>
      </w:r>
    </w:p>
    <w:p w14:paraId="3C02157F">
      <w:pPr>
        <w:keepNext w:val="0"/>
        <w:keepLines w:val="0"/>
        <w:pageBreakBefore w:val="0"/>
        <w:widowControl w:val="0"/>
        <w:wordWrap/>
        <w:overflowPunct/>
        <w:topLinePunct w:val="0"/>
        <w:autoSpaceDE/>
        <w:autoSpaceDN/>
        <w:bidi w:val="0"/>
        <w:adjustRightInd/>
        <w:snapToGrid/>
        <w:spacing w:line="500" w:lineRule="exact"/>
        <w:textAlignment w:val="auto"/>
        <w:rPr>
          <w:color w:val="auto"/>
          <w:sz w:val="24"/>
        </w:rPr>
      </w:pPr>
      <w:r>
        <w:rPr>
          <w:rFonts w:hint="eastAsia"/>
          <w:color w:val="auto"/>
          <w:sz w:val="24"/>
        </w:rPr>
        <w:t>（八）未经甲方间意，乙方不得擅自将本合同服务转包第三方承担。</w:t>
      </w:r>
    </w:p>
    <w:p w14:paraId="40941CB5">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（九）合问履行期间，如遇不可抗力，致使合同无法履行时，双方应按有关法律规定及时协商处理，甲乙双方均不承担违约或者赔偿责任。“不可抗力”指地震、 雷电、火灾、水灾、战争、自然灾害、禁运、停电、疫情等不可预见或避免的事故。</w:t>
      </w:r>
    </w:p>
    <w:p w14:paraId="5D5AD669">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（十）乙方出现下列情形之一的，甲方有权立即解除本协议，拒绝支付任何费用，甲方已支付的费用乙方应在合同解除之日起3日内返还，逾期返还的，每逾期一日， 需按照欠付金额的千分之一按日向甲方支付违约金，并赔偿由此给甲方带来的全部损失。乙方还需按照本协议总费用的20%向甲方支付违约金，并赔偿由此给甲方带来的全部损失：</w:t>
      </w:r>
    </w:p>
    <w:p w14:paraId="01AA9F8C">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（1）乙方逾期进行巡查保洁或逾期提交工作台账等合同约定资料超过5日的。</w:t>
      </w:r>
    </w:p>
    <w:p w14:paraId="25A743AF">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（2）乙方未按照合同约定范围、频率进行巡查保洁，或服务质量存在严重瑕疵的。</w:t>
      </w:r>
    </w:p>
    <w:p w14:paraId="28642990">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（3）未经甲方书面同意，乙方擅自将本协议项下的权利义务转让给第三方的。</w:t>
      </w:r>
    </w:p>
    <w:p w14:paraId="0F7AFB62">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（4）因乙方或乙方员工造成甲方损失的（包括名誉损失），或乙方员工聚众闹事，造成不良社会影响的。</w:t>
      </w:r>
    </w:p>
    <w:p w14:paraId="282B3BF8">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（5）乙方违反本协议项下义务，情节严重的；或经甲方提醒，拒不改正的；或乙方根本违约的。</w:t>
      </w:r>
    </w:p>
    <w:p w14:paraId="0CCD267D">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（6）有证据表明乙方履约能力不足的。</w:t>
      </w:r>
    </w:p>
    <w:p w14:paraId="3F3AF671">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（十一）除本合同约定的违约责任外，造成甲方损失的，乙方还需赔偿甲方全部损失，包括但不限于律师费、诉讼费、保全保险费等。</w:t>
      </w:r>
    </w:p>
    <w:p w14:paraId="6BA53E69">
      <w:pPr>
        <w:keepNext w:val="0"/>
        <w:keepLines w:val="0"/>
        <w:pageBreakBefore w:val="0"/>
        <w:widowControl w:val="0"/>
        <w:wordWrap/>
        <w:overflowPunct/>
        <w:topLinePunct w:val="0"/>
        <w:autoSpaceDE/>
        <w:autoSpaceDN/>
        <w:bidi w:val="0"/>
        <w:adjustRightInd/>
        <w:snapToGrid/>
        <w:spacing w:line="500" w:lineRule="exact"/>
        <w:ind w:firstLine="240" w:firstLineChars="100"/>
        <w:textAlignment w:val="auto"/>
        <w:rPr>
          <w:rFonts w:hint="eastAsia" w:ascii="黑体" w:hAnsi="黑体" w:eastAsia="黑体" w:cs="黑体"/>
          <w:color w:val="auto"/>
          <w:sz w:val="24"/>
        </w:rPr>
      </w:pPr>
      <w:r>
        <w:rPr>
          <w:rFonts w:hint="eastAsia" w:ascii="黑体" w:hAnsi="黑体" w:eastAsia="黑体" w:cs="黑体"/>
          <w:color w:val="auto"/>
          <w:sz w:val="24"/>
        </w:rPr>
        <w:t>十二、争议解决</w:t>
      </w:r>
    </w:p>
    <w:p w14:paraId="6A14FC88">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（一）本合同在履行过程中发生的争议，由甲、乙双方当事人协商解决，协商不成的按下列第2种方式解决：</w:t>
      </w:r>
    </w:p>
    <w:p w14:paraId="6AD30876">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1</w:t>
      </w:r>
      <w:r>
        <w:rPr>
          <w:rFonts w:hint="eastAsia"/>
          <w:color w:val="auto"/>
          <w:sz w:val="24"/>
          <w:lang w:eastAsia="zh-CN"/>
        </w:rPr>
        <w:t>.</w:t>
      </w:r>
      <w:r>
        <w:rPr>
          <w:rFonts w:hint="eastAsia"/>
          <w:color w:val="auto"/>
          <w:sz w:val="24"/>
        </w:rPr>
        <w:t>提交西安</w:t>
      </w:r>
      <w:r>
        <w:rPr>
          <w:rFonts w:hint="eastAsia"/>
          <w:color w:val="auto"/>
          <w:sz w:val="24"/>
          <w:lang w:val="en-US" w:eastAsia="zh-CN"/>
        </w:rPr>
        <w:t>莲湖区</w:t>
      </w:r>
      <w:r>
        <w:rPr>
          <w:rFonts w:hint="eastAsia"/>
          <w:color w:val="auto"/>
          <w:sz w:val="24"/>
        </w:rPr>
        <w:t>仲裁委员会仲裁；</w:t>
      </w:r>
    </w:p>
    <w:p w14:paraId="56AFCAD8">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2</w:t>
      </w:r>
      <w:r>
        <w:rPr>
          <w:rFonts w:hint="eastAsia"/>
          <w:color w:val="auto"/>
          <w:sz w:val="24"/>
          <w:lang w:eastAsia="zh-CN"/>
        </w:rPr>
        <w:t>.</w:t>
      </w:r>
      <w:r>
        <w:rPr>
          <w:rFonts w:hint="eastAsia"/>
          <w:color w:val="auto"/>
          <w:sz w:val="24"/>
        </w:rPr>
        <w:t>依法向甲方所在地有管辖权的人民法院起诉。</w:t>
      </w:r>
    </w:p>
    <w:p w14:paraId="371DF664">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（二）本条款为独立条款，本合同的无效、变更、解除和终止均不影响本条款的效力。</w:t>
      </w:r>
    </w:p>
    <w:p w14:paraId="5F8A5A92">
      <w:pPr>
        <w:keepNext w:val="0"/>
        <w:keepLines w:val="0"/>
        <w:pageBreakBefore w:val="0"/>
        <w:widowControl w:val="0"/>
        <w:wordWrap/>
        <w:overflowPunct/>
        <w:topLinePunct w:val="0"/>
        <w:autoSpaceDE/>
        <w:autoSpaceDN/>
        <w:bidi w:val="0"/>
        <w:adjustRightInd/>
        <w:snapToGrid/>
        <w:spacing w:line="500" w:lineRule="exact"/>
        <w:ind w:firstLine="240" w:firstLineChars="100"/>
        <w:textAlignment w:val="auto"/>
        <w:rPr>
          <w:rFonts w:hint="eastAsia" w:ascii="黑体" w:hAnsi="黑体" w:eastAsia="黑体" w:cs="黑体"/>
          <w:color w:val="auto"/>
          <w:sz w:val="24"/>
        </w:rPr>
      </w:pPr>
      <w:r>
        <w:rPr>
          <w:rFonts w:hint="eastAsia" w:ascii="黑体" w:hAnsi="黑体" w:eastAsia="黑体" w:cs="黑体"/>
          <w:color w:val="auto"/>
          <w:sz w:val="24"/>
        </w:rPr>
        <w:t>十三、合同变更</w:t>
      </w:r>
    </w:p>
    <w:p w14:paraId="021E5159">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在合同的履行期内，双方均不得随意变更或解除合同。如因项目需求情况发生变化，需要项目变更的，应双方协商后签订项目变更协议，并经鉴证方确认后生效（如双方变更事项不能达成一致的，仍按原合同履行，否则视为违约）</w:t>
      </w:r>
    </w:p>
    <w:p w14:paraId="183816AE">
      <w:pPr>
        <w:keepNext w:val="0"/>
        <w:keepLines w:val="0"/>
        <w:pageBreakBefore w:val="0"/>
        <w:widowControl w:val="0"/>
        <w:wordWrap/>
        <w:overflowPunct/>
        <w:topLinePunct w:val="0"/>
        <w:autoSpaceDE/>
        <w:autoSpaceDN/>
        <w:bidi w:val="0"/>
        <w:adjustRightInd/>
        <w:snapToGrid/>
        <w:spacing w:line="500" w:lineRule="exact"/>
        <w:textAlignment w:val="auto"/>
        <w:rPr>
          <w:rFonts w:hint="eastAsia" w:ascii="黑体" w:hAnsi="黑体" w:eastAsia="黑体" w:cs="黑体"/>
          <w:color w:val="auto"/>
          <w:sz w:val="24"/>
        </w:rPr>
      </w:pPr>
      <w:r>
        <w:rPr>
          <w:rFonts w:hint="eastAsia" w:ascii="黑体" w:hAnsi="黑体" w:eastAsia="黑体" w:cs="黑体"/>
          <w:color w:val="auto"/>
          <w:sz w:val="24"/>
        </w:rPr>
        <w:t>十四、合同生效</w:t>
      </w:r>
    </w:p>
    <w:p w14:paraId="61F75A1B">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本合同一式</w:t>
      </w:r>
      <w:r>
        <w:rPr>
          <w:rFonts w:hint="eastAsia"/>
          <w:color w:val="auto"/>
          <w:sz w:val="24"/>
          <w:u w:val="single"/>
          <w:lang w:val="en-US" w:eastAsia="zh-CN"/>
        </w:rPr>
        <w:t xml:space="preserve"> 2 </w:t>
      </w:r>
      <w:r>
        <w:rPr>
          <w:rFonts w:hint="eastAsia"/>
          <w:color w:val="auto"/>
          <w:sz w:val="24"/>
        </w:rPr>
        <w:t>份，甲方持</w:t>
      </w:r>
      <w:r>
        <w:rPr>
          <w:rFonts w:hint="eastAsia"/>
          <w:color w:val="auto"/>
          <w:sz w:val="24"/>
          <w:u w:val="single"/>
          <w:lang w:val="en-US" w:eastAsia="zh-CN"/>
        </w:rPr>
        <w:t xml:space="preserve">  1</w:t>
      </w:r>
      <w:r>
        <w:rPr>
          <w:rFonts w:hint="eastAsia"/>
          <w:color w:val="auto"/>
          <w:sz w:val="24"/>
        </w:rPr>
        <w:t>份，乙方持</w:t>
      </w:r>
      <w:r>
        <w:rPr>
          <w:rFonts w:hint="eastAsia"/>
          <w:color w:val="auto"/>
          <w:sz w:val="24"/>
          <w:u w:val="single"/>
          <w:lang w:val="en-US" w:eastAsia="zh-CN"/>
        </w:rPr>
        <w:t xml:space="preserve">  1 </w:t>
      </w:r>
      <w:r>
        <w:rPr>
          <w:rFonts w:hint="eastAsia"/>
          <w:color w:val="auto"/>
          <w:sz w:val="24"/>
        </w:rPr>
        <w:t>份，本合同甲、乙各方法定代表人或授权代表签字并盖公章或合同专用章后生效，合同履行完毕后，自动失效（合同的服务承诺则长期有效）。</w:t>
      </w:r>
    </w:p>
    <w:p w14:paraId="136656E7">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ascii="黑体" w:hAnsi="黑体" w:eastAsia="黑体" w:cs="黑体"/>
          <w:color w:val="auto"/>
          <w:sz w:val="24"/>
        </w:rPr>
        <w:t>十五、其他事项</w:t>
      </w:r>
    </w:p>
    <w:p w14:paraId="03A84F37">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w:t>
      </w:r>
      <w:r>
        <w:rPr>
          <w:rFonts w:hint="eastAsia"/>
          <w:color w:val="auto"/>
          <w:sz w:val="24"/>
          <w:lang w:val="en-US" w:eastAsia="zh-CN"/>
        </w:rPr>
        <w:t>一</w:t>
      </w:r>
      <w:r>
        <w:rPr>
          <w:rFonts w:hint="eastAsia"/>
          <w:color w:val="auto"/>
          <w:sz w:val="24"/>
        </w:rPr>
        <w:t>）</w:t>
      </w:r>
      <w:r>
        <w:rPr>
          <w:rFonts w:hint="eastAsia"/>
          <w:color w:val="auto"/>
          <w:sz w:val="24"/>
          <w:lang w:val="en-US" w:eastAsia="zh-CN"/>
        </w:rPr>
        <w:t>磋商</w:t>
      </w:r>
      <w:r>
        <w:rPr>
          <w:rFonts w:hint="eastAsia"/>
          <w:color w:val="auto"/>
          <w:sz w:val="24"/>
        </w:rPr>
        <w:t>文件、</w:t>
      </w:r>
      <w:r>
        <w:rPr>
          <w:rFonts w:hint="eastAsia"/>
          <w:color w:val="auto"/>
          <w:sz w:val="24"/>
          <w:lang w:val="en-US" w:eastAsia="zh-CN"/>
        </w:rPr>
        <w:t>响应</w:t>
      </w:r>
      <w:r>
        <w:rPr>
          <w:rFonts w:hint="eastAsia"/>
          <w:color w:val="auto"/>
          <w:sz w:val="24"/>
        </w:rPr>
        <w:t>文件、</w:t>
      </w:r>
      <w:r>
        <w:rPr>
          <w:rFonts w:hint="eastAsia"/>
          <w:color w:val="auto"/>
          <w:sz w:val="24"/>
          <w:lang w:val="en-US" w:eastAsia="zh-CN"/>
        </w:rPr>
        <w:t>成交</w:t>
      </w:r>
      <w:r>
        <w:rPr>
          <w:rFonts w:hint="eastAsia"/>
          <w:color w:val="auto"/>
          <w:sz w:val="24"/>
        </w:rPr>
        <w:t>通知书、合同附件均成为合同不可分割的部分。</w:t>
      </w:r>
    </w:p>
    <w:p w14:paraId="2F10D27B">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w:t>
      </w:r>
      <w:r>
        <w:rPr>
          <w:rFonts w:hint="eastAsia"/>
          <w:color w:val="auto"/>
          <w:sz w:val="24"/>
          <w:lang w:val="en-US" w:eastAsia="zh-CN"/>
        </w:rPr>
        <w:t>二</w:t>
      </w:r>
      <w:r>
        <w:rPr>
          <w:rFonts w:hint="eastAsia"/>
          <w:color w:val="auto"/>
          <w:sz w:val="24"/>
        </w:rPr>
        <w:t>）合同未尽事宜，由甲、乙双方协商并经鉴证方确认后签订政府采购补充合同，与原合同具有同等法律效力。</w:t>
      </w:r>
    </w:p>
    <w:p w14:paraId="130016BF">
      <w:pPr>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sz w:val="24"/>
        </w:rPr>
      </w:pPr>
      <w:r>
        <w:rPr>
          <w:rFonts w:hint="eastAsia"/>
          <w:color w:val="auto"/>
          <w:sz w:val="24"/>
        </w:rPr>
        <w:t>（</w:t>
      </w:r>
      <w:r>
        <w:rPr>
          <w:rFonts w:hint="eastAsia"/>
          <w:color w:val="auto"/>
          <w:sz w:val="24"/>
          <w:lang w:val="en-US" w:eastAsia="zh-CN"/>
        </w:rPr>
        <w:t>三</w:t>
      </w:r>
      <w:r>
        <w:rPr>
          <w:rFonts w:hint="eastAsia"/>
          <w:color w:val="auto"/>
          <w:sz w:val="24"/>
        </w:rPr>
        <w:t>）本协议中的通讯地址为甲、乙双方互发函件确认能够接收的地址，若有变更应在变更后3个工作日内书面通知对方，否则对方按此地址送达的任何文件在发出3日后即视为送达。若发生纠纷的，该地址作为法院或仲裁机构寄发相应法律文件的送达地址，因一方预留地址有误或变更通讯地址而未通知对方的，对方、法院或仲裁机构按原地址发出通知或文件3日后，视为已送达。以电子邮件方式发送的，发送之日视为已送达。</w:t>
      </w:r>
    </w:p>
    <w:p w14:paraId="4B0002C0">
      <w:pPr>
        <w:keepNext w:val="0"/>
        <w:keepLines w:val="0"/>
        <w:pageBreakBefore w:val="0"/>
        <w:widowControl w:val="0"/>
        <w:tabs>
          <w:tab w:val="left" w:pos="980"/>
        </w:tabs>
        <w:kinsoku w:val="0"/>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color w:val="auto"/>
          <w:sz w:val="24"/>
        </w:rPr>
        <w:t>（六）本协议所有条款均为打印文本，对任何手写修改，应在修改处双方签字盖章后生效。本协议履行过程中所有涉及甲方义务增加部分，任何人签字均不对甲方产生约束力，均需甲方书面文书并加盖公章。否则所产生的一切不利后果及费用增加均由乙方自行承担。</w:t>
      </w:r>
    </w:p>
    <w:p w14:paraId="06ABA267">
      <w:pPr>
        <w:tabs>
          <w:tab w:val="left" w:pos="980"/>
        </w:tabs>
        <w:kinsoku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46B90DB6">
      <w:pPr>
        <w:keepNext w:val="0"/>
        <w:keepLines w:val="0"/>
        <w:pageBreakBefore w:val="0"/>
        <w:widowControl w:val="0"/>
        <w:kinsoku/>
        <w:wordWrap/>
        <w:overflowPunct/>
        <w:topLinePunct w:val="0"/>
        <w:autoSpaceDE/>
        <w:autoSpaceDN/>
        <w:bidi w:val="0"/>
        <w:spacing w:line="300" w:lineRule="exact"/>
        <w:ind w:left="5415" w:leftChars="229" w:hanging="4934" w:hangingChars="2056"/>
        <w:jc w:val="both"/>
        <w:textAlignment w:val="auto"/>
        <w:rPr>
          <w:rFonts w:hint="eastAsia" w:ascii="宋体" w:hAnsi="宋体" w:eastAsia="宋体" w:cs="宋体"/>
          <w:color w:val="auto"/>
          <w:sz w:val="24"/>
          <w:szCs w:val="24"/>
          <w:lang w:val="en-US" w:eastAsia="zh-CN"/>
        </w:rPr>
      </w:pPr>
    </w:p>
    <w:p w14:paraId="1E70CA9F">
      <w:pPr>
        <w:keepNext w:val="0"/>
        <w:keepLines w:val="0"/>
        <w:pageBreakBefore w:val="0"/>
        <w:widowControl w:val="0"/>
        <w:kinsoku/>
        <w:wordWrap/>
        <w:overflowPunct/>
        <w:topLinePunct w:val="0"/>
        <w:autoSpaceDE/>
        <w:autoSpaceDN/>
        <w:bidi w:val="0"/>
        <w:spacing w:line="240" w:lineRule="exact"/>
        <w:ind w:left="5415" w:leftChars="229" w:hanging="4934" w:hangingChars="2056"/>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w:t>
      </w:r>
      <w:r>
        <w:rPr>
          <w:rFonts w:hint="eastAsia" w:cs="宋体" w:asciiTheme="minorEastAsia" w:hAnsiTheme="minorEastAsia" w:eastAsiaTheme="minorEastAsia"/>
          <w:color w:val="auto"/>
          <w:sz w:val="24"/>
          <w:highlight w:val="none"/>
          <w:u w:val="single"/>
          <w:lang w:eastAsia="zh-CN"/>
        </w:rPr>
        <w:t>西安市莲湖区民政局</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陕西宸逸贵建筑工程有限公司</w:t>
      </w:r>
    </w:p>
    <w:p w14:paraId="11D2E06C">
      <w:pPr>
        <w:pStyle w:val="2"/>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rPr>
          <w:rFonts w:hint="default"/>
          <w:color w:val="auto"/>
          <w:lang w:val="en-US" w:eastAsia="zh-CN"/>
        </w:rPr>
      </w:pPr>
    </w:p>
    <w:p w14:paraId="70C28545">
      <w:pPr>
        <w:pStyle w:val="2"/>
        <w:keepNext w:val="0"/>
        <w:keepLines w:val="0"/>
        <w:pageBreakBefore w:val="0"/>
        <w:widowControl w:val="0"/>
        <w:kinsoku/>
        <w:wordWrap/>
        <w:overflowPunct/>
        <w:topLinePunct w:val="0"/>
        <w:autoSpaceDE/>
        <w:autoSpaceDN/>
        <w:bidi w:val="0"/>
        <w:spacing w:line="240" w:lineRule="exact"/>
        <w:textAlignment w:val="auto"/>
        <w:rPr>
          <w:rFonts w:hint="eastAsia"/>
          <w:color w:val="auto"/>
        </w:rPr>
      </w:pPr>
    </w:p>
    <w:p w14:paraId="718E7F18">
      <w:pPr>
        <w:keepNext w:val="0"/>
        <w:keepLines w:val="0"/>
        <w:pageBreakBefore w:val="0"/>
        <w:widowControl w:val="0"/>
        <w:kinsoku/>
        <w:wordWrap/>
        <w:overflowPunct/>
        <w:topLinePunct w:val="0"/>
        <w:autoSpaceDE/>
        <w:autoSpaceDN/>
        <w:bidi w:val="0"/>
        <w:spacing w:line="240" w:lineRule="exact"/>
        <w:ind w:left="5385" w:leftChars="0" w:hanging="4905" w:firstLineChars="0"/>
        <w:textAlignment w:val="auto"/>
        <w:rPr>
          <w:rFonts w:hint="eastAsia" w:ascii="宋体" w:hAnsi="宋体" w:cs="宋体"/>
          <w:color w:val="auto"/>
          <w:szCs w:val="28"/>
          <w:u w:val="single"/>
        </w:rPr>
      </w:pPr>
      <w:r>
        <w:rPr>
          <w:rFonts w:hint="eastAsia" w:ascii="宋体" w:hAnsi="宋体" w:eastAsia="宋体" w:cs="宋体"/>
          <w:color w:val="auto"/>
          <w:sz w:val="24"/>
          <w:szCs w:val="24"/>
          <w:u w:val="none"/>
        </w:rPr>
        <w:t>地址：</w:t>
      </w:r>
      <w:r>
        <w:rPr>
          <w:rFonts w:hint="eastAsia" w:cs="宋体" w:asciiTheme="minorEastAsia" w:hAnsiTheme="minorEastAsia" w:eastAsiaTheme="minorEastAsia"/>
          <w:color w:val="auto"/>
          <w:sz w:val="24"/>
          <w:highlight w:val="none"/>
          <w:u w:val="single"/>
          <w:lang w:eastAsia="zh-CN"/>
        </w:rPr>
        <w:t>西安市莲湖区庙后街169号</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地址：</w:t>
      </w:r>
      <w:r>
        <w:rPr>
          <w:rFonts w:hint="eastAsia" w:ascii="宋体" w:hAnsi="宋体" w:cs="宋体"/>
          <w:color w:val="auto"/>
          <w:szCs w:val="28"/>
          <w:u w:val="single"/>
        </w:rPr>
        <w:t xml:space="preserve">陕西省西安市浐灞生态区兴泰一街127号3幢10810室 </w:t>
      </w:r>
    </w:p>
    <w:p w14:paraId="481013FD">
      <w:pPr>
        <w:pStyle w:val="2"/>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rPr>
          <w:rFonts w:hint="eastAsia"/>
          <w:color w:val="auto"/>
        </w:rPr>
      </w:pPr>
    </w:p>
    <w:p w14:paraId="229ED8D4">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邮政编码：</w:t>
      </w:r>
      <w:r>
        <w:rPr>
          <w:rFonts w:hint="eastAsia" w:ascii="宋体" w:hAnsi="宋体" w:cs="宋体"/>
          <w:color w:val="auto"/>
          <w:sz w:val="24"/>
          <w:szCs w:val="24"/>
          <w:u w:val="single"/>
          <w:lang w:val="en-US" w:eastAsia="zh-CN"/>
        </w:rPr>
        <w:t>710002</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邮政编码：</w:t>
      </w:r>
      <w:r>
        <w:rPr>
          <w:rFonts w:hint="eastAsia" w:ascii="宋体" w:hAnsi="宋体" w:cs="宋体"/>
          <w:color w:val="auto"/>
          <w:sz w:val="24"/>
          <w:szCs w:val="24"/>
          <w:u w:val="single"/>
          <w:lang w:val="en-US" w:eastAsia="zh-CN"/>
        </w:rPr>
        <w:t>710024</w:t>
      </w:r>
      <w:r>
        <w:rPr>
          <w:rFonts w:hint="eastAsia" w:ascii="宋体" w:hAnsi="宋体" w:eastAsia="宋体" w:cs="宋体"/>
          <w:color w:val="auto"/>
          <w:sz w:val="24"/>
          <w:szCs w:val="24"/>
          <w:u w:val="single"/>
        </w:rPr>
        <w:t xml:space="preserve"> </w:t>
      </w:r>
    </w:p>
    <w:p w14:paraId="23EEFC44">
      <w:pPr>
        <w:pStyle w:val="2"/>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rPr>
          <w:rFonts w:hint="eastAsia"/>
          <w:color w:val="auto"/>
        </w:rPr>
      </w:pPr>
    </w:p>
    <w:p w14:paraId="7FF8924A">
      <w:pPr>
        <w:keepNext w:val="0"/>
        <w:keepLines w:val="0"/>
        <w:pageBreakBefore w:val="0"/>
        <w:widowControl w:val="0"/>
        <w:kinsoku/>
        <w:wordWrap/>
        <w:overflowPunct/>
        <w:topLinePunct w:val="0"/>
        <w:autoSpaceDE/>
        <w:autoSpaceDN/>
        <w:bidi w:val="0"/>
        <w:adjustRightInd w:val="0"/>
        <w:snapToGrid w:val="0"/>
        <w:spacing w:line="24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法定代表人或其授权的代理人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法定代表人或其授权的代理人</w:t>
      </w:r>
    </w:p>
    <w:p w14:paraId="33EE41F3">
      <w:pPr>
        <w:keepNext w:val="0"/>
        <w:keepLines w:val="0"/>
        <w:pageBreakBefore w:val="0"/>
        <w:widowControl w:val="0"/>
        <w:kinsoku/>
        <w:wordWrap/>
        <w:overflowPunct/>
        <w:topLinePunct w:val="0"/>
        <w:autoSpaceDE/>
        <w:autoSpaceDN/>
        <w:bidi w:val="0"/>
        <w:adjustRightInd w:val="0"/>
        <w:snapToGrid w:val="0"/>
        <w:spacing w:line="240" w:lineRule="exact"/>
        <w:ind w:firstLine="475" w:firstLineChars="198"/>
        <w:textAlignment w:val="auto"/>
        <w:rPr>
          <w:rFonts w:hint="eastAsia" w:ascii="宋体" w:hAnsi="宋体" w:eastAsia="宋体" w:cs="宋体"/>
          <w:color w:val="auto"/>
          <w:sz w:val="24"/>
          <w:szCs w:val="24"/>
        </w:rPr>
      </w:pPr>
    </w:p>
    <w:p w14:paraId="4C16F75A">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u w:val="none"/>
        </w:rPr>
        <w:t>（签字</w:t>
      </w:r>
      <w:r>
        <w:rPr>
          <w:rFonts w:hint="eastAsia" w:ascii="宋体" w:hAnsi="宋体" w:cs="宋体"/>
          <w:color w:val="auto"/>
          <w:sz w:val="24"/>
          <w:szCs w:val="24"/>
          <w:u w:val="none"/>
          <w:lang w:val="en-US" w:eastAsia="zh-CN"/>
        </w:rPr>
        <w:t>或盖章</w:t>
      </w:r>
      <w:r>
        <w:rPr>
          <w:rFonts w:hint="eastAsia" w:ascii="宋体" w:hAnsi="宋体" w:eastAsia="宋体" w:cs="宋体"/>
          <w:color w:val="auto"/>
          <w:sz w:val="24"/>
          <w:szCs w:val="24"/>
          <w:u w:val="none"/>
        </w:rPr>
        <w:t>）</w:t>
      </w:r>
      <w:r>
        <w:rPr>
          <w:rFonts w:hint="eastAsia" w:ascii="宋体" w:hAnsi="宋体" w:cs="宋体"/>
          <w:color w:val="auto"/>
          <w:sz w:val="24"/>
          <w:szCs w:val="24"/>
          <w:u w:val="none"/>
          <w:lang w:eastAsia="zh-CN"/>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u w:val="none"/>
        </w:rPr>
        <w:t>（签字</w:t>
      </w:r>
      <w:r>
        <w:rPr>
          <w:rFonts w:hint="eastAsia" w:ascii="宋体" w:hAnsi="宋体" w:cs="宋体"/>
          <w:color w:val="auto"/>
          <w:sz w:val="24"/>
          <w:szCs w:val="24"/>
          <w:u w:val="none"/>
          <w:lang w:val="en-US" w:eastAsia="zh-CN"/>
        </w:rPr>
        <w:t>或盖章</w:t>
      </w:r>
      <w:r>
        <w:rPr>
          <w:rFonts w:hint="eastAsia" w:ascii="宋体" w:hAnsi="宋体" w:eastAsia="宋体" w:cs="宋体"/>
          <w:color w:val="auto"/>
          <w:sz w:val="24"/>
          <w:szCs w:val="24"/>
          <w:u w:val="none"/>
        </w:rPr>
        <w:t>）</w:t>
      </w:r>
      <w:r>
        <w:rPr>
          <w:rFonts w:hint="eastAsia" w:ascii="宋体" w:hAnsi="宋体" w:cs="宋体"/>
          <w:color w:val="auto"/>
          <w:sz w:val="24"/>
          <w:szCs w:val="24"/>
          <w:u w:val="none"/>
          <w:lang w:eastAsia="zh-CN"/>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p>
    <w:p w14:paraId="798EC259">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宋体" w:hAnsi="宋体" w:cs="宋体"/>
          <w:color w:val="auto"/>
          <w:sz w:val="24"/>
          <w:szCs w:val="24"/>
          <w:u w:val="single"/>
          <w:lang w:val="en-US" w:eastAsia="zh-CN"/>
        </w:rPr>
      </w:pPr>
    </w:p>
    <w:p w14:paraId="19139D83">
      <w:pPr>
        <w:keepNext w:val="0"/>
        <w:keepLines w:val="0"/>
        <w:pageBreakBefore w:val="0"/>
        <w:widowControl w:val="0"/>
        <w:kinsoku/>
        <w:wordWrap/>
        <w:overflowPunct/>
        <w:topLinePunct w:val="0"/>
        <w:autoSpaceDE/>
        <w:autoSpaceDN/>
        <w:bidi w:val="0"/>
        <w:spacing w:line="240" w:lineRule="exact"/>
        <w:ind w:firstLine="480" w:firstLineChars="200"/>
        <w:textAlignment w:val="auto"/>
        <w:rPr>
          <w:rFonts w:hint="eastAsia" w:ascii="宋体" w:hAnsi="宋体" w:cs="宋体"/>
          <w:color w:val="auto"/>
          <w:sz w:val="24"/>
          <w:szCs w:val="24"/>
          <w:u w:val="single"/>
          <w:lang w:val="en-US" w:eastAsia="zh-CN"/>
        </w:rPr>
      </w:pPr>
    </w:p>
    <w:p w14:paraId="03CAA217">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cs="宋体"/>
          <w:color w:val="auto"/>
          <w:sz w:val="24"/>
          <w:szCs w:val="24"/>
          <w:u w:val="none"/>
          <w:lang w:val="en-US" w:eastAsia="zh-CN"/>
        </w:rPr>
      </w:pPr>
    </w:p>
    <w:p w14:paraId="4E529CF0">
      <w:pPr>
        <w:keepNext w:val="0"/>
        <w:keepLines w:val="0"/>
        <w:pageBreakBefore w:val="0"/>
        <w:widowControl w:val="0"/>
        <w:kinsoku/>
        <w:wordWrap/>
        <w:overflowPunct/>
        <w:topLinePunct w:val="0"/>
        <w:autoSpaceDE/>
        <w:autoSpaceDN/>
        <w:bidi w:val="0"/>
        <w:spacing w:line="240" w:lineRule="exact"/>
        <w:ind w:firstLine="480" w:firstLineChars="200"/>
        <w:textAlignment w:val="auto"/>
        <w:rPr>
          <w:rFonts w:hint="default" w:ascii="宋体" w:hAnsi="宋体" w:cs="宋体"/>
          <w:color w:val="auto"/>
          <w:sz w:val="24"/>
          <w:szCs w:val="24"/>
          <w:u w:val="single"/>
          <w:lang w:val="en-US" w:eastAsia="zh-CN"/>
        </w:rPr>
      </w:pPr>
      <w:r>
        <w:rPr>
          <w:rFonts w:hint="eastAsia" w:ascii="宋体" w:hAnsi="宋体" w:cs="宋体"/>
          <w:color w:val="auto"/>
          <w:sz w:val="24"/>
          <w:szCs w:val="24"/>
          <w:u w:val="none"/>
          <w:lang w:val="en-US" w:eastAsia="zh-CN"/>
        </w:rPr>
        <w:t>签订日期：      年   月   日        签订日期：       年   月   日</w:t>
      </w:r>
    </w:p>
    <w:p w14:paraId="117CE72F">
      <w:pPr>
        <w:keepNext w:val="0"/>
        <w:keepLines w:val="0"/>
        <w:pageBreakBefore w:val="0"/>
        <w:widowControl w:val="0"/>
        <w:kinsoku/>
        <w:wordWrap/>
        <w:overflowPunct/>
        <w:topLinePunct w:val="0"/>
        <w:autoSpaceDE/>
        <w:autoSpaceDN/>
        <w:bidi w:val="0"/>
        <w:spacing w:line="240" w:lineRule="exact"/>
        <w:textAlignment w:val="auto"/>
        <w:rPr>
          <w:color w:val="auto"/>
        </w:rPr>
      </w:pPr>
    </w:p>
    <w:p w14:paraId="255BE3D5">
      <w:pPr>
        <w:jc w:val="center"/>
        <w:rPr>
          <w:rFonts w:hint="eastAsia" w:cs="宋体" w:asciiTheme="minorEastAsia" w:hAnsiTheme="minorEastAsia" w:eastAsiaTheme="minorEastAsia"/>
          <w:b/>
          <w:color w:val="auto"/>
          <w:sz w:val="52"/>
          <w:szCs w:val="52"/>
          <w:lang w:val="en-US" w:eastAsia="zh-CN"/>
        </w:rPr>
      </w:pPr>
    </w:p>
    <w:p w14:paraId="779860E7">
      <w:pPr>
        <w:jc w:val="center"/>
        <w:rPr>
          <w:rFonts w:hint="eastAsia" w:cs="宋体" w:asciiTheme="minorEastAsia" w:hAnsiTheme="minorEastAsia" w:eastAsiaTheme="minorEastAsia"/>
          <w:b/>
          <w:color w:val="auto"/>
          <w:sz w:val="52"/>
          <w:szCs w:val="52"/>
          <w:lang w:val="en-US" w:eastAsia="zh-CN"/>
        </w:rPr>
      </w:pPr>
    </w:p>
    <w:p w14:paraId="67FE3D10">
      <w:pPr>
        <w:jc w:val="center"/>
        <w:rPr>
          <w:rFonts w:hint="eastAsia" w:cs="宋体" w:asciiTheme="minorEastAsia" w:hAnsiTheme="minorEastAsia" w:eastAsiaTheme="minorEastAsia"/>
          <w:b/>
          <w:color w:val="auto"/>
          <w:sz w:val="52"/>
          <w:szCs w:val="52"/>
          <w:lang w:val="en-US" w:eastAsia="zh-CN"/>
        </w:rPr>
      </w:pPr>
    </w:p>
    <w:p w14:paraId="7E8AB42E">
      <w:pPr>
        <w:numPr>
          <w:ilvl w:val="0"/>
          <w:numId w:val="0"/>
        </w:numPr>
        <w:spacing w:before="312" w:beforeLines="100" w:after="100" w:afterAutospacing="1" w:line="120" w:lineRule="atLeast"/>
        <w:ind w:firstLine="3213" w:firstLineChars="1000"/>
        <w:rPr>
          <w:rFonts w:hint="eastAsia" w:ascii="宋体" w:hAnsi="宋体"/>
          <w:b/>
          <w:bCs w:val="0"/>
          <w:color w:val="auto"/>
          <w:sz w:val="32"/>
          <w:szCs w:val="32"/>
          <w:lang w:val="en-US" w:eastAsia="zh-CN"/>
        </w:rPr>
      </w:pPr>
    </w:p>
    <w:p w14:paraId="3D9EABC6">
      <w:pPr>
        <w:numPr>
          <w:ilvl w:val="0"/>
          <w:numId w:val="0"/>
        </w:numPr>
        <w:spacing w:before="312" w:beforeLines="100" w:after="100" w:afterAutospacing="1" w:line="120" w:lineRule="atLeast"/>
        <w:ind w:firstLine="2570" w:firstLineChars="800"/>
        <w:rPr>
          <w:rStyle w:val="9"/>
          <w:rFonts w:cs="宋体" w:asciiTheme="minorEastAsia" w:hAnsiTheme="minorEastAsia" w:eastAsiaTheme="minorEastAsia"/>
          <w:color w:val="auto"/>
        </w:rPr>
      </w:pPr>
      <w:r>
        <w:rPr>
          <w:rFonts w:hint="eastAsia" w:ascii="宋体" w:hAnsi="宋体"/>
          <w:b/>
          <w:bCs w:val="0"/>
          <w:color w:val="auto"/>
          <w:sz w:val="32"/>
          <w:szCs w:val="32"/>
          <w:lang w:val="en-US" w:eastAsia="zh-CN"/>
        </w:rPr>
        <w:t>第二部分   设置维修</w:t>
      </w:r>
    </w:p>
    <w:p w14:paraId="27554FF4">
      <w:pPr>
        <w:spacing w:before="312" w:beforeLines="100" w:after="100" w:afterAutospacing="1" w:line="120" w:lineRule="atLeast"/>
        <w:rPr>
          <w:rFonts w:hint="default" w:ascii="宋体" w:hAnsi="宋体"/>
          <w:b/>
          <w:color w:val="auto"/>
          <w:sz w:val="24"/>
          <w:u w:val="single"/>
          <w:lang w:val="en-US"/>
        </w:rPr>
      </w:pPr>
      <w:r>
        <w:rPr>
          <w:rFonts w:hint="eastAsia" w:ascii="宋体" w:hAnsi="宋体"/>
          <w:b/>
          <w:color w:val="auto"/>
          <w:sz w:val="24"/>
        </w:rPr>
        <w:t>甲方</w:t>
      </w:r>
      <w:r>
        <w:rPr>
          <w:rFonts w:hint="eastAsia" w:ascii="宋体" w:hAnsi="宋体"/>
          <w:b/>
          <w:color w:val="auto"/>
          <w:sz w:val="24"/>
          <w:lang w:eastAsia="zh-CN"/>
        </w:rPr>
        <w:t>（</w:t>
      </w:r>
      <w:r>
        <w:rPr>
          <w:rFonts w:hint="eastAsia" w:ascii="宋体" w:hAnsi="宋体"/>
          <w:b/>
          <w:color w:val="auto"/>
          <w:sz w:val="24"/>
          <w:lang w:val="en-US" w:eastAsia="zh-CN"/>
        </w:rPr>
        <w:t>采购人</w:t>
      </w:r>
      <w:r>
        <w:rPr>
          <w:rFonts w:hint="eastAsia" w:ascii="宋体" w:hAnsi="宋体"/>
          <w:b/>
          <w:color w:val="auto"/>
          <w:sz w:val="24"/>
          <w:lang w:eastAsia="zh-CN"/>
        </w:rPr>
        <w:t>）</w:t>
      </w:r>
      <w:r>
        <w:rPr>
          <w:rFonts w:hint="eastAsia" w:ascii="宋体" w:hAnsi="宋体"/>
          <w:b/>
          <w:color w:val="auto"/>
          <w:sz w:val="24"/>
        </w:rPr>
        <w:t>：</w:t>
      </w:r>
      <w:r>
        <w:rPr>
          <w:rFonts w:hint="eastAsia" w:ascii="宋体" w:hAnsi="宋体"/>
          <w:b/>
          <w:color w:val="auto"/>
          <w:sz w:val="24"/>
          <w:u w:val="single"/>
        </w:rPr>
        <w:t>西安市莲湖区</w:t>
      </w:r>
      <w:r>
        <w:rPr>
          <w:rFonts w:hint="eastAsia" w:ascii="宋体" w:hAnsi="宋体"/>
          <w:b/>
          <w:color w:val="auto"/>
          <w:sz w:val="24"/>
          <w:u w:val="single"/>
          <w:lang w:eastAsia="zh-CN"/>
        </w:rPr>
        <w:t>民政局</w:t>
      </w:r>
      <w:r>
        <w:rPr>
          <w:rFonts w:hint="eastAsia" w:ascii="宋体" w:hAnsi="宋体"/>
          <w:b/>
          <w:color w:val="auto"/>
          <w:sz w:val="24"/>
          <w:u w:val="single"/>
          <w:lang w:val="en-US" w:eastAsia="zh-CN"/>
        </w:rPr>
        <w:t xml:space="preserve">             </w:t>
      </w:r>
    </w:p>
    <w:p w14:paraId="23F9378B">
      <w:pPr>
        <w:keepNext w:val="0"/>
        <w:keepLines w:val="0"/>
        <w:pageBreakBefore w:val="0"/>
        <w:widowControl w:val="0"/>
        <w:kinsoku/>
        <w:wordWrap/>
        <w:overflowPunct/>
        <w:topLinePunct w:val="0"/>
        <w:autoSpaceDE/>
        <w:autoSpaceDN/>
        <w:bidi w:val="0"/>
        <w:adjustRightInd/>
        <w:snapToGrid/>
        <w:spacing w:before="100" w:beforeAutospacing="1" w:after="312" w:afterLines="100" w:line="520" w:lineRule="exact"/>
        <w:textAlignment w:val="auto"/>
        <w:rPr>
          <w:rFonts w:ascii="宋体" w:hAnsi="宋体"/>
          <w:b/>
          <w:color w:val="auto"/>
          <w:sz w:val="24"/>
        </w:rPr>
      </w:pPr>
      <w:r>
        <w:rPr>
          <w:rFonts w:hint="eastAsia" w:ascii="宋体" w:hAnsi="宋体"/>
          <w:b/>
          <w:color w:val="auto"/>
          <w:sz w:val="24"/>
        </w:rPr>
        <w:t>乙方</w:t>
      </w:r>
      <w:r>
        <w:rPr>
          <w:rFonts w:hint="eastAsia" w:ascii="宋体" w:hAnsi="宋体"/>
          <w:b/>
          <w:color w:val="auto"/>
          <w:sz w:val="24"/>
          <w:lang w:eastAsia="zh-CN"/>
        </w:rPr>
        <w:t>（</w:t>
      </w:r>
      <w:r>
        <w:rPr>
          <w:rFonts w:hint="eastAsia" w:ascii="宋体" w:hAnsi="宋体"/>
          <w:b/>
          <w:color w:val="auto"/>
          <w:sz w:val="24"/>
          <w:lang w:val="en-US" w:eastAsia="zh-CN"/>
        </w:rPr>
        <w:t>供应商</w:t>
      </w:r>
      <w:r>
        <w:rPr>
          <w:rFonts w:hint="eastAsia" w:ascii="宋体" w:hAnsi="宋体"/>
          <w:b/>
          <w:color w:val="auto"/>
          <w:sz w:val="24"/>
          <w:lang w:eastAsia="zh-CN"/>
        </w:rPr>
        <w:t>）</w:t>
      </w:r>
      <w:r>
        <w:rPr>
          <w:rFonts w:hint="eastAsia" w:ascii="宋体" w:hAnsi="宋体"/>
          <w:b/>
          <w:color w:val="auto"/>
          <w:sz w:val="24"/>
        </w:rPr>
        <w:t>：</w:t>
      </w:r>
      <w:r>
        <w:rPr>
          <w:rFonts w:hint="eastAsia" w:ascii="宋体" w:hAnsi="宋体"/>
          <w:b/>
          <w:color w:val="auto"/>
          <w:sz w:val="24"/>
          <w:u w:val="single"/>
        </w:rPr>
        <w:t xml:space="preserve"> 陕西宸逸贵建筑工程有限公司            </w:t>
      </w:r>
      <w:r>
        <w:rPr>
          <w:rFonts w:hint="eastAsia" w:ascii="宋体" w:hAnsi="宋体"/>
          <w:b/>
          <w:color w:val="auto"/>
          <w:sz w:val="24"/>
          <w:u w:val="single"/>
          <w:lang w:val="en-US" w:eastAsia="zh-CN"/>
        </w:rPr>
        <w:t xml:space="preserve">          </w:t>
      </w:r>
    </w:p>
    <w:p w14:paraId="16CA1727">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按照政府采购程序组织竞争性磋商，确定乙方为莲湖区路牌保洁维护、设置维修项目(项目编号:SXWXZBDL2025-1011)的中标服务商。依据《中华人民共和国政府采购法》、《中华人民共和国民法典》以及竞争性磋商文件、成交通知书，经甲、乙双方协商，达成如下合同条款。</w:t>
      </w:r>
    </w:p>
    <w:p w14:paraId="1C56EEE6">
      <w:pPr>
        <w:keepNext w:val="0"/>
        <w:keepLines w:val="0"/>
        <w:pageBreakBefore w:val="0"/>
        <w:widowControl w:val="0"/>
        <w:tabs>
          <w:tab w:val="left" w:pos="480"/>
        </w:tabs>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一、合同标的物内容及数量（以投标文件正本和澄清表〈函〉为准）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203"/>
        <w:gridCol w:w="2399"/>
        <w:gridCol w:w="1183"/>
        <w:gridCol w:w="1621"/>
      </w:tblGrid>
      <w:tr w14:paraId="25D4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0453B090">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序号</w:t>
            </w:r>
          </w:p>
        </w:tc>
        <w:tc>
          <w:tcPr>
            <w:tcW w:w="4602" w:type="dxa"/>
            <w:gridSpan w:val="2"/>
            <w:tcBorders>
              <w:top w:val="single" w:color="auto" w:sz="4" w:space="0"/>
              <w:left w:val="single" w:color="auto" w:sz="4" w:space="0"/>
              <w:bottom w:val="single" w:color="auto" w:sz="4" w:space="0"/>
              <w:right w:val="single" w:color="auto" w:sz="4" w:space="0"/>
            </w:tcBorders>
            <w:noWrap w:val="0"/>
            <w:vAlign w:val="center"/>
          </w:tcPr>
          <w:p w14:paraId="02F4B4CB">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标的物内容</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1CF65062">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单位</w:t>
            </w:r>
          </w:p>
        </w:tc>
        <w:tc>
          <w:tcPr>
            <w:tcW w:w="1621" w:type="dxa"/>
            <w:tcBorders>
              <w:top w:val="single" w:color="auto" w:sz="4" w:space="0"/>
              <w:left w:val="single" w:color="auto" w:sz="4" w:space="0"/>
              <w:right w:val="single" w:color="auto" w:sz="4" w:space="0"/>
            </w:tcBorders>
            <w:noWrap w:val="0"/>
            <w:vAlign w:val="center"/>
          </w:tcPr>
          <w:p w14:paraId="08DC61B2">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单价（元）</w:t>
            </w:r>
          </w:p>
        </w:tc>
      </w:tr>
      <w:tr w14:paraId="6F20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6E5B063D">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4602" w:type="dxa"/>
            <w:gridSpan w:val="2"/>
            <w:tcBorders>
              <w:top w:val="single" w:color="auto" w:sz="4" w:space="0"/>
              <w:left w:val="single" w:color="auto" w:sz="4" w:space="0"/>
              <w:bottom w:val="single" w:color="auto" w:sz="4" w:space="0"/>
              <w:right w:val="single" w:color="auto" w:sz="4" w:space="0"/>
            </w:tcBorders>
            <w:noWrap w:val="0"/>
            <w:vAlign w:val="center"/>
          </w:tcPr>
          <w:p w14:paraId="3862F9FF">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路牌设置</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183FCD1E">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套</w:t>
            </w:r>
          </w:p>
        </w:tc>
        <w:tc>
          <w:tcPr>
            <w:tcW w:w="1621" w:type="dxa"/>
            <w:tcBorders>
              <w:top w:val="single" w:color="auto" w:sz="4" w:space="0"/>
              <w:left w:val="single" w:color="auto" w:sz="4" w:space="0"/>
              <w:right w:val="single" w:color="auto" w:sz="4" w:space="0"/>
            </w:tcBorders>
            <w:noWrap w:val="0"/>
            <w:vAlign w:val="center"/>
          </w:tcPr>
          <w:p w14:paraId="601409A8">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1670</w:t>
            </w:r>
          </w:p>
        </w:tc>
      </w:tr>
      <w:tr w14:paraId="553D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0507F92">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4602" w:type="dxa"/>
            <w:gridSpan w:val="2"/>
            <w:tcBorders>
              <w:top w:val="single" w:color="auto" w:sz="4" w:space="0"/>
              <w:left w:val="single" w:color="auto" w:sz="4" w:space="0"/>
              <w:bottom w:val="single" w:color="auto" w:sz="4" w:space="0"/>
              <w:right w:val="single" w:color="auto" w:sz="4" w:space="0"/>
            </w:tcBorders>
            <w:noWrap w:val="0"/>
            <w:vAlign w:val="center"/>
          </w:tcPr>
          <w:p w14:paraId="70FF60CA">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路牌外框</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C33DF5B">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套</w:t>
            </w:r>
          </w:p>
        </w:tc>
        <w:tc>
          <w:tcPr>
            <w:tcW w:w="1621" w:type="dxa"/>
            <w:tcBorders>
              <w:left w:val="single" w:color="auto" w:sz="4" w:space="0"/>
              <w:right w:val="single" w:color="auto" w:sz="4" w:space="0"/>
            </w:tcBorders>
            <w:noWrap w:val="0"/>
            <w:vAlign w:val="center"/>
          </w:tcPr>
          <w:p w14:paraId="5C1B851D">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310</w:t>
            </w:r>
          </w:p>
        </w:tc>
      </w:tr>
      <w:tr w14:paraId="6DCE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3F7DFA99">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w:t>
            </w:r>
          </w:p>
        </w:tc>
        <w:tc>
          <w:tcPr>
            <w:tcW w:w="4602" w:type="dxa"/>
            <w:gridSpan w:val="2"/>
            <w:tcBorders>
              <w:top w:val="single" w:color="auto" w:sz="4" w:space="0"/>
              <w:left w:val="single" w:color="auto" w:sz="4" w:space="0"/>
              <w:bottom w:val="single" w:color="auto" w:sz="4" w:space="0"/>
              <w:right w:val="single" w:color="auto" w:sz="4" w:space="0"/>
            </w:tcBorders>
            <w:noWrap w:val="0"/>
            <w:vAlign w:val="center"/>
          </w:tcPr>
          <w:p w14:paraId="4A8A00D1">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半围装饰条</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4CA0D296">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个</w:t>
            </w:r>
          </w:p>
        </w:tc>
        <w:tc>
          <w:tcPr>
            <w:tcW w:w="1621" w:type="dxa"/>
            <w:tcBorders>
              <w:left w:val="single" w:color="auto" w:sz="4" w:space="0"/>
              <w:right w:val="single" w:color="auto" w:sz="4" w:space="0"/>
            </w:tcBorders>
            <w:noWrap w:val="0"/>
            <w:vAlign w:val="center"/>
          </w:tcPr>
          <w:p w14:paraId="5309C780">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120</w:t>
            </w:r>
          </w:p>
        </w:tc>
      </w:tr>
      <w:tr w14:paraId="2FCE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1D99667A">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w:t>
            </w:r>
          </w:p>
        </w:tc>
        <w:tc>
          <w:tcPr>
            <w:tcW w:w="4602" w:type="dxa"/>
            <w:gridSpan w:val="2"/>
            <w:tcBorders>
              <w:top w:val="single" w:color="auto" w:sz="4" w:space="0"/>
              <w:left w:val="single" w:color="auto" w:sz="4" w:space="0"/>
              <w:bottom w:val="single" w:color="auto" w:sz="4" w:space="0"/>
              <w:right w:val="single" w:color="auto" w:sz="4" w:space="0"/>
            </w:tcBorders>
            <w:noWrap w:val="0"/>
            <w:vAlign w:val="center"/>
          </w:tcPr>
          <w:p w14:paraId="23F4DB5A">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面板</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63AD3DF5">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套</w:t>
            </w:r>
          </w:p>
        </w:tc>
        <w:tc>
          <w:tcPr>
            <w:tcW w:w="1621" w:type="dxa"/>
            <w:tcBorders>
              <w:left w:val="single" w:color="auto" w:sz="4" w:space="0"/>
              <w:right w:val="single" w:color="auto" w:sz="4" w:space="0"/>
            </w:tcBorders>
            <w:noWrap w:val="0"/>
            <w:vAlign w:val="center"/>
          </w:tcPr>
          <w:p w14:paraId="26519481">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190</w:t>
            </w:r>
          </w:p>
        </w:tc>
      </w:tr>
      <w:tr w14:paraId="75B3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5226029F">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w:t>
            </w:r>
          </w:p>
        </w:tc>
        <w:tc>
          <w:tcPr>
            <w:tcW w:w="4602" w:type="dxa"/>
            <w:gridSpan w:val="2"/>
            <w:tcBorders>
              <w:top w:val="single" w:color="auto" w:sz="4" w:space="0"/>
              <w:left w:val="single" w:color="auto" w:sz="4" w:space="0"/>
              <w:bottom w:val="single" w:color="auto" w:sz="4" w:space="0"/>
              <w:right w:val="single" w:color="auto" w:sz="4" w:space="0"/>
            </w:tcBorders>
            <w:noWrap w:val="0"/>
            <w:vAlign w:val="center"/>
          </w:tcPr>
          <w:p w14:paraId="15720607">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双面雕花压条</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699CEF8C">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套</w:t>
            </w:r>
          </w:p>
        </w:tc>
        <w:tc>
          <w:tcPr>
            <w:tcW w:w="1621" w:type="dxa"/>
            <w:tcBorders>
              <w:left w:val="single" w:color="auto" w:sz="4" w:space="0"/>
              <w:right w:val="single" w:color="auto" w:sz="4" w:space="0"/>
            </w:tcBorders>
            <w:noWrap w:val="0"/>
            <w:vAlign w:val="center"/>
          </w:tcPr>
          <w:p w14:paraId="007E4BC2">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170</w:t>
            </w:r>
          </w:p>
        </w:tc>
      </w:tr>
      <w:tr w14:paraId="5E60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5ACC9582">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w:t>
            </w:r>
          </w:p>
        </w:tc>
        <w:tc>
          <w:tcPr>
            <w:tcW w:w="4602" w:type="dxa"/>
            <w:gridSpan w:val="2"/>
            <w:tcBorders>
              <w:top w:val="single" w:color="auto" w:sz="4" w:space="0"/>
              <w:left w:val="single" w:color="auto" w:sz="4" w:space="0"/>
              <w:bottom w:val="single" w:color="auto" w:sz="4" w:space="0"/>
              <w:right w:val="single" w:color="auto" w:sz="4" w:space="0"/>
            </w:tcBorders>
            <w:noWrap w:val="0"/>
            <w:vAlign w:val="center"/>
          </w:tcPr>
          <w:p w14:paraId="6D9B40D9">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铸铁工艺连接件</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12D2D4BA">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个</w:t>
            </w:r>
          </w:p>
        </w:tc>
        <w:tc>
          <w:tcPr>
            <w:tcW w:w="1621" w:type="dxa"/>
            <w:tcBorders>
              <w:left w:val="single" w:color="auto" w:sz="4" w:space="0"/>
              <w:right w:val="single" w:color="auto" w:sz="4" w:space="0"/>
            </w:tcBorders>
            <w:noWrap w:val="0"/>
            <w:vAlign w:val="center"/>
          </w:tcPr>
          <w:p w14:paraId="3542E460">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190</w:t>
            </w:r>
          </w:p>
        </w:tc>
      </w:tr>
      <w:tr w14:paraId="51C7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12BDFE25">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7</w:t>
            </w:r>
          </w:p>
        </w:tc>
        <w:tc>
          <w:tcPr>
            <w:tcW w:w="4602" w:type="dxa"/>
            <w:gridSpan w:val="2"/>
            <w:tcBorders>
              <w:top w:val="single" w:color="auto" w:sz="4" w:space="0"/>
              <w:left w:val="single" w:color="auto" w:sz="4" w:space="0"/>
              <w:bottom w:val="single" w:color="auto" w:sz="4" w:space="0"/>
              <w:right w:val="single" w:color="auto" w:sz="4" w:space="0"/>
            </w:tcBorders>
            <w:noWrap w:val="0"/>
            <w:vAlign w:val="center"/>
          </w:tcPr>
          <w:p w14:paraId="753D2561">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路牌立柱</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AF58A2F">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个</w:t>
            </w:r>
          </w:p>
        </w:tc>
        <w:tc>
          <w:tcPr>
            <w:tcW w:w="1621" w:type="dxa"/>
            <w:tcBorders>
              <w:left w:val="single" w:color="auto" w:sz="4" w:space="0"/>
              <w:right w:val="single" w:color="auto" w:sz="4" w:space="0"/>
            </w:tcBorders>
            <w:noWrap w:val="0"/>
            <w:vAlign w:val="center"/>
          </w:tcPr>
          <w:p w14:paraId="61B1A7DF">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520</w:t>
            </w:r>
          </w:p>
        </w:tc>
      </w:tr>
      <w:tr w14:paraId="3D46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03966EFF">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8</w:t>
            </w:r>
          </w:p>
        </w:tc>
        <w:tc>
          <w:tcPr>
            <w:tcW w:w="4602" w:type="dxa"/>
            <w:gridSpan w:val="2"/>
            <w:tcBorders>
              <w:top w:val="single" w:color="auto" w:sz="4" w:space="0"/>
              <w:left w:val="single" w:color="auto" w:sz="4" w:space="0"/>
              <w:bottom w:val="single" w:color="auto" w:sz="4" w:space="0"/>
              <w:right w:val="single" w:color="auto" w:sz="4" w:space="0"/>
            </w:tcBorders>
            <w:noWrap w:val="0"/>
            <w:vAlign w:val="center"/>
          </w:tcPr>
          <w:p w14:paraId="58A6A389">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立柱变径接头</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54D831FD">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个</w:t>
            </w:r>
          </w:p>
        </w:tc>
        <w:tc>
          <w:tcPr>
            <w:tcW w:w="1621" w:type="dxa"/>
            <w:tcBorders>
              <w:left w:val="single" w:color="auto" w:sz="4" w:space="0"/>
              <w:right w:val="single" w:color="auto" w:sz="4" w:space="0"/>
            </w:tcBorders>
            <w:noWrap w:val="0"/>
            <w:vAlign w:val="center"/>
          </w:tcPr>
          <w:p w14:paraId="7C8D7A54">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160</w:t>
            </w:r>
          </w:p>
        </w:tc>
      </w:tr>
      <w:tr w14:paraId="25B7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779B9F7A">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9</w:t>
            </w:r>
          </w:p>
        </w:tc>
        <w:tc>
          <w:tcPr>
            <w:tcW w:w="2203" w:type="dxa"/>
            <w:vMerge w:val="restart"/>
            <w:tcBorders>
              <w:top w:val="single" w:color="auto" w:sz="4" w:space="0"/>
              <w:left w:val="single" w:color="auto" w:sz="4" w:space="0"/>
              <w:right w:val="single" w:color="auto" w:sz="4" w:space="0"/>
            </w:tcBorders>
            <w:noWrap w:val="0"/>
            <w:vAlign w:val="center"/>
          </w:tcPr>
          <w:p w14:paraId="03F8025F">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打孔</w:t>
            </w:r>
          </w:p>
          <w:p w14:paraId="22E421D0">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套丝</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15CBABFE">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顶丝</w:t>
            </w:r>
          </w:p>
        </w:tc>
        <w:tc>
          <w:tcPr>
            <w:tcW w:w="1183" w:type="dxa"/>
            <w:tcBorders>
              <w:top w:val="single" w:color="auto" w:sz="4" w:space="0"/>
              <w:left w:val="single" w:color="auto" w:sz="4" w:space="0"/>
              <w:right w:val="single" w:color="auto" w:sz="4" w:space="0"/>
            </w:tcBorders>
            <w:noWrap w:val="0"/>
            <w:vAlign w:val="center"/>
          </w:tcPr>
          <w:p w14:paraId="6E75445C">
            <w:pPr>
              <w:tabs>
                <w:tab w:val="left" w:pos="480"/>
              </w:tabs>
              <w:jc w:val="center"/>
              <w:rPr>
                <w:rFonts w:hint="eastAsia" w:ascii="Times New Roman" w:hAnsi="Times New Roman" w:eastAsia="宋体" w:cs="Times New Roman"/>
                <w:color w:val="auto"/>
                <w:kern w:val="2"/>
                <w:sz w:val="24"/>
                <w:szCs w:val="24"/>
                <w:lang w:val="en-US" w:eastAsia="zh-CN" w:bidi="ar-SA"/>
              </w:rPr>
            </w:pPr>
          </w:p>
        </w:tc>
        <w:tc>
          <w:tcPr>
            <w:tcW w:w="1621" w:type="dxa"/>
            <w:tcBorders>
              <w:left w:val="single" w:color="auto" w:sz="4" w:space="0"/>
              <w:right w:val="single" w:color="auto" w:sz="4" w:space="0"/>
            </w:tcBorders>
            <w:noWrap w:val="0"/>
            <w:vAlign w:val="center"/>
          </w:tcPr>
          <w:p w14:paraId="5A29088F">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5</w:t>
            </w:r>
          </w:p>
        </w:tc>
      </w:tr>
      <w:tr w14:paraId="3391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22" w:type="dxa"/>
            <w:vMerge w:val="continue"/>
            <w:tcBorders>
              <w:left w:val="single" w:color="auto" w:sz="4" w:space="0"/>
              <w:right w:val="single" w:color="auto" w:sz="4" w:space="0"/>
            </w:tcBorders>
            <w:noWrap w:val="0"/>
            <w:vAlign w:val="center"/>
          </w:tcPr>
          <w:p w14:paraId="26D141DF">
            <w:pPr>
              <w:tabs>
                <w:tab w:val="left" w:pos="480"/>
              </w:tabs>
              <w:jc w:val="center"/>
              <w:rPr>
                <w:rFonts w:hint="eastAsia" w:ascii="Times New Roman" w:hAnsi="Times New Roman" w:eastAsia="宋体" w:cs="Times New Roman"/>
                <w:color w:val="auto"/>
                <w:kern w:val="2"/>
                <w:sz w:val="24"/>
                <w:szCs w:val="24"/>
                <w:lang w:val="en-US" w:eastAsia="zh-CN" w:bidi="ar-SA"/>
              </w:rPr>
            </w:pPr>
          </w:p>
        </w:tc>
        <w:tc>
          <w:tcPr>
            <w:tcW w:w="2203" w:type="dxa"/>
            <w:vMerge w:val="continue"/>
            <w:tcBorders>
              <w:left w:val="single" w:color="auto" w:sz="4" w:space="0"/>
              <w:right w:val="single" w:color="auto" w:sz="4" w:space="0"/>
            </w:tcBorders>
            <w:noWrap w:val="0"/>
            <w:vAlign w:val="center"/>
          </w:tcPr>
          <w:p w14:paraId="4477B05F">
            <w:pPr>
              <w:tabs>
                <w:tab w:val="left" w:pos="480"/>
              </w:tabs>
              <w:jc w:val="center"/>
              <w:rPr>
                <w:rFonts w:hint="eastAsia" w:ascii="Times New Roman" w:hAnsi="Times New Roman" w:eastAsia="宋体" w:cs="Times New Roman"/>
                <w:color w:val="auto"/>
                <w:kern w:val="2"/>
                <w:sz w:val="24"/>
                <w:szCs w:val="24"/>
                <w:lang w:val="en-US" w:eastAsia="zh-CN" w:bidi="ar-SA"/>
              </w:rPr>
            </w:pPr>
          </w:p>
        </w:tc>
        <w:tc>
          <w:tcPr>
            <w:tcW w:w="2399" w:type="dxa"/>
            <w:tcBorders>
              <w:top w:val="single" w:color="auto" w:sz="4" w:space="0"/>
              <w:left w:val="single" w:color="auto" w:sz="4" w:space="0"/>
              <w:bottom w:val="single" w:color="auto" w:sz="4" w:space="0"/>
              <w:right w:val="single" w:color="auto" w:sz="4" w:space="0"/>
            </w:tcBorders>
            <w:noWrap w:val="0"/>
            <w:vAlign w:val="center"/>
          </w:tcPr>
          <w:p w14:paraId="59F122CB">
            <w:pPr>
              <w:tabs>
                <w:tab w:val="left" w:pos="480"/>
              </w:tabs>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螺栓</w:t>
            </w:r>
          </w:p>
        </w:tc>
        <w:tc>
          <w:tcPr>
            <w:tcW w:w="1183" w:type="dxa"/>
            <w:tcBorders>
              <w:left w:val="single" w:color="auto" w:sz="4" w:space="0"/>
              <w:right w:val="single" w:color="auto" w:sz="4" w:space="0"/>
            </w:tcBorders>
            <w:noWrap w:val="0"/>
            <w:vAlign w:val="center"/>
          </w:tcPr>
          <w:p w14:paraId="2939A350">
            <w:pPr>
              <w:tabs>
                <w:tab w:val="left" w:pos="480"/>
              </w:tabs>
              <w:jc w:val="center"/>
              <w:rPr>
                <w:rFonts w:hint="eastAsia" w:ascii="Times New Roman" w:hAnsi="Times New Roman" w:eastAsia="宋体" w:cs="Times New Roman"/>
                <w:color w:val="auto"/>
                <w:kern w:val="2"/>
                <w:sz w:val="24"/>
                <w:szCs w:val="24"/>
                <w:lang w:val="en-US" w:eastAsia="zh-CN" w:bidi="ar-SA"/>
              </w:rPr>
            </w:pPr>
          </w:p>
        </w:tc>
        <w:tc>
          <w:tcPr>
            <w:tcW w:w="1621" w:type="dxa"/>
            <w:tcBorders>
              <w:left w:val="single" w:color="auto" w:sz="4" w:space="0"/>
              <w:right w:val="single" w:color="auto" w:sz="4" w:space="0"/>
            </w:tcBorders>
            <w:noWrap w:val="0"/>
            <w:vAlign w:val="center"/>
          </w:tcPr>
          <w:p w14:paraId="183FAAA0">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5</w:t>
            </w:r>
          </w:p>
        </w:tc>
      </w:tr>
      <w:tr w14:paraId="2C58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5324" w:type="dxa"/>
            <w:gridSpan w:val="3"/>
            <w:tcBorders>
              <w:left w:val="single" w:color="auto" w:sz="4" w:space="0"/>
              <w:bottom w:val="single" w:color="auto" w:sz="4" w:space="0"/>
              <w:right w:val="single" w:color="auto" w:sz="4" w:space="0"/>
            </w:tcBorders>
            <w:noWrap w:val="0"/>
            <w:vAlign w:val="center"/>
          </w:tcPr>
          <w:p w14:paraId="4F08BAA3">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总价：</w:t>
            </w:r>
          </w:p>
        </w:tc>
        <w:tc>
          <w:tcPr>
            <w:tcW w:w="2804" w:type="dxa"/>
            <w:gridSpan w:val="2"/>
            <w:tcBorders>
              <w:left w:val="single" w:color="auto" w:sz="4" w:space="0"/>
              <w:bottom w:val="single" w:color="auto" w:sz="4" w:space="0"/>
              <w:right w:val="single" w:color="auto" w:sz="4" w:space="0"/>
            </w:tcBorders>
            <w:noWrap w:val="0"/>
            <w:vAlign w:val="center"/>
          </w:tcPr>
          <w:p w14:paraId="18ADB6AC">
            <w:pPr>
              <w:tabs>
                <w:tab w:val="left" w:pos="480"/>
              </w:tabs>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39600</w:t>
            </w:r>
          </w:p>
        </w:tc>
      </w:tr>
    </w:tbl>
    <w:p w14:paraId="1D4570DD">
      <w:pPr>
        <w:keepNext w:val="0"/>
        <w:keepLines w:val="0"/>
        <w:pageBreakBefore w:val="0"/>
        <w:tabs>
          <w:tab w:val="left" w:pos="480"/>
        </w:tabs>
        <w:kinsoku/>
        <w:wordWrap/>
        <w:overflowPunct/>
        <w:topLinePunct w:val="0"/>
        <w:autoSpaceDE/>
        <w:autoSpaceDN/>
        <w:bidi w:val="0"/>
        <w:adjustRightInd/>
        <w:snapToGrid/>
        <w:spacing w:line="520" w:lineRule="exact"/>
        <w:ind w:firstLine="470" w:firstLineChars="196"/>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二、项目实施地点及期限：</w:t>
      </w:r>
    </w:p>
    <w:p w14:paraId="07C389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eastAsia="宋体"/>
          <w:color w:val="auto"/>
          <w:sz w:val="24"/>
          <w:u w:val="single"/>
          <w:lang w:val="en-US" w:eastAsia="zh-CN"/>
        </w:rPr>
      </w:pPr>
      <w:r>
        <w:rPr>
          <w:rFonts w:hint="eastAsia"/>
          <w:color w:val="auto"/>
          <w:sz w:val="24"/>
        </w:rPr>
        <w:t>（一）实施地点:</w:t>
      </w:r>
      <w:r>
        <w:rPr>
          <w:rFonts w:hint="eastAsia"/>
          <w:color w:val="auto"/>
          <w:sz w:val="24"/>
          <w:lang w:val="en-US" w:eastAsia="zh-CN"/>
        </w:rPr>
        <w:t xml:space="preserve"> </w:t>
      </w:r>
      <w:r>
        <w:rPr>
          <w:rFonts w:hint="eastAsia" w:ascii="Calibri Light" w:hAnsi="Calibri Light" w:eastAsia="仿宋"/>
          <w:color w:val="auto"/>
          <w:sz w:val="28"/>
        </w:rPr>
        <w:t>西安市</w:t>
      </w:r>
      <w:r>
        <w:rPr>
          <w:rFonts w:hint="eastAsia" w:ascii="Calibri Light" w:hAnsi="Calibri Light" w:eastAsia="仿宋"/>
          <w:color w:val="auto"/>
          <w:sz w:val="28"/>
          <w:lang w:val="en-US" w:eastAsia="zh-CN"/>
        </w:rPr>
        <w:t>莲湖区</w:t>
      </w:r>
      <w:r>
        <w:rPr>
          <w:rFonts w:hint="eastAsia" w:ascii="Calibri Light" w:hAnsi="Calibri Light" w:eastAsia="仿宋"/>
          <w:color w:val="auto"/>
          <w:sz w:val="28"/>
        </w:rPr>
        <w:t>范围内甲方指定地点</w:t>
      </w:r>
    </w:p>
    <w:p w14:paraId="4CB079C8">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color w:val="auto"/>
          <w:sz w:val="24"/>
          <w:u w:val="single"/>
          <w:lang w:val="en-US" w:eastAsia="zh-CN"/>
        </w:rPr>
      </w:pPr>
      <w:r>
        <w:rPr>
          <w:rFonts w:hint="eastAsia"/>
          <w:color w:val="auto"/>
          <w:sz w:val="24"/>
        </w:rPr>
        <w:t xml:space="preserve">（二）合同期限: </w:t>
      </w:r>
      <w:r>
        <w:rPr>
          <w:rFonts w:hint="eastAsia"/>
          <w:color w:val="auto"/>
          <w:sz w:val="24"/>
          <w:u w:val="single"/>
          <w:lang w:val="en-US" w:eastAsia="zh-CN"/>
        </w:rPr>
        <w:t xml:space="preserve"> 2025年9月30日-2026年8月31日    </w:t>
      </w:r>
    </w:p>
    <w:p w14:paraId="5973A936">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三、合同价款</w:t>
      </w:r>
    </w:p>
    <w:p w14:paraId="688BEBE9">
      <w:pPr>
        <w:widowControl/>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（一）路牌设置合同</w:t>
      </w:r>
      <w:r>
        <w:rPr>
          <w:rFonts w:hint="eastAsia" w:cs="Times New Roman"/>
          <w:color w:val="auto"/>
          <w:kern w:val="2"/>
          <w:sz w:val="24"/>
          <w:szCs w:val="24"/>
          <w:lang w:val="en-US" w:eastAsia="zh-CN" w:bidi="ar-SA"/>
        </w:rPr>
        <w:t>单</w:t>
      </w:r>
      <w:r>
        <w:rPr>
          <w:rFonts w:hint="eastAsia" w:ascii="Times New Roman" w:hAnsi="Times New Roman" w:eastAsia="宋体" w:cs="Times New Roman"/>
          <w:color w:val="auto"/>
          <w:kern w:val="2"/>
          <w:sz w:val="24"/>
          <w:szCs w:val="24"/>
          <w:lang w:val="en-US" w:eastAsia="zh-CN" w:bidi="ar-SA"/>
        </w:rPr>
        <w:t>价为人民币（大写）：</w:t>
      </w:r>
      <w:r>
        <w:rPr>
          <w:rFonts w:hint="eastAsia"/>
          <w:color w:val="auto"/>
          <w:sz w:val="24"/>
          <w:u w:val="single"/>
          <w:lang w:val="en-US" w:eastAsia="zh-CN"/>
        </w:rPr>
        <w:t xml:space="preserve">壹仟陆佰柒拾元整        </w:t>
      </w:r>
      <w:r>
        <w:rPr>
          <w:rFonts w:hint="eastAsia" w:ascii="Times New Roman" w:hAnsi="Times New Roman" w:eastAsia="宋体" w:cs="Times New Roman"/>
          <w:color w:val="auto"/>
          <w:kern w:val="2"/>
          <w:sz w:val="24"/>
          <w:szCs w:val="24"/>
          <w:lang w:val="en-US" w:eastAsia="zh-CN" w:bidi="ar-SA"/>
        </w:rPr>
        <w:t>（¥</w:t>
      </w:r>
      <w:r>
        <w:rPr>
          <w:rFonts w:hint="eastAsia"/>
          <w:color w:val="auto"/>
          <w:sz w:val="24"/>
          <w:u w:val="single"/>
          <w:lang w:val="en-US" w:eastAsia="zh-CN"/>
        </w:rPr>
        <w:t xml:space="preserve">  </w:t>
      </w:r>
      <w:r>
        <w:rPr>
          <w:rFonts w:hint="eastAsia" w:cs="Times New Roman"/>
          <w:color w:val="auto"/>
          <w:kern w:val="2"/>
          <w:sz w:val="24"/>
          <w:szCs w:val="24"/>
          <w:lang w:val="en-US" w:eastAsia="zh-CN" w:bidi="ar-SA"/>
        </w:rPr>
        <w:t>1670</w:t>
      </w:r>
      <w:r>
        <w:rPr>
          <w:rFonts w:hint="eastAsia"/>
          <w:color w:val="auto"/>
          <w:sz w:val="24"/>
          <w:u w:val="single"/>
          <w:lang w:val="en-US" w:eastAsia="zh-CN"/>
        </w:rPr>
        <w:t xml:space="preserve">   </w:t>
      </w:r>
      <w:r>
        <w:rPr>
          <w:rFonts w:hint="eastAsia" w:ascii="Times New Roman" w:hAnsi="Times New Roman" w:eastAsia="宋体" w:cs="Times New Roman"/>
          <w:color w:val="auto"/>
          <w:kern w:val="2"/>
          <w:sz w:val="24"/>
          <w:szCs w:val="24"/>
          <w:lang w:val="en-US" w:eastAsia="zh-CN" w:bidi="ar-SA"/>
        </w:rPr>
        <w:t xml:space="preserve">元）。路牌维修各部件合同单价以标的物各部件合同单价为准。 </w:t>
      </w:r>
    </w:p>
    <w:p w14:paraId="3B0584E8">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（二）合同价包括：1、完整完成一个路牌设置</w:t>
      </w:r>
      <w:r>
        <w:rPr>
          <w:rFonts w:hint="eastAsia" w:ascii="Times New Roman" w:hAnsi="Times New Roman" w:eastAsia="宋体" w:cs="Times New Roman"/>
          <w:color w:val="auto"/>
          <w:kern w:val="2"/>
          <w:sz w:val="24"/>
          <w:szCs w:val="24"/>
          <w:lang w:val="en-US" w:eastAsia="zh-Hans" w:bidi="ar-SA"/>
        </w:rPr>
        <w:t>所需的点位标注费、路牌制作费、安装调试费、路面恢复费、税费等</w:t>
      </w:r>
      <w:r>
        <w:rPr>
          <w:rFonts w:hint="eastAsia" w:ascii="Times New Roman" w:hAnsi="Times New Roman" w:eastAsia="宋体" w:cs="Times New Roman"/>
          <w:color w:val="auto"/>
          <w:kern w:val="2"/>
          <w:sz w:val="24"/>
          <w:szCs w:val="24"/>
          <w:lang w:val="en-US" w:eastAsia="zh-CN" w:bidi="ar-SA"/>
        </w:rPr>
        <w:t>各项费用。2、完成一个路牌维修所需的损坏部件拆除费、新部件安装调试费、维修费、路面恢复费等各项费用。除上述费用外甲方不再承担其他任何费用。</w:t>
      </w:r>
    </w:p>
    <w:p w14:paraId="6E761398">
      <w:pPr>
        <w:spacing w:line="400" w:lineRule="exact"/>
        <w:ind w:firstLine="560" w:firstLineChars="200"/>
        <w:rPr>
          <w:rFonts w:hint="eastAsia" w:ascii="Calibri Light" w:hAnsi="Calibri Light" w:eastAsia="仿宋"/>
          <w:color w:val="auto"/>
          <w:sz w:val="28"/>
        </w:rPr>
      </w:pPr>
      <w:r>
        <w:rPr>
          <w:rFonts w:hint="eastAsia" w:ascii="Calibri Light" w:hAnsi="Calibri Light" w:eastAsia="仿宋"/>
          <w:color w:val="auto"/>
          <w:sz w:val="28"/>
        </w:rPr>
        <w:t>（三）合同单价一次性包死，不受市场价格变化因素的影响。</w:t>
      </w:r>
    </w:p>
    <w:p w14:paraId="6E590B79">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四</w:t>
      </w:r>
      <w:r>
        <w:rPr>
          <w:rFonts w:hint="eastAsia" w:ascii="Times New Roman" w:hAnsi="Times New Roman" w:eastAsia="宋体" w:cs="Times New Roman"/>
          <w:color w:val="auto"/>
          <w:kern w:val="2"/>
          <w:sz w:val="24"/>
          <w:szCs w:val="24"/>
          <w:lang w:val="en-US" w:eastAsia="zh-CN" w:bidi="ar-SA"/>
        </w:rPr>
        <w:t>）路牌设置、维修及牌面更换合同总价以实际甲方书面确认的设置、维修及牌面更换数量据实结算。</w:t>
      </w:r>
    </w:p>
    <w:p w14:paraId="29FAC15C">
      <w:pPr>
        <w:keepNext w:val="0"/>
        <w:keepLines w:val="0"/>
        <w:pageBreakBefore w:val="0"/>
        <w:tabs>
          <w:tab w:val="left" w:pos="480"/>
        </w:tabs>
        <w:kinsoku/>
        <w:wordWrap/>
        <w:overflowPunct/>
        <w:topLinePunct w:val="0"/>
        <w:autoSpaceDE/>
        <w:autoSpaceDN/>
        <w:bidi w:val="0"/>
        <w:adjustRightInd/>
        <w:snapToGrid/>
        <w:spacing w:line="520" w:lineRule="exact"/>
        <w:ind w:firstLine="470" w:firstLineChars="196"/>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四、款项结算</w:t>
      </w:r>
    </w:p>
    <w:p w14:paraId="7CD9D8B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一）甲方于合同到期前15天对乙方设置维修情况进行验收，根据设置维修实际数量，于合同到期后30天内结算合同款项。乙方需向甲方提供经甲方签字确认的结算单、合法有效且符合甲方要求的增值税正规发票。</w:t>
      </w:r>
      <w:bookmarkStart w:id="0" w:name="_Hlk113527273"/>
      <w:r>
        <w:rPr>
          <w:rFonts w:hint="eastAsia" w:ascii="Times New Roman" w:hAnsi="Times New Roman" w:eastAsia="宋体" w:cs="Times New Roman"/>
          <w:color w:val="auto"/>
          <w:kern w:val="2"/>
          <w:sz w:val="24"/>
          <w:szCs w:val="24"/>
          <w:lang w:val="en-US" w:eastAsia="zh-CN" w:bidi="ar-SA"/>
        </w:rPr>
        <w:t>乙方开具的增值税发票符合以下情形之一的，乙方需重新提供等额合法合规的增值税发票，甲方有权延迟支付应付款项，且不承担任何违约责任，乙方的各项合同义务仍按合同约定履行，如导致甲方损失，乙方需赔偿全部损失（包括罚金、滞纳金、税款等）：</w:t>
      </w:r>
    </w:p>
    <w:p w14:paraId="44F086F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（1）开具虚假、作废等无效发票或者违反国家法律法规开具提供发票的</w:t>
      </w:r>
    </w:p>
    <w:p w14:paraId="6A6B7B6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（2）开具发票种类错误；开具发票税率与合同约定不符</w:t>
      </w:r>
    </w:p>
    <w:p w14:paraId="0785571F">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（3）发票上信息错误</w:t>
      </w:r>
    </w:p>
    <w:p w14:paraId="554100D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（4）因乙方延迟送达、开具错误等原因造成发票认证失败</w:t>
      </w:r>
    </w:p>
    <w:p w14:paraId="5099A3A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若增值税发票丢失，乙方应积极配合甲方申请《丢失增值税专用发票已报税证明单》，否则乙方承担因此造成的损失。</w:t>
      </w:r>
    </w:p>
    <w:bookmarkEnd w:id="0"/>
    <w:p w14:paraId="1005244E">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（二）支付方式：银行转账。</w:t>
      </w:r>
    </w:p>
    <w:p w14:paraId="51A26B84">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bookmarkStart w:id="1" w:name="_Hlk113527316"/>
      <w:r>
        <w:rPr>
          <w:rFonts w:hint="eastAsia" w:ascii="Times New Roman" w:hAnsi="Times New Roman" w:eastAsia="宋体" w:cs="Times New Roman"/>
          <w:color w:val="auto"/>
          <w:kern w:val="2"/>
          <w:sz w:val="24"/>
          <w:szCs w:val="24"/>
          <w:lang w:val="en-US" w:eastAsia="zh-CN" w:bidi="ar-SA"/>
        </w:rPr>
        <w:t>乙方指定收款账户：</w:t>
      </w:r>
    </w:p>
    <w:p w14:paraId="3E3C1382">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乙方指定收款账户：</w:t>
      </w:r>
    </w:p>
    <w:p w14:paraId="28CF8713">
      <w:pPr>
        <w:keepNext w:val="0"/>
        <w:keepLines w:val="0"/>
        <w:pageBreakBefore w:val="0"/>
        <w:widowControl w:val="0"/>
        <w:kinsoku/>
        <w:wordWrap/>
        <w:overflowPunct/>
        <w:topLinePunct w:val="0"/>
        <w:autoSpaceDE/>
        <w:autoSpaceDN/>
        <w:bidi w:val="0"/>
        <w:adjustRightInd/>
        <w:snapToGrid/>
        <w:spacing w:before="100" w:beforeAutospacing="1" w:after="312" w:afterLines="100" w:line="520" w:lineRule="exact"/>
        <w:ind w:left="540" w:leftChars="257"/>
        <w:textAlignment w:val="auto"/>
        <w:rPr>
          <w:rFonts w:hint="eastAsia" w:ascii="宋体" w:hAnsi="宋体"/>
          <w:b/>
          <w:color w:val="auto"/>
          <w:sz w:val="24"/>
          <w:szCs w:val="24"/>
          <w:u w:val="single"/>
        </w:rPr>
      </w:pPr>
      <w:r>
        <w:rPr>
          <w:rFonts w:hint="eastAsia" w:ascii="Times New Roman" w:hAnsi="Times New Roman" w:eastAsia="宋体" w:cs="Times New Roman"/>
          <w:color w:val="auto"/>
          <w:kern w:val="2"/>
          <w:sz w:val="24"/>
          <w:szCs w:val="24"/>
          <w:lang w:val="en-US" w:eastAsia="zh-CN" w:bidi="ar-SA"/>
        </w:rPr>
        <w:t>户名：</w:t>
      </w:r>
      <w:r>
        <w:rPr>
          <w:rFonts w:hint="eastAsia" w:ascii="宋体" w:hAnsi="宋体" w:cs="宋体"/>
          <w:b w:val="0"/>
          <w:bCs/>
          <w:color w:val="auto"/>
          <w:sz w:val="24"/>
          <w:szCs w:val="24"/>
          <w:u w:val="single"/>
        </w:rPr>
        <w:t xml:space="preserve">陕西宸逸贵建筑工程有限公司 </w:t>
      </w:r>
      <w:r>
        <w:rPr>
          <w:rFonts w:hint="eastAsia" w:ascii="宋体" w:hAnsi="宋体"/>
          <w:b w:val="0"/>
          <w:bCs/>
          <w:color w:val="auto"/>
          <w:sz w:val="24"/>
          <w:szCs w:val="24"/>
          <w:u w:val="single"/>
        </w:rPr>
        <w:t xml:space="preserve"> </w:t>
      </w:r>
    </w:p>
    <w:p w14:paraId="01A8DF35">
      <w:pPr>
        <w:keepNext w:val="0"/>
        <w:keepLines w:val="0"/>
        <w:pageBreakBefore w:val="0"/>
        <w:widowControl w:val="0"/>
        <w:kinsoku/>
        <w:wordWrap/>
        <w:overflowPunct/>
        <w:topLinePunct w:val="0"/>
        <w:autoSpaceDE/>
        <w:autoSpaceDN/>
        <w:bidi w:val="0"/>
        <w:adjustRightInd/>
        <w:snapToGrid/>
        <w:spacing w:before="100" w:beforeAutospacing="1" w:after="312" w:afterLines="100" w:line="520" w:lineRule="exact"/>
        <w:ind w:left="540" w:leftChars="257"/>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开户行：</w:t>
      </w:r>
      <w:r>
        <w:rPr>
          <w:rFonts w:hint="eastAsia" w:cs="Times New Roman"/>
          <w:b w:val="0"/>
          <w:bCs w:val="0"/>
          <w:color w:val="auto"/>
          <w:kern w:val="2"/>
          <w:sz w:val="24"/>
          <w:szCs w:val="24"/>
          <w:u w:val="single"/>
          <w:lang w:val="en-US" w:eastAsia="zh-CN" w:bidi="ar-SA"/>
        </w:rPr>
        <w:t>西安工商银行股份有限公司西安徐家湾支行</w:t>
      </w:r>
    </w:p>
    <w:p w14:paraId="7E10D82D">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银行卡号：</w:t>
      </w:r>
      <w:r>
        <w:rPr>
          <w:rFonts w:hint="eastAsia" w:cs="Times New Roman"/>
          <w:b w:val="0"/>
          <w:bCs w:val="0"/>
          <w:color w:val="auto"/>
          <w:kern w:val="2"/>
          <w:sz w:val="24"/>
          <w:szCs w:val="24"/>
          <w:u w:val="single"/>
          <w:lang w:val="en-US" w:eastAsia="zh-CN" w:bidi="ar-SA"/>
        </w:rPr>
        <w:t xml:space="preserve">3700022609200273367      </w:t>
      </w:r>
    </w:p>
    <w:p w14:paraId="102ECD3A">
      <w:pPr>
        <w:pStyle w:val="6"/>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乙方保证该账户信息真实准确、合法有效。乙方如变更账户信息，应至少提前5个工作日书面通知甲方。乙方未能及时通知甲方其银行信息变更导致的收款延误、丢失等责任与甲方无关。</w:t>
      </w:r>
    </w:p>
    <w:bookmarkEnd w:id="1"/>
    <w:p w14:paraId="5A0AAFEC">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五、双方的权利和义务</w:t>
      </w:r>
    </w:p>
    <w:p w14:paraId="5F3BDE70">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（一）甲方的权利和义务</w:t>
      </w:r>
    </w:p>
    <w:p w14:paraId="61831C71">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1.甲方有权要求乙方供货的项目内容符合国家相关规范，符合甲方验收标准。</w:t>
      </w:r>
    </w:p>
    <w:p w14:paraId="78B7931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2.甲方有权随时监督乙方路牌设置及维修全过程，并给予必要的协调工作。对乙方所设置、补设及维修的道路路牌中不符合技术要求的部分，有权责令乙方返工，乙方须无条件按照甲方要求无偿进行返工。</w:t>
      </w:r>
    </w:p>
    <w:p w14:paraId="3D686B44">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3.甲方负责组织人员进行验收、评定，在乙方提供服务符合合同约定</w:t>
      </w:r>
      <w:r>
        <w:rPr>
          <w:rFonts w:hint="eastAsia" w:ascii="Times New Roman" w:hAnsi="Times New Roman" w:eastAsia="宋体" w:cs="Times New Roman"/>
          <w:color w:val="auto"/>
          <w:kern w:val="2"/>
          <w:sz w:val="24"/>
          <w:szCs w:val="24"/>
          <w:lang w:val="en-US" w:eastAsia="zh-Hans" w:bidi="ar-SA"/>
        </w:rPr>
        <w:t>及</w:t>
      </w:r>
      <w:r>
        <w:rPr>
          <w:rFonts w:hint="eastAsia" w:ascii="Times New Roman" w:hAnsi="Times New Roman" w:eastAsia="宋体" w:cs="Times New Roman"/>
          <w:color w:val="auto"/>
          <w:kern w:val="2"/>
          <w:sz w:val="24"/>
          <w:szCs w:val="24"/>
          <w:lang w:val="en-US" w:eastAsia="zh-CN" w:bidi="ar-SA"/>
        </w:rPr>
        <w:t>甲方要求，</w:t>
      </w:r>
      <w:r>
        <w:rPr>
          <w:rFonts w:hint="eastAsia" w:ascii="Times New Roman" w:hAnsi="Times New Roman" w:eastAsia="宋体" w:cs="Times New Roman"/>
          <w:color w:val="auto"/>
          <w:kern w:val="2"/>
          <w:sz w:val="24"/>
          <w:szCs w:val="24"/>
          <w:lang w:val="en-US" w:eastAsia="zh-Hans" w:bidi="ar-SA"/>
        </w:rPr>
        <w:t>且经甲方书面验收通过后</w:t>
      </w:r>
      <w:r>
        <w:rPr>
          <w:rFonts w:hint="eastAsia" w:ascii="Times New Roman" w:hAnsi="Times New Roman" w:eastAsia="宋体" w:cs="Times New Roman"/>
          <w:color w:val="auto"/>
          <w:kern w:val="2"/>
          <w:sz w:val="24"/>
          <w:szCs w:val="24"/>
          <w:lang w:val="en-US" w:eastAsia="zh-CN" w:bidi="ar-SA"/>
        </w:rPr>
        <w:t>，按合同约定支付路牌设置、维修及牌面更换费用。</w:t>
      </w:r>
    </w:p>
    <w:p w14:paraId="1951E674">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（二）乙方的权利和义务</w:t>
      </w:r>
    </w:p>
    <w:p w14:paraId="47DBC7BF">
      <w:pPr>
        <w:keepNext w:val="0"/>
        <w:keepLines w:val="0"/>
        <w:pageBreakBefore w:val="0"/>
        <w:widowControl/>
        <w:kinsoku/>
        <w:wordWrap/>
        <w:overflowPunct/>
        <w:topLinePunct w:val="0"/>
        <w:autoSpaceDE/>
        <w:autoSpaceDN/>
        <w:bidi w:val="0"/>
        <w:adjustRightInd/>
        <w:snapToGrid/>
        <w:spacing w:line="520" w:lineRule="exact"/>
        <w:ind w:firstLine="567"/>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1.乙方应保证甲方在使用该货物时不受第三方提出侵犯其专利权、版权、商标权或其他权利的起诉。</w:t>
      </w:r>
    </w:p>
    <w:p w14:paraId="6D4E8BDB">
      <w:pPr>
        <w:keepNext w:val="0"/>
        <w:keepLines w:val="0"/>
        <w:pageBreakBefore w:val="0"/>
        <w:widowControl/>
        <w:kinsoku/>
        <w:wordWrap/>
        <w:overflowPunct/>
        <w:topLinePunct w:val="0"/>
        <w:autoSpaceDE/>
        <w:autoSpaceDN/>
        <w:bidi w:val="0"/>
        <w:adjustRightInd/>
        <w:snapToGrid/>
        <w:spacing w:line="520" w:lineRule="exact"/>
        <w:ind w:firstLine="567"/>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2.乙方保证所供产品进货渠道正规，货物为全新的、未使用过的，完全符合国家规范及甲乙双方确定的投标文件、本合同关于货物数量、质量的要求</w:t>
      </w:r>
      <w:r>
        <w:rPr>
          <w:rFonts w:hint="eastAsia" w:ascii="Times New Roman" w:hAnsi="Times New Roman" w:eastAsia="宋体" w:cs="Times New Roman"/>
          <w:color w:val="auto"/>
          <w:kern w:val="2"/>
          <w:sz w:val="24"/>
          <w:szCs w:val="24"/>
          <w:lang w:val="en-US" w:eastAsia="zh-Hans" w:bidi="ar-SA"/>
        </w:rPr>
        <w:t>。</w:t>
      </w:r>
    </w:p>
    <w:p w14:paraId="2E0F9C89">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3.乙方保证货物不存在危及人身及财产安全的产品缺陷，否则应承担全部法律责任。</w:t>
      </w:r>
    </w:p>
    <w:p w14:paraId="2A58508A">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4.路牌设置、维修及牌面更换后未移交甲方之前，乙方负责对现场的所有设施和设置成品及半成品进行保护，风险由乙方负担。</w:t>
      </w:r>
    </w:p>
    <w:p w14:paraId="2807F8E1">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5.乙方应按照甲方规定的时限要求，及时进行新设置或维修破损残缺，</w:t>
      </w:r>
      <w:r>
        <w:rPr>
          <w:rFonts w:hint="default" w:ascii="Times New Roman" w:hAnsi="Times New Roman" w:eastAsia="宋体" w:cs="Times New Roman"/>
          <w:color w:val="auto"/>
          <w:kern w:val="2"/>
          <w:sz w:val="24"/>
          <w:szCs w:val="24"/>
          <w:lang w:val="en-US" w:eastAsia="zh-CN" w:bidi="ar-SA"/>
        </w:rPr>
        <w:t>接到新设路牌任务后，</w:t>
      </w:r>
      <w:r>
        <w:rPr>
          <w:rFonts w:hint="eastAsia" w:ascii="Times New Roman" w:hAnsi="Times New Roman" w:eastAsia="宋体" w:cs="Times New Roman"/>
          <w:color w:val="auto"/>
          <w:kern w:val="2"/>
          <w:sz w:val="24"/>
          <w:szCs w:val="24"/>
          <w:lang w:val="en-US" w:eastAsia="zh-CN" w:bidi="ar-SA"/>
        </w:rPr>
        <w:t>7</w:t>
      </w:r>
      <w:r>
        <w:rPr>
          <w:rFonts w:hint="default" w:ascii="Times New Roman" w:hAnsi="Times New Roman" w:eastAsia="宋体" w:cs="Times New Roman"/>
          <w:color w:val="auto"/>
          <w:kern w:val="2"/>
          <w:sz w:val="24"/>
          <w:szCs w:val="24"/>
          <w:lang w:val="en-US" w:eastAsia="zh-CN" w:bidi="ar-SA"/>
        </w:rPr>
        <w:t>个工作日内完成路牌制作</w:t>
      </w:r>
      <w:r>
        <w:rPr>
          <w:rFonts w:hint="eastAsia" w:ascii="Times New Roman" w:hAnsi="Times New Roman" w:eastAsia="宋体" w:cs="Times New Roman"/>
          <w:color w:val="auto"/>
          <w:kern w:val="2"/>
          <w:sz w:val="24"/>
          <w:szCs w:val="24"/>
          <w:lang w:val="en-US" w:eastAsia="zh-CN" w:bidi="ar-SA"/>
        </w:rPr>
        <w:t>及</w:t>
      </w:r>
      <w:r>
        <w:rPr>
          <w:rFonts w:hint="default" w:ascii="Times New Roman" w:hAnsi="Times New Roman" w:eastAsia="宋体" w:cs="Times New Roman"/>
          <w:color w:val="auto"/>
          <w:kern w:val="2"/>
          <w:sz w:val="24"/>
          <w:szCs w:val="24"/>
          <w:lang w:val="en-US" w:eastAsia="zh-CN" w:bidi="ar-SA"/>
        </w:rPr>
        <w:t>安装验收。</w:t>
      </w:r>
      <w:r>
        <w:rPr>
          <w:rFonts w:hint="eastAsia" w:ascii="Times New Roman" w:hAnsi="Times New Roman" w:eastAsia="宋体" w:cs="Times New Roman"/>
          <w:color w:val="auto"/>
          <w:kern w:val="2"/>
          <w:sz w:val="24"/>
          <w:szCs w:val="24"/>
          <w:lang w:val="en-US" w:eastAsia="zh-CN" w:bidi="ar-SA"/>
        </w:rPr>
        <w:t>对于歪倒倾斜、丢失的路牌，不需要更换部件的应当天完成维修，需更换零部件的须在3个工作日内完成维修。</w:t>
      </w:r>
    </w:p>
    <w:p w14:paraId="61B79741">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6.遇市政工程需挪移路牌的，乙方应在收到通知后4个小时内到达现场联系施工部门，张贴《关于因工程施工挪移道路路牌的告知书》并将拆除路牌收回并妥善保管，待工程完成后及时栽设恢复。</w:t>
      </w:r>
    </w:p>
    <w:p w14:paraId="13902053">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7.乙方施工人员、管理人员及其他现场人员的安全等由乙方负责，如出现任何安全事故，造成人身或财产损害的，均由乙方自行承担全部责任。</w:t>
      </w:r>
    </w:p>
    <w:p w14:paraId="6F863424">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8.乙方必须自行完成本合同项目，不得转包，分包。</w:t>
      </w:r>
    </w:p>
    <w:p w14:paraId="076114AF">
      <w:pPr>
        <w:keepNext w:val="0"/>
        <w:keepLines w:val="0"/>
        <w:pageBreakBefore w:val="0"/>
        <w:widowControl/>
        <w:kinsoku/>
        <w:wordWrap/>
        <w:overflowPunct/>
        <w:topLinePunct w:val="0"/>
        <w:autoSpaceDE/>
        <w:autoSpaceDN/>
        <w:bidi w:val="0"/>
        <w:adjustRightInd/>
        <w:snapToGrid/>
        <w:spacing w:line="520" w:lineRule="exact"/>
        <w:ind w:firstLine="567"/>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9.乙方应确保其施工行为及使用的材料、产品不得侵害甲方或第三方的合法权益，否则应当承担所有维修费用及由此给甲方或第三方造成的一切损失。若因乙方怠于承担责任导致甲方代为承担的，乙方应按甲方代为承担责任的120%赔偿甲方。</w:t>
      </w:r>
    </w:p>
    <w:p w14:paraId="26D39E54">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10.</w:t>
      </w:r>
      <w:r>
        <w:rPr>
          <w:rFonts w:hint="eastAsia" w:cs="Times New Roman"/>
          <w:b/>
          <w:bCs/>
          <w:color w:val="auto"/>
          <w:kern w:val="2"/>
          <w:sz w:val="24"/>
          <w:szCs w:val="24"/>
          <w:lang w:val="en-US" w:eastAsia="zh-CN" w:bidi="ar-SA"/>
        </w:rPr>
        <w:t>乙方应每月将该月</w:t>
      </w:r>
      <w:r>
        <w:rPr>
          <w:rFonts w:hint="eastAsia" w:ascii="Times New Roman" w:hAnsi="Times New Roman" w:eastAsia="宋体" w:cs="Times New Roman"/>
          <w:b/>
          <w:bCs/>
          <w:color w:val="auto"/>
          <w:kern w:val="2"/>
          <w:sz w:val="24"/>
          <w:szCs w:val="24"/>
          <w:lang w:val="en-US" w:eastAsia="zh-CN" w:bidi="ar-SA"/>
        </w:rPr>
        <w:t>路牌设置、维修及牌面更换</w:t>
      </w:r>
      <w:r>
        <w:rPr>
          <w:rFonts w:hint="eastAsia" w:ascii="Times New Roman" w:hAnsi="Times New Roman" w:cs="Times New Roman"/>
          <w:b/>
          <w:bCs/>
          <w:color w:val="auto"/>
          <w:kern w:val="2"/>
          <w:sz w:val="24"/>
          <w:szCs w:val="24"/>
          <w:lang w:val="en-US" w:eastAsia="zh-CN" w:bidi="ar-SA"/>
        </w:rPr>
        <w:t>的</w:t>
      </w:r>
      <w:r>
        <w:rPr>
          <w:rFonts w:hint="eastAsia" w:cs="Times New Roman"/>
          <w:b/>
          <w:bCs/>
          <w:color w:val="auto"/>
          <w:kern w:val="2"/>
          <w:sz w:val="24"/>
          <w:szCs w:val="24"/>
          <w:lang w:val="en-US" w:eastAsia="zh-CN" w:bidi="ar-SA"/>
        </w:rPr>
        <w:t>内容</w:t>
      </w:r>
      <w:r>
        <w:rPr>
          <w:rFonts w:hint="eastAsia" w:ascii="Times New Roman" w:hAnsi="Times New Roman" w:cs="Times New Roman"/>
          <w:b/>
          <w:bCs/>
          <w:color w:val="auto"/>
          <w:kern w:val="2"/>
          <w:sz w:val="24"/>
          <w:szCs w:val="24"/>
          <w:lang w:val="en-US" w:eastAsia="zh-CN" w:bidi="ar-SA"/>
        </w:rPr>
        <w:t>整理成确认</w:t>
      </w:r>
      <w:r>
        <w:rPr>
          <w:rFonts w:hint="eastAsia" w:cs="Times New Roman"/>
          <w:b/>
          <w:bCs/>
          <w:color w:val="auto"/>
          <w:kern w:val="2"/>
          <w:sz w:val="24"/>
          <w:szCs w:val="24"/>
          <w:lang w:val="en-US" w:eastAsia="zh-CN" w:bidi="ar-SA"/>
        </w:rPr>
        <w:t>单</w:t>
      </w:r>
      <w:r>
        <w:rPr>
          <w:rFonts w:hint="eastAsia" w:ascii="Times New Roman" w:hAnsi="Times New Roman" w:cs="Times New Roman"/>
          <w:b/>
          <w:bCs/>
          <w:color w:val="auto"/>
          <w:kern w:val="2"/>
          <w:sz w:val="24"/>
          <w:szCs w:val="24"/>
          <w:lang w:val="en-US" w:eastAsia="zh-CN" w:bidi="ar-SA"/>
        </w:rPr>
        <w:t>，并</w:t>
      </w:r>
      <w:r>
        <w:rPr>
          <w:rFonts w:hint="eastAsia" w:ascii="Times New Roman" w:hAnsi="Times New Roman" w:eastAsia="宋体" w:cs="Times New Roman"/>
          <w:b/>
          <w:bCs/>
          <w:color w:val="auto"/>
          <w:kern w:val="2"/>
          <w:sz w:val="24"/>
          <w:szCs w:val="24"/>
          <w:lang w:val="en-US" w:eastAsia="zh-CN" w:bidi="ar-SA"/>
        </w:rPr>
        <w:t>提供所设置、维修路牌及路牌牌面更换的前后对比照片</w:t>
      </w:r>
      <w:r>
        <w:rPr>
          <w:rFonts w:hint="eastAsia" w:cs="Times New Roman"/>
          <w:b/>
          <w:bCs/>
          <w:color w:val="auto"/>
          <w:kern w:val="2"/>
          <w:sz w:val="24"/>
          <w:szCs w:val="24"/>
          <w:lang w:val="en-US" w:eastAsia="zh-CN" w:bidi="ar-SA"/>
        </w:rPr>
        <w:t>表格</w:t>
      </w:r>
      <w:r>
        <w:rPr>
          <w:rFonts w:hint="eastAsia" w:ascii="Times New Roman" w:hAnsi="Times New Roman" w:cs="Times New Roman"/>
          <w:b/>
          <w:bCs/>
          <w:color w:val="auto"/>
          <w:kern w:val="2"/>
          <w:sz w:val="24"/>
          <w:szCs w:val="24"/>
          <w:lang w:val="en-US" w:eastAsia="zh-CN" w:bidi="ar-SA"/>
        </w:rPr>
        <w:t>，经</w:t>
      </w:r>
      <w:r>
        <w:rPr>
          <w:rFonts w:hint="eastAsia" w:ascii="Times New Roman" w:hAnsi="Times New Roman" w:eastAsia="宋体" w:cs="Times New Roman"/>
          <w:b/>
          <w:bCs/>
          <w:color w:val="auto"/>
          <w:kern w:val="2"/>
          <w:sz w:val="24"/>
          <w:szCs w:val="24"/>
          <w:lang w:val="en-US" w:eastAsia="zh-CN" w:bidi="ar-SA"/>
        </w:rPr>
        <w:t>甲方书面确认</w:t>
      </w:r>
      <w:r>
        <w:rPr>
          <w:rFonts w:hint="eastAsia" w:ascii="Times New Roman" w:hAnsi="Times New Roman" w:cs="Times New Roman"/>
          <w:b/>
          <w:bCs/>
          <w:color w:val="auto"/>
          <w:kern w:val="2"/>
          <w:sz w:val="24"/>
          <w:szCs w:val="24"/>
          <w:lang w:val="en-US" w:eastAsia="zh-CN" w:bidi="ar-SA"/>
        </w:rPr>
        <w:t>后，方可纳入结算</w:t>
      </w:r>
      <w:r>
        <w:rPr>
          <w:rFonts w:hint="eastAsia" w:ascii="Times New Roman" w:hAnsi="Times New Roman" w:eastAsia="宋体" w:cs="Times New Roman"/>
          <w:b/>
          <w:bCs/>
          <w:color w:val="auto"/>
          <w:kern w:val="2"/>
          <w:sz w:val="24"/>
          <w:szCs w:val="24"/>
          <w:lang w:val="en-US" w:eastAsia="zh-CN" w:bidi="ar-SA"/>
        </w:rPr>
        <w:t>。</w:t>
      </w:r>
    </w:p>
    <w:p w14:paraId="3DD31F90">
      <w:pPr>
        <w:keepNext w:val="0"/>
        <w:keepLines w:val="0"/>
        <w:pageBreakBefore w:val="0"/>
        <w:tabs>
          <w:tab w:val="left" w:pos="480"/>
        </w:tabs>
        <w:kinsoku/>
        <w:wordWrap/>
        <w:overflowPunct/>
        <w:topLinePunct w:val="0"/>
        <w:autoSpaceDE/>
        <w:autoSpaceDN/>
        <w:bidi w:val="0"/>
        <w:adjustRightInd/>
        <w:snapToGrid/>
        <w:spacing w:line="520" w:lineRule="exact"/>
        <w:ind w:firstLine="470" w:firstLineChars="196"/>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六、质量保证</w:t>
      </w:r>
    </w:p>
    <w:p w14:paraId="22CA87BB">
      <w:pPr>
        <w:keepNext w:val="0"/>
        <w:keepLines w:val="0"/>
        <w:pageBreakBefore w:val="0"/>
        <w:widowControl/>
        <w:kinsoku/>
        <w:wordWrap/>
        <w:overflowPunct/>
        <w:topLinePunct w:val="0"/>
        <w:autoSpaceDE/>
        <w:autoSpaceDN/>
        <w:bidi w:val="0"/>
        <w:adjustRightInd/>
        <w:snapToGrid/>
        <w:spacing w:line="520" w:lineRule="exact"/>
        <w:ind w:firstLine="567"/>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（一）质保期：本项目的质保期为整体验收合格后1年，质保期起始时间为终验合格之日。</w:t>
      </w:r>
    </w:p>
    <w:p w14:paraId="04A0BBAC">
      <w:pPr>
        <w:keepNext w:val="0"/>
        <w:keepLines w:val="0"/>
        <w:pageBreakBefore w:val="0"/>
        <w:widowControl/>
        <w:kinsoku/>
        <w:wordWrap/>
        <w:overflowPunct/>
        <w:topLinePunct w:val="0"/>
        <w:autoSpaceDE/>
        <w:autoSpaceDN/>
        <w:bidi w:val="0"/>
        <w:adjustRightInd/>
        <w:snapToGrid/>
        <w:spacing w:line="520" w:lineRule="exact"/>
        <w:ind w:firstLine="567"/>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（二）保证所供产品的设计、制造、产品性能、材料的选择和材料的检验及产品的测试等，以及施工设计、施工、辅材均应按国内外通行的现行标准相应的技术规范，以及质量、安全、环保标准和</w:t>
      </w:r>
      <w:r>
        <w:rPr>
          <w:rFonts w:hint="eastAsia" w:ascii="Times New Roman" w:hAnsi="Times New Roman" w:eastAsia="宋体" w:cs="Times New Roman"/>
          <w:color w:val="auto"/>
          <w:kern w:val="2"/>
          <w:sz w:val="24"/>
          <w:szCs w:val="24"/>
          <w:lang w:val="en-US" w:eastAsia="zh-Hans" w:bidi="ar-SA"/>
        </w:rPr>
        <w:t>甲方</w:t>
      </w:r>
      <w:r>
        <w:rPr>
          <w:rFonts w:hint="eastAsia" w:ascii="Times New Roman" w:hAnsi="Times New Roman" w:eastAsia="宋体" w:cs="Times New Roman"/>
          <w:color w:val="auto"/>
          <w:kern w:val="2"/>
          <w:sz w:val="24"/>
          <w:szCs w:val="24"/>
          <w:lang w:val="en-US" w:eastAsia="zh-CN" w:bidi="ar-SA"/>
        </w:rPr>
        <w:t>要求执行，这些标准和技术规范应为合同签订日为止最新公布发行的标准和技术规范。包括但不限于：</w:t>
      </w:r>
    </w:p>
    <w:p w14:paraId="7D5D0FC4">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 地名 标志》（GB17733-2008）</w:t>
      </w:r>
    </w:p>
    <w:p w14:paraId="093DDC42">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2.《 西安市城市标识系统设计设置导则》 </w:t>
      </w:r>
    </w:p>
    <w:p w14:paraId="18428A40">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（三）保证所供产品指标先进、质量性能可靠、配置合理、进货渠道正规，全面满足招标文件要求，无假货、水货或翻新货，并能按期交付。</w:t>
      </w:r>
    </w:p>
    <w:p w14:paraId="00A5E917">
      <w:pPr>
        <w:keepNext w:val="0"/>
        <w:keepLines w:val="0"/>
        <w:pageBreakBefore w:val="0"/>
        <w:widowControl/>
        <w:kinsoku/>
        <w:wordWrap/>
        <w:overflowPunct/>
        <w:topLinePunct w:val="0"/>
        <w:autoSpaceDE/>
        <w:autoSpaceDN/>
        <w:bidi w:val="0"/>
        <w:adjustRightInd/>
        <w:snapToGrid/>
        <w:spacing w:line="520" w:lineRule="exact"/>
        <w:ind w:firstLine="567"/>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（四）保证设置维修的路牌及更换的牌面满足甲方招标内容中的各项参数及要求。</w:t>
      </w:r>
    </w:p>
    <w:p w14:paraId="2634E6E5">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（五）保证所供产品在装卸、运输和仓储过程中有足够的包装保护，防止产品受潮、锈蚀、遭受冲撞及其他不可预见的损坏。</w:t>
      </w:r>
    </w:p>
    <w:p w14:paraId="0A93A3B7">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（六）保证所供产品具有良好的外观，适合各种安装场所的使用要求，确保达到最佳状态。</w:t>
      </w:r>
    </w:p>
    <w:p w14:paraId="6EB9E391">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（七）乙方所供产品因侵权而产生的后果由乙方负责，甲方保留索赔权利。</w:t>
      </w:r>
    </w:p>
    <w:p w14:paraId="369C9037">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七、验收</w:t>
      </w:r>
    </w:p>
    <w:p w14:paraId="64F9456D">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一）验收：乙方应按甲方要求提供所有设置、维修路牌及路牌牌面更换的前后对比照片。甲方按照规定时间点，对规定时间段内乙方设置、维修及路牌牌面更换的道路路牌进行验收（必要时甲方可委托具有相关资质的第三方检测机构对产品进行验收，检测费用由乙方承担，可从甲方应付乙方的款项中直接扣减，乙方对此无异议），验收合格后，填写采购合同履约验收单作为对产品的最终认可。 </w:t>
      </w:r>
    </w:p>
    <w:p w14:paraId="3A83DEF3">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（二）验收依据</w:t>
      </w:r>
    </w:p>
    <w:p w14:paraId="35F77F62">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r>
        <w:rPr>
          <w:rFonts w:hint="eastAsia" w:eastAsia="宋体" w:cs="Times New Roman"/>
          <w:color w:val="auto"/>
          <w:kern w:val="2"/>
          <w:sz w:val="24"/>
          <w:szCs w:val="24"/>
          <w:lang w:val="en-US" w:eastAsia="zh-CN" w:bidi="ar-SA"/>
        </w:rPr>
        <w:t>磋商</w:t>
      </w:r>
      <w:r>
        <w:rPr>
          <w:rFonts w:hint="eastAsia" w:ascii="Times New Roman" w:hAnsi="Times New Roman" w:eastAsia="宋体" w:cs="Times New Roman"/>
          <w:color w:val="auto"/>
          <w:kern w:val="2"/>
          <w:sz w:val="24"/>
          <w:szCs w:val="24"/>
          <w:lang w:val="en-US" w:eastAsia="zh-CN" w:bidi="ar-SA"/>
        </w:rPr>
        <w:t>文件、</w:t>
      </w:r>
      <w:r>
        <w:rPr>
          <w:rFonts w:hint="eastAsia" w:eastAsia="宋体" w:cs="Times New Roman"/>
          <w:color w:val="auto"/>
          <w:kern w:val="2"/>
          <w:sz w:val="24"/>
          <w:szCs w:val="24"/>
          <w:lang w:val="en-US" w:eastAsia="zh-CN" w:bidi="ar-SA"/>
        </w:rPr>
        <w:t>响应</w:t>
      </w:r>
      <w:r>
        <w:rPr>
          <w:rFonts w:hint="eastAsia" w:ascii="Times New Roman" w:hAnsi="Times New Roman" w:eastAsia="宋体" w:cs="Times New Roman"/>
          <w:color w:val="auto"/>
          <w:kern w:val="2"/>
          <w:sz w:val="24"/>
          <w:szCs w:val="24"/>
          <w:lang w:val="en-US" w:eastAsia="zh-CN" w:bidi="ar-SA"/>
        </w:rPr>
        <w:t>文件；</w:t>
      </w:r>
    </w:p>
    <w:p w14:paraId="2C1CC434">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2.本合同及附件文本；</w:t>
      </w:r>
    </w:p>
    <w:p w14:paraId="650983B7">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3.合同签订时国家及行业现行的标准和技术规范。</w:t>
      </w:r>
    </w:p>
    <w:p w14:paraId="57CF1389">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（三）乙方应向甲方提交项目实施过程中的所有资料，以便甲方日后管理和维护。</w:t>
      </w:r>
    </w:p>
    <w:p w14:paraId="04E18F7B">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九、售后服务</w:t>
      </w:r>
    </w:p>
    <w:p w14:paraId="10B89751">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乙方提供以下售后服务：</w:t>
      </w:r>
    </w:p>
    <w:p w14:paraId="73FBF493">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1.质量保证期：自甲方签发最终采购合同履约验收单之日起1年。</w:t>
      </w:r>
    </w:p>
    <w:p w14:paraId="7576A526">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2.乙方应提供 7×24小时不间断的电话支持服务，出现正常使用中出现的故障及质量问题，均由乙方负相应修复、重设责任，修复时间要求与正常设置、维修时间相同。如不能如期完成修复，甲方有权指定第三方维修，维修费用由乙方全额承担。</w:t>
      </w:r>
    </w:p>
    <w:p w14:paraId="15D815D0">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3.质保期内，乙方应每月派专业维修人员到现场走访，给予检查维护，形成书面检查维护记录，甲方有权随时调取查看。质保期结束前，对所供产品进行一次全面检测、保养和维护并向甲方提交检测、维修报告。</w:t>
      </w:r>
    </w:p>
    <w:p w14:paraId="20FD494C">
      <w:pPr>
        <w:keepNext w:val="0"/>
        <w:keepLines w:val="0"/>
        <w:pageBreakBefore w:val="0"/>
        <w:tabs>
          <w:tab w:val="left" w:pos="480"/>
        </w:tabs>
        <w:kinsoku/>
        <w:wordWrap/>
        <w:overflowPunct/>
        <w:topLinePunct w:val="0"/>
        <w:autoSpaceDE/>
        <w:autoSpaceDN/>
        <w:bidi w:val="0"/>
        <w:adjustRightInd/>
        <w:snapToGrid/>
        <w:spacing w:line="520" w:lineRule="exact"/>
        <w:ind w:firstLine="470" w:firstLineChars="196"/>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十、技术与服务</w:t>
      </w:r>
    </w:p>
    <w:p w14:paraId="56D30E76">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（一）技术资料</w:t>
      </w:r>
    </w:p>
    <w:p w14:paraId="0143A913">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1.产品合格证；</w:t>
      </w:r>
    </w:p>
    <w:p w14:paraId="5CB4DCDE">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2.产品技术参数；</w:t>
      </w:r>
    </w:p>
    <w:p w14:paraId="41C6940A">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3.产品使用维护说明书（中文）；</w:t>
      </w:r>
    </w:p>
    <w:p w14:paraId="1AF1C487">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4.其它资料。</w:t>
      </w:r>
    </w:p>
    <w:p w14:paraId="0A7D53EE">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（二）服务承诺</w:t>
      </w:r>
    </w:p>
    <w:p w14:paraId="277C1632">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以</w:t>
      </w:r>
      <w:r>
        <w:rPr>
          <w:rFonts w:hint="eastAsia" w:eastAsia="宋体" w:cs="Times New Roman"/>
          <w:color w:val="auto"/>
          <w:kern w:val="2"/>
          <w:sz w:val="24"/>
          <w:szCs w:val="24"/>
          <w:lang w:val="en-US" w:eastAsia="zh-CN" w:bidi="ar-SA"/>
        </w:rPr>
        <w:t>响应</w:t>
      </w:r>
      <w:r>
        <w:rPr>
          <w:rFonts w:hint="eastAsia" w:ascii="Times New Roman" w:hAnsi="Times New Roman" w:eastAsia="宋体" w:cs="Times New Roman"/>
          <w:color w:val="auto"/>
          <w:kern w:val="2"/>
          <w:sz w:val="24"/>
          <w:szCs w:val="24"/>
          <w:lang w:val="en-US" w:eastAsia="zh-CN" w:bidi="ar-SA"/>
        </w:rPr>
        <w:t>文件、澄清表（函）、合同和随产品的相关文件为准。</w:t>
      </w:r>
    </w:p>
    <w:p w14:paraId="79C66045">
      <w:pPr>
        <w:keepNext w:val="0"/>
        <w:keepLines w:val="0"/>
        <w:pageBreakBefore w:val="0"/>
        <w:tabs>
          <w:tab w:val="left" w:pos="480"/>
        </w:tabs>
        <w:kinsoku/>
        <w:wordWrap/>
        <w:overflowPunct/>
        <w:topLinePunct w:val="0"/>
        <w:autoSpaceDE/>
        <w:autoSpaceDN/>
        <w:bidi w:val="0"/>
        <w:adjustRightInd/>
        <w:snapToGrid/>
        <w:spacing w:line="520" w:lineRule="exact"/>
        <w:ind w:firstLine="470" w:firstLineChars="196"/>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十一、违约责任及合同解除</w:t>
      </w:r>
    </w:p>
    <w:p w14:paraId="0F39E93D">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（一）按《民法典》等法律法规中的相关条款执行。</w:t>
      </w:r>
    </w:p>
    <w:p w14:paraId="5163D1A1">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未按合同要求提供产品或产品质量不能满足合同要求，甲方应当将乙方违约的情况以及拟采取的措施以书面形式报政府采购监管部门，根据政府采购监管部门的处理意见，甲方有权依据《民法典》有关条款及合同约定终止合同，并要求乙方承担合同总价款20%的违约金。同时，政府采购监管部门有权依据《政府采购法》及相关法律法规对乙方的违法行为进行相应的处罚。</w:t>
      </w:r>
    </w:p>
    <w:p w14:paraId="07008177">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（三）未按时间完成甲方要求的道路路牌设置、补设、维修，每延迟一天，扣除乙方合同总价款的3‰。 </w:t>
      </w:r>
    </w:p>
    <w:p w14:paraId="0A5D010C">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（四）施工过程中因乙方原因造成人身或财产损害的，应由乙方承担全部责任，乙方应按</w:t>
      </w:r>
      <w:r>
        <w:rPr>
          <w:rFonts w:hint="default" w:ascii="Times New Roman" w:hAnsi="Times New Roman" w:eastAsia="宋体" w:cs="Times New Roman"/>
          <w:color w:val="auto"/>
          <w:kern w:val="2"/>
          <w:sz w:val="24"/>
          <w:szCs w:val="24"/>
          <w:lang w:val="en-US" w:eastAsia="zh-CN" w:bidi="ar-SA"/>
        </w:rPr>
        <w:t>实际损</w:t>
      </w:r>
      <w:r>
        <w:rPr>
          <w:rFonts w:hint="eastAsia" w:ascii="Times New Roman" w:hAnsi="Times New Roman" w:eastAsia="宋体" w:cs="Times New Roman"/>
          <w:color w:val="auto"/>
          <w:kern w:val="2"/>
          <w:sz w:val="24"/>
          <w:szCs w:val="24"/>
          <w:lang w:val="en-US" w:eastAsia="zh-CN" w:bidi="ar-SA"/>
        </w:rPr>
        <w:t xml:space="preserve">害20%的标准向甲方支付违约金。 </w:t>
      </w:r>
    </w:p>
    <w:p w14:paraId="5C6FA0E7">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（五）乙方应确保其施工行为及使用的材料、产品不得侵害甲方或第三方的合法权益，否则应当按照合同总价20%的标准向甲方支付违约金。 </w:t>
      </w:r>
    </w:p>
    <w:p w14:paraId="10AE5A74">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（六）本合同履行过程中产生的一切违约金、赔偿金等费用，甲方有权直接从乙方应收款中直接扣除。 </w:t>
      </w:r>
    </w:p>
    <w:p w14:paraId="5741D543">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（七）除上述违约责任外，乙方还需支付甲方为维护自身合法权益所支出的费用，包括但不限于律师费、诉讼费、保全保险费等。 </w:t>
      </w:r>
    </w:p>
    <w:p w14:paraId="6D56DF7D">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八）乙方出现下列情形之一的，甲方有权立即解除本合同，拒绝支付任何费用，甲方已支付的费用乙方应在合同解除之日起3日内返还，逾期返还的，每逾期一日，需按照欠付金额的千分之一按日向甲方支付违约金，并赔偿由此给甲方带来的全部损失。乙方还需按照本合同总费用的20%的标准向甲方支付违约金，并赔偿由此给甲方带来的全部损失：</w:t>
      </w:r>
    </w:p>
    <w:p w14:paraId="4117741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（1）乙方未在合同约定时间或甲方指定时间完成路牌设置超过5日的。</w:t>
      </w:r>
    </w:p>
    <w:p w14:paraId="2613258D">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（2）乙方未按照合同约定或甲方指定时间履行维修、保养义务，情节严重或超过3次的。</w:t>
      </w:r>
    </w:p>
    <w:p w14:paraId="0F0A22EF">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（3）未经甲方书面同意，乙方擅自将本合同项下的权利义务转让给第三方的。</w:t>
      </w:r>
    </w:p>
    <w:p w14:paraId="02E0B37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（4）因乙方或乙方员工造成甲方重大损失的（包括名誉损失）。</w:t>
      </w:r>
    </w:p>
    <w:p w14:paraId="4AB83A8E">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（5）乙方违反本合同项下义务，情节严重的；或经甲方提醒，拒不改正的；或乙方根本违约的。</w:t>
      </w:r>
    </w:p>
    <w:p w14:paraId="7326B422">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（6）有证据表明乙方履约能力不足的。</w:t>
      </w:r>
    </w:p>
    <w:p w14:paraId="718B2771">
      <w:pPr>
        <w:keepNext w:val="0"/>
        <w:keepLines w:val="0"/>
        <w:pageBreakBefore w:val="0"/>
        <w:tabs>
          <w:tab w:val="left" w:pos="480"/>
        </w:tabs>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十二、争议解决</w:t>
      </w:r>
    </w:p>
    <w:p w14:paraId="4A09EDCD">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（一）本合同在履行过程中发生的争议，由甲、乙双方当事人协商解决，协商不成的按下列第2种方式解决：</w:t>
      </w:r>
    </w:p>
    <w:p w14:paraId="09658D46">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1、提交西安</w:t>
      </w:r>
      <w:r>
        <w:rPr>
          <w:rFonts w:hint="eastAsia" w:cs="Times New Roman"/>
          <w:color w:val="auto"/>
          <w:kern w:val="2"/>
          <w:sz w:val="24"/>
          <w:szCs w:val="24"/>
          <w:lang w:val="en-US" w:eastAsia="zh-CN" w:bidi="ar-SA"/>
        </w:rPr>
        <w:t>市莲湖区</w:t>
      </w:r>
      <w:r>
        <w:rPr>
          <w:rFonts w:hint="eastAsia" w:ascii="Times New Roman" w:hAnsi="Times New Roman" w:eastAsia="宋体" w:cs="Times New Roman"/>
          <w:color w:val="auto"/>
          <w:kern w:val="2"/>
          <w:sz w:val="24"/>
          <w:szCs w:val="24"/>
          <w:lang w:val="en-US" w:eastAsia="zh-CN" w:bidi="ar-SA"/>
        </w:rPr>
        <w:t>仲裁委员会仲裁；</w:t>
      </w:r>
    </w:p>
    <w:p w14:paraId="729792C4">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2、依法向甲方所在地有管辖权人民法院起诉。</w:t>
      </w:r>
    </w:p>
    <w:p w14:paraId="67CD974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（二）本条款为独立条款，本合同的无效、变更、解除和终止均不影响本条款的效力。</w:t>
      </w:r>
    </w:p>
    <w:p w14:paraId="2CADD34E">
      <w:pPr>
        <w:keepNext w:val="0"/>
        <w:keepLines w:val="0"/>
        <w:pageBreakBefore w:val="0"/>
        <w:tabs>
          <w:tab w:val="left" w:pos="480"/>
        </w:tabs>
        <w:kinsoku/>
        <w:wordWrap/>
        <w:overflowPunct/>
        <w:topLinePunct w:val="0"/>
        <w:autoSpaceDE/>
        <w:autoSpaceDN/>
        <w:bidi w:val="0"/>
        <w:adjustRightInd/>
        <w:snapToGrid/>
        <w:spacing w:line="520" w:lineRule="exact"/>
        <w:ind w:firstLine="470" w:firstLineChars="196"/>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十三、合同变更</w:t>
      </w:r>
    </w:p>
    <w:p w14:paraId="5E51F32E">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在合同的执行期内，双方均不得随意变更或解除合同。如因项目需求情况发生变化，需要项目变更的，应双方协商后签订项目变更合同，并经鉴证方确认后生效（如双方变更事项不能达成一致的，仍按原合同履行，否则视为违约）。</w:t>
      </w:r>
    </w:p>
    <w:p w14:paraId="2E39B791">
      <w:pPr>
        <w:keepNext w:val="0"/>
        <w:keepLines w:val="0"/>
        <w:pageBreakBefore w:val="0"/>
        <w:tabs>
          <w:tab w:val="left" w:pos="480"/>
        </w:tabs>
        <w:kinsoku/>
        <w:wordWrap/>
        <w:overflowPunct/>
        <w:topLinePunct w:val="0"/>
        <w:autoSpaceDE/>
        <w:autoSpaceDN/>
        <w:bidi w:val="0"/>
        <w:adjustRightInd/>
        <w:snapToGrid/>
        <w:spacing w:line="520" w:lineRule="exact"/>
        <w:ind w:firstLine="470" w:firstLineChars="196"/>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十四、合同生效</w:t>
      </w:r>
    </w:p>
    <w:p w14:paraId="5B5D9F06">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本合同一式</w:t>
      </w:r>
      <w:r>
        <w:rPr>
          <w:rFonts w:hint="eastAsia"/>
          <w:color w:val="auto"/>
          <w:sz w:val="24"/>
          <w:u w:val="single"/>
          <w:lang w:val="en-US" w:eastAsia="zh-CN"/>
        </w:rPr>
        <w:t xml:space="preserve">     2  </w:t>
      </w:r>
      <w:r>
        <w:rPr>
          <w:rFonts w:hint="eastAsia" w:ascii="Times New Roman" w:hAnsi="Times New Roman" w:eastAsia="宋体" w:cs="Times New Roman"/>
          <w:color w:val="auto"/>
          <w:kern w:val="2"/>
          <w:sz w:val="24"/>
          <w:szCs w:val="24"/>
          <w:lang w:val="en-US" w:eastAsia="zh-CN" w:bidi="ar-SA"/>
        </w:rPr>
        <w:t>份，甲方持</w:t>
      </w:r>
      <w:r>
        <w:rPr>
          <w:rFonts w:hint="eastAsia"/>
          <w:color w:val="auto"/>
          <w:sz w:val="24"/>
          <w:u w:val="single"/>
          <w:lang w:val="en-US" w:eastAsia="zh-CN"/>
        </w:rPr>
        <w:t xml:space="preserve">   1      </w:t>
      </w:r>
      <w:r>
        <w:rPr>
          <w:rFonts w:hint="eastAsia" w:ascii="Times New Roman" w:hAnsi="Times New Roman" w:eastAsia="宋体" w:cs="Times New Roman"/>
          <w:color w:val="auto"/>
          <w:kern w:val="2"/>
          <w:sz w:val="24"/>
          <w:szCs w:val="24"/>
          <w:lang w:val="en-US" w:eastAsia="zh-CN" w:bidi="ar-SA"/>
        </w:rPr>
        <w:t>份，乙方持</w:t>
      </w:r>
      <w:r>
        <w:rPr>
          <w:rFonts w:hint="eastAsia"/>
          <w:color w:val="auto"/>
          <w:sz w:val="24"/>
          <w:u w:val="single"/>
          <w:lang w:val="en-US" w:eastAsia="zh-CN"/>
        </w:rPr>
        <w:t xml:space="preserve">    1     </w:t>
      </w:r>
      <w:r>
        <w:rPr>
          <w:rFonts w:hint="eastAsia" w:ascii="Times New Roman" w:hAnsi="Times New Roman" w:eastAsia="宋体" w:cs="Times New Roman"/>
          <w:color w:val="auto"/>
          <w:kern w:val="2"/>
          <w:sz w:val="24"/>
          <w:szCs w:val="24"/>
          <w:lang w:val="en-US" w:eastAsia="zh-CN" w:bidi="ar-SA"/>
        </w:rPr>
        <w:t>份，本合同甲、乙各方法定代表人或授权代表签字并盖合同专用章或公章后生效，合同执行完毕后，自动失效（合同的服务承诺则长期有效）。</w:t>
      </w:r>
    </w:p>
    <w:p w14:paraId="320BA62E">
      <w:pPr>
        <w:keepNext w:val="0"/>
        <w:keepLines w:val="0"/>
        <w:pageBreakBefore w:val="0"/>
        <w:tabs>
          <w:tab w:val="left" w:pos="480"/>
        </w:tabs>
        <w:kinsoku/>
        <w:wordWrap/>
        <w:overflowPunct/>
        <w:topLinePunct w:val="0"/>
        <w:autoSpaceDE/>
        <w:autoSpaceDN/>
        <w:bidi w:val="0"/>
        <w:adjustRightInd/>
        <w:snapToGrid/>
        <w:spacing w:line="520" w:lineRule="exact"/>
        <w:ind w:firstLine="470" w:firstLineChars="196"/>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十五、其他事项</w:t>
      </w:r>
    </w:p>
    <w:p w14:paraId="42E7D1F7">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r>
        <w:rPr>
          <w:rFonts w:hint="eastAsia" w:eastAsia="宋体" w:cs="Times New Roman"/>
          <w:color w:val="auto"/>
          <w:kern w:val="2"/>
          <w:sz w:val="24"/>
          <w:szCs w:val="24"/>
          <w:lang w:val="en-US" w:eastAsia="zh-CN" w:bidi="ar-SA"/>
        </w:rPr>
        <w:t>一</w:t>
      </w:r>
      <w:r>
        <w:rPr>
          <w:rFonts w:hint="eastAsia" w:ascii="Times New Roman" w:hAnsi="Times New Roman" w:eastAsia="宋体" w:cs="Times New Roman"/>
          <w:color w:val="auto"/>
          <w:kern w:val="2"/>
          <w:sz w:val="24"/>
          <w:szCs w:val="24"/>
          <w:lang w:val="en-US" w:eastAsia="zh-CN" w:bidi="ar-SA"/>
        </w:rPr>
        <w:t>）</w:t>
      </w:r>
      <w:r>
        <w:rPr>
          <w:rFonts w:hint="eastAsia" w:eastAsia="宋体" w:cs="Times New Roman"/>
          <w:color w:val="auto"/>
          <w:kern w:val="2"/>
          <w:sz w:val="24"/>
          <w:szCs w:val="24"/>
          <w:lang w:val="en-US" w:eastAsia="zh-CN" w:bidi="ar-SA"/>
        </w:rPr>
        <w:t>磋商</w:t>
      </w:r>
      <w:r>
        <w:rPr>
          <w:rFonts w:hint="eastAsia" w:ascii="Times New Roman" w:hAnsi="Times New Roman" w:eastAsia="宋体" w:cs="Times New Roman"/>
          <w:color w:val="auto"/>
          <w:kern w:val="2"/>
          <w:sz w:val="24"/>
          <w:szCs w:val="24"/>
          <w:lang w:val="en-US" w:eastAsia="zh-CN" w:bidi="ar-SA"/>
        </w:rPr>
        <w:t>文件、</w:t>
      </w:r>
      <w:r>
        <w:rPr>
          <w:rFonts w:hint="eastAsia" w:eastAsia="宋体" w:cs="Times New Roman"/>
          <w:color w:val="auto"/>
          <w:kern w:val="2"/>
          <w:sz w:val="24"/>
          <w:szCs w:val="24"/>
          <w:lang w:val="en-US" w:eastAsia="zh-CN" w:bidi="ar-SA"/>
        </w:rPr>
        <w:t>响应</w:t>
      </w:r>
      <w:r>
        <w:rPr>
          <w:rFonts w:hint="eastAsia" w:ascii="Times New Roman" w:hAnsi="Times New Roman" w:eastAsia="宋体" w:cs="Times New Roman"/>
          <w:color w:val="auto"/>
          <w:kern w:val="2"/>
          <w:sz w:val="24"/>
          <w:szCs w:val="24"/>
          <w:lang w:val="en-US" w:eastAsia="zh-CN" w:bidi="ar-SA"/>
        </w:rPr>
        <w:t>文件、澄清表（函）、</w:t>
      </w:r>
      <w:r>
        <w:rPr>
          <w:rFonts w:hint="eastAsia" w:eastAsia="宋体" w:cs="Times New Roman"/>
          <w:color w:val="auto"/>
          <w:kern w:val="2"/>
          <w:sz w:val="24"/>
          <w:szCs w:val="24"/>
          <w:lang w:val="en-US" w:eastAsia="zh-CN" w:bidi="ar-SA"/>
        </w:rPr>
        <w:t>成交</w:t>
      </w:r>
      <w:r>
        <w:rPr>
          <w:rFonts w:hint="eastAsia" w:ascii="Times New Roman" w:hAnsi="Times New Roman" w:eastAsia="宋体" w:cs="Times New Roman"/>
          <w:color w:val="auto"/>
          <w:kern w:val="2"/>
          <w:sz w:val="24"/>
          <w:szCs w:val="24"/>
          <w:lang w:val="en-US" w:eastAsia="zh-CN" w:bidi="ar-SA"/>
        </w:rPr>
        <w:t>通知书、合同附件均成为合同不可分割的部分。</w:t>
      </w:r>
    </w:p>
    <w:p w14:paraId="0D2CAA79">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r>
        <w:rPr>
          <w:rFonts w:hint="eastAsia" w:eastAsia="宋体" w:cs="Times New Roman"/>
          <w:color w:val="auto"/>
          <w:kern w:val="2"/>
          <w:sz w:val="24"/>
          <w:szCs w:val="24"/>
          <w:lang w:val="en-US" w:eastAsia="zh-CN" w:bidi="ar-SA"/>
        </w:rPr>
        <w:t>二</w:t>
      </w:r>
      <w:r>
        <w:rPr>
          <w:rFonts w:hint="eastAsia" w:ascii="Times New Roman" w:hAnsi="Times New Roman" w:eastAsia="宋体" w:cs="Times New Roman"/>
          <w:color w:val="auto"/>
          <w:kern w:val="2"/>
          <w:sz w:val="24"/>
          <w:szCs w:val="24"/>
          <w:lang w:val="en-US" w:eastAsia="zh-CN" w:bidi="ar-SA"/>
        </w:rPr>
        <w:t>）合同未尽事宜，由甲、乙双方协商并经鉴证方确认后签订政府采购补充合同，与原合同具有同等法律效力。</w:t>
      </w:r>
    </w:p>
    <w:p w14:paraId="3BB1E004">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r>
        <w:rPr>
          <w:rFonts w:hint="eastAsia" w:eastAsia="宋体" w:cs="Times New Roman"/>
          <w:color w:val="auto"/>
          <w:kern w:val="2"/>
          <w:sz w:val="24"/>
          <w:szCs w:val="24"/>
          <w:lang w:val="en-US" w:eastAsia="zh-CN" w:bidi="ar-SA"/>
        </w:rPr>
        <w:t>三</w:t>
      </w:r>
      <w:r>
        <w:rPr>
          <w:rFonts w:hint="eastAsia" w:ascii="Times New Roman" w:hAnsi="Times New Roman" w:eastAsia="宋体" w:cs="Times New Roman"/>
          <w:color w:val="auto"/>
          <w:kern w:val="2"/>
          <w:sz w:val="24"/>
          <w:szCs w:val="24"/>
          <w:lang w:val="en-US" w:eastAsia="zh-CN" w:bidi="ar-SA"/>
        </w:rPr>
        <w:t>）本合同中的通讯地址为甲、乙双方互发函件确认能够接收的地址，若有变更应在变更后3个工作日内书面通知对方，否则对方按此地址送达的任何文件在发出3日后即视为送达。若发生纠纷的，该地址作为法院或仲裁机构寄发相应法律文件的送达地址，因一方预留地址有误或变更通讯地址而未通知对方的，对方、法院或仲裁机构按原地址发出通知或文件3日后，视为已送达。以电子邮件方式发送的，发送之日视为已送达。</w:t>
      </w:r>
    </w:p>
    <w:p w14:paraId="498955F2">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r>
        <w:rPr>
          <w:rFonts w:hint="eastAsia" w:eastAsia="宋体" w:cs="Times New Roman"/>
          <w:color w:val="auto"/>
          <w:kern w:val="2"/>
          <w:sz w:val="24"/>
          <w:szCs w:val="24"/>
          <w:lang w:val="en-US" w:eastAsia="zh-CN" w:bidi="ar-SA"/>
        </w:rPr>
        <w:t>四</w:t>
      </w:r>
      <w:r>
        <w:rPr>
          <w:rFonts w:hint="eastAsia" w:ascii="Times New Roman" w:hAnsi="Times New Roman" w:eastAsia="宋体" w:cs="Times New Roman"/>
          <w:color w:val="auto"/>
          <w:kern w:val="2"/>
          <w:sz w:val="24"/>
          <w:szCs w:val="24"/>
          <w:lang w:val="en-US" w:eastAsia="zh-CN" w:bidi="ar-SA"/>
        </w:rPr>
        <w:t>）本合同所有条款均为打印文本，对任何手写修改，应在修改处双方签字盖章后生效。本合同履行过程中所有涉及甲方义务增加部分，任何人签字均不对甲方产生约束力，均需甲方书面文书并加盖公章。否则所产生的一切不利后果及费用增加均由乙方自行承担。</w:t>
      </w:r>
    </w:p>
    <w:p w14:paraId="00D2B461">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color w:val="auto"/>
          <w:kern w:val="2"/>
          <w:sz w:val="24"/>
          <w:szCs w:val="24"/>
          <w:lang w:val="en-US" w:eastAsia="zh-CN" w:bidi="ar-SA"/>
        </w:rPr>
      </w:pPr>
    </w:p>
    <w:p w14:paraId="15DAC233">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color w:val="auto"/>
          <w:kern w:val="2"/>
          <w:sz w:val="24"/>
          <w:szCs w:val="24"/>
          <w:lang w:val="en-US" w:eastAsia="zh-CN" w:bidi="ar-SA"/>
        </w:rPr>
      </w:pPr>
    </w:p>
    <w:p w14:paraId="16BCA681">
      <w:pPr>
        <w:keepNext w:val="0"/>
        <w:keepLines w:val="0"/>
        <w:pageBreakBefore w:val="0"/>
        <w:widowControl w:val="0"/>
        <w:kinsoku/>
        <w:wordWrap/>
        <w:overflowPunct/>
        <w:topLinePunct w:val="0"/>
        <w:autoSpaceDE/>
        <w:autoSpaceDN/>
        <w:bidi w:val="0"/>
        <w:spacing w:line="300" w:lineRule="exact"/>
        <w:ind w:left="5415" w:leftChars="229" w:hanging="4934" w:hangingChars="2056"/>
        <w:jc w:val="both"/>
        <w:textAlignment w:val="auto"/>
        <w:rPr>
          <w:rFonts w:hint="eastAsia" w:ascii="宋体" w:hAnsi="宋体" w:eastAsia="宋体" w:cs="宋体"/>
          <w:color w:val="auto"/>
          <w:sz w:val="24"/>
          <w:szCs w:val="24"/>
          <w:lang w:val="en-US" w:eastAsia="zh-CN"/>
        </w:rPr>
      </w:pPr>
    </w:p>
    <w:p w14:paraId="153CB8B9">
      <w:pPr>
        <w:keepNext w:val="0"/>
        <w:keepLines w:val="0"/>
        <w:pageBreakBefore w:val="0"/>
        <w:widowControl w:val="0"/>
        <w:kinsoku/>
        <w:wordWrap/>
        <w:overflowPunct/>
        <w:topLinePunct w:val="0"/>
        <w:autoSpaceDE/>
        <w:autoSpaceDN/>
        <w:bidi w:val="0"/>
        <w:spacing w:line="240" w:lineRule="exact"/>
        <w:ind w:left="5415" w:leftChars="229" w:hanging="4934" w:hangingChars="2056"/>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w:t>
      </w:r>
      <w:r>
        <w:rPr>
          <w:rFonts w:hint="eastAsia" w:cs="宋体" w:asciiTheme="minorEastAsia" w:hAnsiTheme="minorEastAsia" w:eastAsiaTheme="minorEastAsia"/>
          <w:color w:val="auto"/>
          <w:sz w:val="24"/>
          <w:highlight w:val="none"/>
          <w:u w:val="single"/>
          <w:lang w:eastAsia="zh-CN"/>
        </w:rPr>
        <w:t>西安市莲湖区民政局</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陕西宸逸贵建筑工程有限公司</w:t>
      </w:r>
    </w:p>
    <w:p w14:paraId="6CBB5021">
      <w:pPr>
        <w:pStyle w:val="2"/>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rPr>
          <w:rFonts w:hint="default"/>
          <w:color w:val="auto"/>
          <w:lang w:val="en-US" w:eastAsia="zh-CN"/>
        </w:rPr>
      </w:pPr>
    </w:p>
    <w:p w14:paraId="0C5F6531">
      <w:pPr>
        <w:pStyle w:val="2"/>
        <w:keepNext w:val="0"/>
        <w:keepLines w:val="0"/>
        <w:pageBreakBefore w:val="0"/>
        <w:widowControl w:val="0"/>
        <w:kinsoku/>
        <w:wordWrap/>
        <w:overflowPunct/>
        <w:topLinePunct w:val="0"/>
        <w:autoSpaceDE/>
        <w:autoSpaceDN/>
        <w:bidi w:val="0"/>
        <w:spacing w:line="240" w:lineRule="exact"/>
        <w:textAlignment w:val="auto"/>
        <w:rPr>
          <w:rFonts w:hint="eastAsia"/>
          <w:color w:val="auto"/>
        </w:rPr>
      </w:pPr>
    </w:p>
    <w:p w14:paraId="556885F8">
      <w:pPr>
        <w:keepNext w:val="0"/>
        <w:keepLines w:val="0"/>
        <w:pageBreakBefore w:val="0"/>
        <w:widowControl w:val="0"/>
        <w:kinsoku/>
        <w:wordWrap/>
        <w:overflowPunct/>
        <w:topLinePunct w:val="0"/>
        <w:autoSpaceDE/>
        <w:autoSpaceDN/>
        <w:bidi w:val="0"/>
        <w:spacing w:line="240" w:lineRule="exact"/>
        <w:ind w:left="5385" w:leftChars="0" w:hanging="4905" w:firstLineChars="0"/>
        <w:textAlignment w:val="auto"/>
        <w:rPr>
          <w:rFonts w:hint="eastAsia" w:ascii="宋体" w:hAnsi="宋体" w:cs="宋体"/>
          <w:color w:val="auto"/>
          <w:szCs w:val="28"/>
          <w:u w:val="single"/>
        </w:rPr>
      </w:pPr>
      <w:r>
        <w:rPr>
          <w:rFonts w:hint="eastAsia" w:ascii="宋体" w:hAnsi="宋体" w:eastAsia="宋体" w:cs="宋体"/>
          <w:color w:val="auto"/>
          <w:sz w:val="24"/>
          <w:szCs w:val="24"/>
          <w:u w:val="none"/>
        </w:rPr>
        <w:t>地址：</w:t>
      </w:r>
      <w:r>
        <w:rPr>
          <w:rFonts w:hint="eastAsia" w:cs="宋体" w:asciiTheme="minorEastAsia" w:hAnsiTheme="minorEastAsia" w:eastAsiaTheme="minorEastAsia"/>
          <w:color w:val="auto"/>
          <w:sz w:val="24"/>
          <w:highlight w:val="none"/>
          <w:u w:val="single"/>
          <w:lang w:eastAsia="zh-CN"/>
        </w:rPr>
        <w:t>西安市莲湖区庙后街169号</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地址：</w:t>
      </w:r>
      <w:r>
        <w:rPr>
          <w:rFonts w:hint="eastAsia" w:ascii="宋体" w:hAnsi="宋体" w:cs="宋体"/>
          <w:color w:val="auto"/>
          <w:szCs w:val="28"/>
          <w:u w:val="single"/>
        </w:rPr>
        <w:t xml:space="preserve">陕西省西安市浐灞生态区兴泰一街127号3幢10810室 </w:t>
      </w:r>
    </w:p>
    <w:p w14:paraId="227733CD">
      <w:pPr>
        <w:pStyle w:val="2"/>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rPr>
          <w:rFonts w:hint="eastAsia"/>
          <w:color w:val="auto"/>
        </w:rPr>
      </w:pPr>
    </w:p>
    <w:p w14:paraId="74CC1CCB">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邮政编码：</w:t>
      </w:r>
      <w:r>
        <w:rPr>
          <w:rFonts w:hint="eastAsia" w:ascii="宋体" w:hAnsi="宋体" w:cs="宋体"/>
          <w:color w:val="auto"/>
          <w:sz w:val="24"/>
          <w:szCs w:val="24"/>
          <w:u w:val="single"/>
          <w:lang w:val="en-US" w:eastAsia="zh-CN"/>
        </w:rPr>
        <w:t>710002</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邮政编码：</w:t>
      </w:r>
      <w:r>
        <w:rPr>
          <w:rFonts w:hint="eastAsia" w:ascii="宋体" w:hAnsi="宋体" w:cs="宋体"/>
          <w:color w:val="auto"/>
          <w:sz w:val="24"/>
          <w:szCs w:val="24"/>
          <w:u w:val="single"/>
          <w:lang w:val="en-US" w:eastAsia="zh-CN"/>
        </w:rPr>
        <w:t>710024</w:t>
      </w:r>
      <w:r>
        <w:rPr>
          <w:rFonts w:hint="eastAsia" w:ascii="宋体" w:hAnsi="宋体" w:eastAsia="宋体" w:cs="宋体"/>
          <w:color w:val="auto"/>
          <w:sz w:val="24"/>
          <w:szCs w:val="24"/>
          <w:u w:val="single"/>
        </w:rPr>
        <w:t xml:space="preserve"> </w:t>
      </w:r>
    </w:p>
    <w:p w14:paraId="2EFCD81F">
      <w:pPr>
        <w:pStyle w:val="2"/>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rPr>
          <w:rFonts w:hint="eastAsia"/>
          <w:color w:val="auto"/>
        </w:rPr>
      </w:pPr>
    </w:p>
    <w:p w14:paraId="0788BC93">
      <w:pPr>
        <w:keepNext w:val="0"/>
        <w:keepLines w:val="0"/>
        <w:pageBreakBefore w:val="0"/>
        <w:widowControl w:val="0"/>
        <w:kinsoku/>
        <w:wordWrap/>
        <w:overflowPunct/>
        <w:topLinePunct w:val="0"/>
        <w:autoSpaceDE/>
        <w:autoSpaceDN/>
        <w:bidi w:val="0"/>
        <w:adjustRightInd w:val="0"/>
        <w:snapToGrid w:val="0"/>
        <w:spacing w:line="24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法定代表人或其授权的代理人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法定代表人或其授权的代理人</w:t>
      </w:r>
    </w:p>
    <w:p w14:paraId="3A4FC1B6">
      <w:pPr>
        <w:keepNext w:val="0"/>
        <w:keepLines w:val="0"/>
        <w:pageBreakBefore w:val="0"/>
        <w:widowControl w:val="0"/>
        <w:kinsoku/>
        <w:wordWrap/>
        <w:overflowPunct/>
        <w:topLinePunct w:val="0"/>
        <w:autoSpaceDE/>
        <w:autoSpaceDN/>
        <w:bidi w:val="0"/>
        <w:adjustRightInd w:val="0"/>
        <w:snapToGrid w:val="0"/>
        <w:spacing w:line="240" w:lineRule="exact"/>
        <w:ind w:firstLine="475" w:firstLineChars="198"/>
        <w:textAlignment w:val="auto"/>
        <w:rPr>
          <w:rFonts w:hint="eastAsia" w:ascii="宋体" w:hAnsi="宋体" w:eastAsia="宋体" w:cs="宋体"/>
          <w:color w:val="auto"/>
          <w:sz w:val="24"/>
          <w:szCs w:val="24"/>
        </w:rPr>
      </w:pPr>
    </w:p>
    <w:p w14:paraId="1A357516">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u w:val="none"/>
        </w:rPr>
        <w:t>（签字</w:t>
      </w:r>
      <w:r>
        <w:rPr>
          <w:rFonts w:hint="eastAsia" w:ascii="宋体" w:hAnsi="宋体" w:cs="宋体"/>
          <w:color w:val="auto"/>
          <w:sz w:val="24"/>
          <w:szCs w:val="24"/>
          <w:u w:val="none"/>
          <w:lang w:val="en-US" w:eastAsia="zh-CN"/>
        </w:rPr>
        <w:t>或盖章</w:t>
      </w:r>
      <w:r>
        <w:rPr>
          <w:rFonts w:hint="eastAsia" w:ascii="宋体" w:hAnsi="宋体" w:eastAsia="宋体" w:cs="宋体"/>
          <w:color w:val="auto"/>
          <w:sz w:val="24"/>
          <w:szCs w:val="24"/>
          <w:u w:val="none"/>
        </w:rPr>
        <w:t>）</w:t>
      </w:r>
      <w:r>
        <w:rPr>
          <w:rFonts w:hint="eastAsia" w:ascii="宋体" w:hAnsi="宋体" w:cs="宋体"/>
          <w:color w:val="auto"/>
          <w:sz w:val="24"/>
          <w:szCs w:val="24"/>
          <w:u w:val="none"/>
          <w:lang w:eastAsia="zh-CN"/>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u w:val="none"/>
        </w:rPr>
        <w:t>（签字</w:t>
      </w:r>
      <w:r>
        <w:rPr>
          <w:rFonts w:hint="eastAsia" w:ascii="宋体" w:hAnsi="宋体" w:cs="宋体"/>
          <w:color w:val="auto"/>
          <w:sz w:val="24"/>
          <w:szCs w:val="24"/>
          <w:u w:val="none"/>
          <w:lang w:val="en-US" w:eastAsia="zh-CN"/>
        </w:rPr>
        <w:t>或盖章</w:t>
      </w:r>
      <w:r>
        <w:rPr>
          <w:rFonts w:hint="eastAsia" w:ascii="宋体" w:hAnsi="宋体" w:eastAsia="宋体" w:cs="宋体"/>
          <w:color w:val="auto"/>
          <w:sz w:val="24"/>
          <w:szCs w:val="24"/>
          <w:u w:val="none"/>
        </w:rPr>
        <w:t>）</w:t>
      </w:r>
      <w:r>
        <w:rPr>
          <w:rFonts w:hint="eastAsia" w:ascii="宋体" w:hAnsi="宋体" w:cs="宋体"/>
          <w:color w:val="auto"/>
          <w:sz w:val="24"/>
          <w:szCs w:val="24"/>
          <w:u w:val="none"/>
          <w:lang w:eastAsia="zh-CN"/>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p>
    <w:p w14:paraId="605468CD">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宋体" w:hAnsi="宋体" w:cs="宋体"/>
          <w:color w:val="auto"/>
          <w:sz w:val="24"/>
          <w:szCs w:val="24"/>
          <w:u w:val="single"/>
          <w:lang w:val="en-US" w:eastAsia="zh-CN"/>
        </w:rPr>
      </w:pPr>
    </w:p>
    <w:p w14:paraId="17A041C7">
      <w:pPr>
        <w:keepNext w:val="0"/>
        <w:keepLines w:val="0"/>
        <w:pageBreakBefore w:val="0"/>
        <w:widowControl w:val="0"/>
        <w:kinsoku/>
        <w:wordWrap/>
        <w:overflowPunct/>
        <w:topLinePunct w:val="0"/>
        <w:autoSpaceDE/>
        <w:autoSpaceDN/>
        <w:bidi w:val="0"/>
        <w:spacing w:line="240" w:lineRule="exact"/>
        <w:ind w:firstLine="480" w:firstLineChars="200"/>
        <w:textAlignment w:val="auto"/>
        <w:rPr>
          <w:rFonts w:hint="eastAsia" w:ascii="宋体" w:hAnsi="宋体" w:cs="宋体"/>
          <w:color w:val="auto"/>
          <w:sz w:val="24"/>
          <w:szCs w:val="24"/>
          <w:u w:val="single"/>
          <w:lang w:val="en-US" w:eastAsia="zh-CN"/>
        </w:rPr>
      </w:pPr>
    </w:p>
    <w:p w14:paraId="0C922D43">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cs="宋体"/>
          <w:color w:val="auto"/>
          <w:sz w:val="24"/>
          <w:szCs w:val="24"/>
          <w:u w:val="none"/>
          <w:lang w:val="en-US" w:eastAsia="zh-CN"/>
        </w:rPr>
      </w:pPr>
    </w:p>
    <w:p w14:paraId="4AFBBA8B">
      <w:pPr>
        <w:keepNext w:val="0"/>
        <w:keepLines w:val="0"/>
        <w:pageBreakBefore w:val="0"/>
        <w:widowControl w:val="0"/>
        <w:kinsoku/>
        <w:wordWrap/>
        <w:overflowPunct/>
        <w:topLinePunct w:val="0"/>
        <w:autoSpaceDE/>
        <w:autoSpaceDN/>
        <w:bidi w:val="0"/>
        <w:spacing w:line="240" w:lineRule="exact"/>
        <w:ind w:firstLine="480" w:firstLineChars="200"/>
        <w:textAlignment w:val="auto"/>
        <w:rPr>
          <w:rFonts w:hint="default" w:ascii="宋体" w:hAnsi="宋体" w:cs="宋体"/>
          <w:color w:val="auto"/>
          <w:sz w:val="24"/>
          <w:szCs w:val="24"/>
          <w:u w:val="single"/>
          <w:lang w:val="en-US" w:eastAsia="zh-CN"/>
        </w:rPr>
      </w:pPr>
      <w:r>
        <w:rPr>
          <w:rFonts w:hint="eastAsia" w:ascii="宋体" w:hAnsi="宋体" w:cs="宋体"/>
          <w:color w:val="auto"/>
          <w:sz w:val="24"/>
          <w:szCs w:val="24"/>
          <w:u w:val="none"/>
          <w:lang w:val="en-US" w:eastAsia="zh-CN"/>
        </w:rPr>
        <w:t>签订日期：      年   月   日        签订日期：       年   月   日</w:t>
      </w:r>
    </w:p>
    <w:p w14:paraId="026FD645">
      <w:pPr>
        <w:keepNext w:val="0"/>
        <w:keepLines w:val="0"/>
        <w:pageBreakBefore w:val="0"/>
        <w:widowControl w:val="0"/>
        <w:kinsoku/>
        <w:wordWrap/>
        <w:overflowPunct/>
        <w:topLinePunct w:val="0"/>
        <w:autoSpaceDE/>
        <w:autoSpaceDN/>
        <w:bidi w:val="0"/>
        <w:spacing w:line="240" w:lineRule="exact"/>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E5843"/>
    <w:multiLevelType w:val="multilevel"/>
    <w:tmpl w:val="15FE5843"/>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91F22"/>
    <w:rsid w:val="087639FE"/>
    <w:rsid w:val="118F4D81"/>
    <w:rsid w:val="188C45D6"/>
    <w:rsid w:val="3CE91F22"/>
    <w:rsid w:val="40A85AAC"/>
    <w:rsid w:val="6E1D3571"/>
    <w:rsid w:val="71AB4485"/>
    <w:rsid w:val="7F95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keepLines/>
      <w:spacing w:before="10" w:after="10"/>
      <w:jc w:val="center"/>
      <w:outlineLvl w:val="0"/>
    </w:pPr>
    <w:rPr>
      <w:b/>
      <w:bCs/>
      <w:kern w:val="44"/>
      <w:sz w:val="32"/>
      <w:szCs w:val="44"/>
    </w:rPr>
  </w:style>
  <w:style w:type="paragraph" w:styleId="4">
    <w:name w:val="heading 4"/>
    <w:basedOn w:val="1"/>
    <w:next w:val="1"/>
    <w:unhideWhenUsed/>
    <w:qFormat/>
    <w:uiPriority w:val="0"/>
    <w:pPr>
      <w:keepNext/>
      <w:keepLines/>
      <w:spacing w:before="280" w:beforeLines="0" w:beforeAutospacing="0" w:after="290" w:afterLines="0" w:afterAutospacing="0" w:line="240"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列出段落1"/>
    <w:basedOn w:val="1"/>
    <w:autoRedefine/>
    <w:qFormat/>
    <w:uiPriority w:val="34"/>
    <w:pPr>
      <w:ind w:firstLine="420" w:firstLineChars="200"/>
    </w:pPr>
  </w:style>
  <w:style w:type="paragraph" w:styleId="5">
    <w:name w:val="Body Text"/>
    <w:basedOn w:val="1"/>
    <w:next w:val="1"/>
    <w:qFormat/>
    <w:uiPriority w:val="0"/>
    <w:pPr>
      <w:spacing w:after="120"/>
    </w:pPr>
    <w:rPr>
      <w:rFonts w:ascii="Calibri" w:hAnsi="Calibri"/>
    </w:rPr>
  </w:style>
  <w:style w:type="paragraph" w:styleId="6">
    <w:name w:val="toc 1"/>
    <w:basedOn w:val="1"/>
    <w:next w:val="1"/>
    <w:qFormat/>
    <w:uiPriority w:val="0"/>
    <w:pPr>
      <w:tabs>
        <w:tab w:val="right" w:leader="middleDot" w:pos="8760"/>
      </w:tabs>
      <w:spacing w:line="700" w:lineRule="exact"/>
    </w:pPr>
  </w:style>
  <w:style w:type="character" w:customStyle="1" w:styleId="9">
    <w:name w:val="标题 1 Char"/>
    <w:basedOn w:val="8"/>
    <w:link w:val="3"/>
    <w:autoRedefine/>
    <w:qFormat/>
    <w:uiPriority w:val="0"/>
    <w:rPr>
      <w:b/>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9653</Words>
  <Characters>9973</Characters>
  <Lines>0</Lines>
  <Paragraphs>0</Paragraphs>
  <TotalTime>144</TotalTime>
  <ScaleCrop>false</ScaleCrop>
  <LinksUpToDate>false</LinksUpToDate>
  <CharactersWithSpaces>10406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2025-09-18T07:50:00Z</dcterms:created>
  <dc:creator>LFY</dc:creator>
  <cp:lastModifiedBy>五芒</cp:lastModifiedBy>
  <dcterms:modified xsi:type="dcterms:W3CDTF">2025-12-24T06:42:07Z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9F05E3C850CA48E0B48813134F58739C_13</vt:lpwstr>
  </property>
  <property fmtid="{D5CDD505-2E9C-101B-9397-08002B2CF9AE}" pid="4" name="KSOTemplateDocerSaveRecord">
    <vt:lpwstr>eyJoZGlkIjoiMzBlODkwNjMwMjBhOWUzODc2MWRlMmI1ODZhMzY5NjciLCJ1c2VySWQiOiIxMjA0NTU0MzAwIn0=</vt:lpwstr>
  </property>
</Properties>
</file>