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8876D9C">
      <w:pPr>
        <w:pStyle w:val="4"/>
        <w:pageBreakBefore w:val="0"/>
        <w:kinsoku/>
        <w:wordWrap/>
        <w:overflowPunct/>
        <w:topLinePunct w:val="0"/>
        <w:bidi w:val="0"/>
        <w:snapToGrid w:val="0"/>
        <w:spacing w:line="360" w:lineRule="auto"/>
        <w:rPr>
          <w:rFonts w:ascii="Times New Roman" w:hAnsi="Times New Roman" w:cs="Times New Roman"/>
          <w:sz w:val="30"/>
          <w:szCs w:val="30"/>
          <w:highlight w:val="none"/>
        </w:rPr>
      </w:pPr>
      <w:r>
        <w:rPr>
          <w:rFonts w:ascii="Times New Roman" w:hAnsi="Times New Roman" w:cs="Times New Roman"/>
          <w:highlight w:val="none"/>
        </w:rPr>
        <w:drawing>
          <wp:anchor distT="0" distB="0" distL="114300" distR="114300" simplePos="0" relativeHeight="251659264" behindDoc="0" locked="0" layoutInCell="1" allowOverlap="1">
            <wp:simplePos x="0" y="0"/>
            <wp:positionH relativeFrom="column">
              <wp:posOffset>108585</wp:posOffset>
            </wp:positionH>
            <wp:positionV relativeFrom="paragraph">
              <wp:posOffset>85725</wp:posOffset>
            </wp:positionV>
            <wp:extent cx="732155" cy="732155"/>
            <wp:effectExtent l="0" t="0" r="10795" b="10795"/>
            <wp:wrapNone/>
            <wp:docPr id="3" name="图片 2" descr="新标志—透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descr="新标志—透明"/>
                    <pic:cNvPicPr>
                      <a:picLocks noChangeAspect="1"/>
                    </pic:cNvPicPr>
                  </pic:nvPicPr>
                  <pic:blipFill>
                    <a:blip r:embed="rId7"/>
                    <a:stretch>
                      <a:fillRect/>
                    </a:stretch>
                  </pic:blipFill>
                  <pic:spPr>
                    <a:xfrm>
                      <a:off x="0" y="0"/>
                      <a:ext cx="732155" cy="732155"/>
                    </a:xfrm>
                    <a:prstGeom prst="rect">
                      <a:avLst/>
                    </a:prstGeom>
                    <a:noFill/>
                    <a:ln>
                      <a:noFill/>
                    </a:ln>
                  </pic:spPr>
                </pic:pic>
              </a:graphicData>
            </a:graphic>
          </wp:anchor>
        </w:drawing>
      </w:r>
    </w:p>
    <w:p w14:paraId="415168F7">
      <w:pPr>
        <w:pStyle w:val="4"/>
        <w:pageBreakBefore w:val="0"/>
        <w:kinsoku/>
        <w:wordWrap/>
        <w:overflowPunct/>
        <w:topLinePunct w:val="0"/>
        <w:bidi w:val="0"/>
        <w:snapToGrid w:val="0"/>
        <w:spacing w:line="360" w:lineRule="auto"/>
        <w:rPr>
          <w:rFonts w:ascii="Times New Roman" w:hAnsi="Times New Roman" w:cs="Times New Roman"/>
          <w:sz w:val="30"/>
          <w:szCs w:val="30"/>
          <w:highlight w:val="none"/>
        </w:rPr>
      </w:pPr>
    </w:p>
    <w:p w14:paraId="72A6B8A8">
      <w:pPr>
        <w:pStyle w:val="4"/>
        <w:pageBreakBefore w:val="0"/>
        <w:kinsoku/>
        <w:wordWrap/>
        <w:overflowPunct/>
        <w:topLinePunct w:val="0"/>
        <w:bidi w:val="0"/>
        <w:snapToGrid w:val="0"/>
        <w:spacing w:line="360" w:lineRule="auto"/>
        <w:rPr>
          <w:rFonts w:ascii="Times New Roman" w:hAnsi="Times New Roman" w:cs="Times New Roman"/>
          <w:sz w:val="30"/>
          <w:szCs w:val="30"/>
          <w:highlight w:val="none"/>
        </w:rPr>
      </w:pPr>
    </w:p>
    <w:p w14:paraId="1E358E80">
      <w:pPr>
        <w:pStyle w:val="4"/>
        <w:pageBreakBefore w:val="0"/>
        <w:kinsoku/>
        <w:wordWrap/>
        <w:overflowPunct/>
        <w:topLinePunct w:val="0"/>
        <w:bidi w:val="0"/>
        <w:snapToGrid w:val="0"/>
        <w:spacing w:line="360" w:lineRule="auto"/>
        <w:rPr>
          <w:rFonts w:hint="default" w:ascii="Times New Roman" w:hAnsi="Times New Roman" w:cs="Times New Roman"/>
          <w:sz w:val="30"/>
          <w:szCs w:val="30"/>
          <w:highlight w:val="none"/>
          <w:lang w:val="en-US" w:eastAsia="zh-CN"/>
        </w:rPr>
      </w:pPr>
      <w:r>
        <w:rPr>
          <w:rFonts w:hint="eastAsia" w:ascii="Times New Roman" w:hAnsi="Times New Roman" w:cs="Times New Roman"/>
          <w:sz w:val="30"/>
          <w:szCs w:val="30"/>
          <w:highlight w:val="none"/>
          <w:lang w:val="en-US" w:eastAsia="zh-CN"/>
        </w:rPr>
        <w:t xml:space="preserve">                               合同编号：CDX-DJ2025015</w:t>
      </w:r>
    </w:p>
    <w:p w14:paraId="6B0C168B">
      <w:pPr>
        <w:pStyle w:val="4"/>
        <w:pageBreakBefore w:val="0"/>
        <w:kinsoku/>
        <w:wordWrap/>
        <w:overflowPunct/>
        <w:topLinePunct w:val="0"/>
        <w:bidi w:val="0"/>
        <w:snapToGrid w:val="0"/>
        <w:spacing w:line="360" w:lineRule="auto"/>
        <w:ind w:firstLine="5783" w:firstLineChars="2400"/>
        <w:jc w:val="both"/>
        <w:rPr>
          <w:rFonts w:hint="eastAsia" w:ascii="Times New Roman" w:hAnsi="Times New Roman" w:eastAsia="黑体" w:cs="Times New Roman"/>
          <w:b/>
          <w:sz w:val="24"/>
          <w:szCs w:val="24"/>
          <w:highlight w:val="none"/>
          <w:bdr w:val="single" w:color="auto" w:sz="4" w:space="0"/>
          <w:shd w:val="pct10" w:color="auto" w:fill="FFFFFF"/>
        </w:rPr>
      </w:pPr>
    </w:p>
    <w:p w14:paraId="731725AF">
      <w:pPr>
        <w:pStyle w:val="4"/>
        <w:pageBreakBefore w:val="0"/>
        <w:kinsoku/>
        <w:wordWrap/>
        <w:overflowPunct/>
        <w:topLinePunct w:val="0"/>
        <w:bidi w:val="0"/>
        <w:snapToGrid w:val="0"/>
        <w:spacing w:line="360" w:lineRule="auto"/>
        <w:jc w:val="center"/>
        <w:rPr>
          <w:rFonts w:hint="eastAsia" w:ascii="Times New Roman" w:hAnsi="Times New Roman" w:cs="Times New Roman"/>
          <w:b/>
          <w:bCs/>
          <w:color w:val="auto"/>
          <w:sz w:val="30"/>
          <w:szCs w:val="30"/>
          <w:highlight w:val="none"/>
          <w:lang w:val="en-US" w:eastAsia="zh-CN"/>
        </w:rPr>
      </w:pPr>
    </w:p>
    <w:p w14:paraId="6486F7D5">
      <w:pPr>
        <w:pStyle w:val="4"/>
        <w:pageBreakBefore w:val="0"/>
        <w:kinsoku/>
        <w:wordWrap/>
        <w:overflowPunct/>
        <w:topLinePunct w:val="0"/>
        <w:bidi w:val="0"/>
        <w:snapToGrid w:val="0"/>
        <w:spacing w:line="360" w:lineRule="auto"/>
        <w:jc w:val="center"/>
        <w:rPr>
          <w:rFonts w:hint="eastAsia" w:ascii="Times New Roman" w:hAnsi="Times New Roman" w:cs="Times New Roman"/>
          <w:b/>
          <w:bCs/>
          <w:color w:val="auto"/>
          <w:sz w:val="36"/>
          <w:szCs w:val="36"/>
          <w:highlight w:val="none"/>
          <w:lang w:val="en-US" w:eastAsia="zh-CN"/>
        </w:rPr>
      </w:pPr>
    </w:p>
    <w:p w14:paraId="120418D6">
      <w:pPr>
        <w:pStyle w:val="4"/>
        <w:pageBreakBefore w:val="0"/>
        <w:kinsoku/>
        <w:wordWrap/>
        <w:overflowPunct/>
        <w:topLinePunct w:val="0"/>
        <w:bidi w:val="0"/>
        <w:snapToGrid w:val="0"/>
        <w:spacing w:line="360" w:lineRule="auto"/>
        <w:jc w:val="center"/>
        <w:rPr>
          <w:rFonts w:hint="eastAsia" w:ascii="Times New Roman" w:hAnsi="Times New Roman" w:cs="Times New Roman"/>
          <w:b/>
          <w:bCs/>
          <w:color w:val="auto"/>
          <w:sz w:val="36"/>
          <w:szCs w:val="36"/>
          <w:highlight w:val="none"/>
          <w:lang w:val="en-US" w:eastAsia="zh-CN"/>
        </w:rPr>
      </w:pPr>
    </w:p>
    <w:p w14:paraId="0BA07C95">
      <w:pPr>
        <w:pStyle w:val="4"/>
        <w:pageBreakBefore w:val="0"/>
        <w:kinsoku/>
        <w:wordWrap/>
        <w:overflowPunct/>
        <w:topLinePunct w:val="0"/>
        <w:bidi w:val="0"/>
        <w:snapToGrid w:val="0"/>
        <w:spacing w:line="360" w:lineRule="auto"/>
        <w:jc w:val="center"/>
        <w:rPr>
          <w:rFonts w:hint="eastAsia" w:ascii="Times New Roman" w:hAnsi="Times New Roman" w:cs="Times New Roman"/>
          <w:b/>
          <w:bCs/>
          <w:color w:val="auto"/>
          <w:sz w:val="44"/>
          <w:szCs w:val="44"/>
          <w:highlight w:val="none"/>
          <w:lang w:val="en-US" w:eastAsia="zh-CN"/>
        </w:rPr>
      </w:pPr>
      <w:r>
        <w:rPr>
          <w:rFonts w:hint="eastAsia" w:ascii="Times New Roman" w:hAnsi="Times New Roman" w:cs="Times New Roman"/>
          <w:b/>
          <w:bCs/>
          <w:color w:val="auto"/>
          <w:sz w:val="44"/>
          <w:szCs w:val="44"/>
          <w:highlight w:val="none"/>
          <w:lang w:val="en-US" w:eastAsia="zh-CN"/>
        </w:rPr>
        <w:t>米脂县自然资源和规划局城镇基准地价</w:t>
      </w:r>
    </w:p>
    <w:p w14:paraId="33529C92">
      <w:pPr>
        <w:pStyle w:val="4"/>
        <w:pageBreakBefore w:val="0"/>
        <w:kinsoku/>
        <w:wordWrap/>
        <w:overflowPunct/>
        <w:topLinePunct w:val="0"/>
        <w:bidi w:val="0"/>
        <w:snapToGrid w:val="0"/>
        <w:spacing w:line="360" w:lineRule="auto"/>
        <w:jc w:val="center"/>
        <w:rPr>
          <w:rFonts w:hint="default" w:ascii="Times New Roman" w:hAnsi="Times New Roman" w:cs="Times New Roman"/>
          <w:sz w:val="30"/>
          <w:szCs w:val="30"/>
          <w:highlight w:val="none"/>
          <w:lang w:val="en-US"/>
        </w:rPr>
      </w:pPr>
      <w:r>
        <w:rPr>
          <w:rFonts w:hint="eastAsia" w:ascii="Times New Roman" w:hAnsi="Times New Roman" w:cs="Times New Roman"/>
          <w:b/>
          <w:bCs/>
          <w:color w:val="auto"/>
          <w:sz w:val="44"/>
          <w:szCs w:val="44"/>
          <w:highlight w:val="none"/>
          <w:lang w:val="en-US" w:eastAsia="zh-CN"/>
        </w:rPr>
        <w:t>更新和调整项目合同书</w:t>
      </w:r>
    </w:p>
    <w:p w14:paraId="01DEACC0">
      <w:pPr>
        <w:pStyle w:val="4"/>
        <w:pageBreakBefore w:val="0"/>
        <w:kinsoku/>
        <w:wordWrap/>
        <w:overflowPunct/>
        <w:topLinePunct w:val="0"/>
        <w:bidi w:val="0"/>
        <w:snapToGrid w:val="0"/>
        <w:spacing w:line="360" w:lineRule="auto"/>
        <w:rPr>
          <w:rFonts w:ascii="Times New Roman" w:hAnsi="Times New Roman" w:cs="Times New Roman"/>
          <w:sz w:val="30"/>
          <w:szCs w:val="30"/>
          <w:highlight w:val="none"/>
        </w:rPr>
      </w:pPr>
    </w:p>
    <w:p w14:paraId="0777AF53">
      <w:pPr>
        <w:pStyle w:val="4"/>
        <w:pageBreakBefore w:val="0"/>
        <w:kinsoku/>
        <w:wordWrap/>
        <w:overflowPunct/>
        <w:topLinePunct w:val="0"/>
        <w:bidi w:val="0"/>
        <w:snapToGrid w:val="0"/>
        <w:spacing w:line="360" w:lineRule="auto"/>
        <w:rPr>
          <w:rFonts w:ascii="Times New Roman" w:hAnsi="Times New Roman" w:cs="Times New Roman"/>
          <w:sz w:val="30"/>
          <w:szCs w:val="30"/>
          <w:highlight w:val="none"/>
        </w:rPr>
      </w:pPr>
    </w:p>
    <w:p w14:paraId="69FA2BE0">
      <w:pPr>
        <w:pStyle w:val="4"/>
        <w:pageBreakBefore w:val="0"/>
        <w:kinsoku/>
        <w:wordWrap/>
        <w:overflowPunct/>
        <w:topLinePunct w:val="0"/>
        <w:bidi w:val="0"/>
        <w:snapToGrid w:val="0"/>
        <w:spacing w:line="360" w:lineRule="auto"/>
        <w:rPr>
          <w:rFonts w:ascii="Times New Roman" w:hAnsi="Times New Roman" w:cs="Times New Roman"/>
          <w:sz w:val="30"/>
          <w:szCs w:val="30"/>
          <w:highlight w:val="none"/>
        </w:rPr>
      </w:pPr>
    </w:p>
    <w:p w14:paraId="4876B4B9">
      <w:pPr>
        <w:pStyle w:val="4"/>
        <w:pageBreakBefore w:val="0"/>
        <w:kinsoku/>
        <w:wordWrap/>
        <w:overflowPunct/>
        <w:topLinePunct w:val="0"/>
        <w:bidi w:val="0"/>
        <w:snapToGrid w:val="0"/>
        <w:spacing w:line="360" w:lineRule="auto"/>
        <w:rPr>
          <w:rFonts w:ascii="Times New Roman" w:hAnsi="Times New Roman" w:cs="Times New Roman"/>
          <w:sz w:val="30"/>
          <w:szCs w:val="30"/>
          <w:highlight w:val="none"/>
        </w:rPr>
      </w:pPr>
    </w:p>
    <w:p w14:paraId="4F9BA7B7">
      <w:pPr>
        <w:pStyle w:val="4"/>
        <w:pageBreakBefore w:val="0"/>
        <w:kinsoku/>
        <w:wordWrap/>
        <w:overflowPunct/>
        <w:topLinePunct w:val="0"/>
        <w:bidi w:val="0"/>
        <w:snapToGrid w:val="0"/>
        <w:spacing w:line="360" w:lineRule="auto"/>
        <w:rPr>
          <w:rFonts w:ascii="Times New Roman" w:hAnsi="Times New Roman" w:cs="Times New Roman"/>
          <w:sz w:val="30"/>
          <w:szCs w:val="30"/>
          <w:highlight w:val="none"/>
        </w:rPr>
      </w:pPr>
    </w:p>
    <w:p w14:paraId="527FF708">
      <w:pPr>
        <w:pStyle w:val="4"/>
        <w:pageBreakBefore w:val="0"/>
        <w:kinsoku/>
        <w:wordWrap/>
        <w:overflowPunct/>
        <w:topLinePunct w:val="0"/>
        <w:bidi w:val="0"/>
        <w:snapToGrid w:val="0"/>
        <w:spacing w:line="360" w:lineRule="auto"/>
        <w:rPr>
          <w:rFonts w:ascii="Times New Roman" w:hAnsi="Times New Roman" w:cs="Times New Roman"/>
          <w:sz w:val="30"/>
          <w:szCs w:val="30"/>
          <w:highlight w:val="none"/>
        </w:rPr>
      </w:pPr>
    </w:p>
    <w:p w14:paraId="71A3D4EA">
      <w:pPr>
        <w:pStyle w:val="4"/>
        <w:pageBreakBefore w:val="0"/>
        <w:kinsoku/>
        <w:wordWrap/>
        <w:overflowPunct/>
        <w:topLinePunct w:val="0"/>
        <w:bidi w:val="0"/>
        <w:snapToGrid w:val="0"/>
        <w:spacing w:line="360" w:lineRule="auto"/>
        <w:rPr>
          <w:rFonts w:ascii="Times New Roman" w:hAnsi="Times New Roman" w:cs="Times New Roman"/>
          <w:sz w:val="30"/>
          <w:szCs w:val="30"/>
          <w:highlight w:val="none"/>
        </w:rPr>
      </w:pPr>
    </w:p>
    <w:p w14:paraId="356CED0C">
      <w:pPr>
        <w:pStyle w:val="4"/>
        <w:pageBreakBefore w:val="0"/>
        <w:kinsoku/>
        <w:wordWrap/>
        <w:overflowPunct/>
        <w:topLinePunct w:val="0"/>
        <w:bidi w:val="0"/>
        <w:snapToGrid w:val="0"/>
        <w:spacing w:line="360" w:lineRule="auto"/>
        <w:rPr>
          <w:rFonts w:ascii="Times New Roman" w:hAnsi="Times New Roman" w:cs="Times New Roman"/>
          <w:sz w:val="30"/>
          <w:szCs w:val="30"/>
          <w:highlight w:val="none"/>
        </w:rPr>
      </w:pPr>
    </w:p>
    <w:p w14:paraId="07ED87EF">
      <w:pPr>
        <w:pStyle w:val="4"/>
        <w:pageBreakBefore w:val="0"/>
        <w:kinsoku/>
        <w:wordWrap/>
        <w:overflowPunct/>
        <w:topLinePunct w:val="0"/>
        <w:bidi w:val="0"/>
        <w:snapToGrid w:val="0"/>
        <w:spacing w:line="360" w:lineRule="auto"/>
        <w:rPr>
          <w:rFonts w:ascii="Times New Roman" w:hAnsi="Times New Roman" w:cs="Times New Roman"/>
          <w:sz w:val="30"/>
          <w:szCs w:val="30"/>
          <w:highlight w:val="none"/>
        </w:rPr>
      </w:pPr>
    </w:p>
    <w:p w14:paraId="2D76FEBE">
      <w:pPr>
        <w:pStyle w:val="4"/>
        <w:pageBreakBefore w:val="0"/>
        <w:kinsoku/>
        <w:wordWrap/>
        <w:overflowPunct/>
        <w:topLinePunct w:val="0"/>
        <w:bidi w:val="0"/>
        <w:snapToGrid w:val="0"/>
        <w:spacing w:line="360" w:lineRule="auto"/>
        <w:rPr>
          <w:rFonts w:ascii="Times New Roman" w:hAnsi="Times New Roman" w:cs="Times New Roman"/>
          <w:sz w:val="30"/>
          <w:szCs w:val="30"/>
          <w:highlight w:val="none"/>
        </w:rPr>
      </w:pPr>
    </w:p>
    <w:p w14:paraId="341F762A">
      <w:pPr>
        <w:pStyle w:val="4"/>
        <w:keepNext w:val="0"/>
        <w:keepLines w:val="0"/>
        <w:pageBreakBefore w:val="0"/>
        <w:widowControl w:val="0"/>
        <w:kinsoku/>
        <w:wordWrap/>
        <w:overflowPunct/>
        <w:topLinePunct w:val="0"/>
        <w:autoSpaceDE/>
        <w:autoSpaceDN/>
        <w:bidi w:val="0"/>
        <w:adjustRightInd/>
        <w:snapToGrid w:val="0"/>
        <w:spacing w:line="360" w:lineRule="auto"/>
        <w:ind w:firstLine="1205" w:firstLineChars="400"/>
        <w:textAlignment w:val="auto"/>
        <w:rPr>
          <w:rFonts w:hint="eastAsia" w:ascii="Times New Roman" w:hAnsi="Times New Roman" w:eastAsia="宋体" w:cs="Times New Roman"/>
          <w:b/>
          <w:bCs/>
          <w:sz w:val="30"/>
          <w:szCs w:val="30"/>
          <w:highlight w:val="none"/>
          <w:lang w:val="en-US" w:eastAsia="zh-CN"/>
        </w:rPr>
      </w:pPr>
      <w:r>
        <w:rPr>
          <w:rFonts w:hint="eastAsia" w:ascii="Times New Roman" w:hAnsi="Times New Roman" w:eastAsia="宋体" w:cs="Times New Roman"/>
          <w:b/>
          <w:bCs/>
          <w:sz w:val="30"/>
          <w:szCs w:val="30"/>
          <w:highlight w:val="none"/>
          <w:lang w:val="en-US" w:eastAsia="zh-CN"/>
        </w:rPr>
        <w:t>委托方：米脂县自然资源和规划局</w:t>
      </w:r>
    </w:p>
    <w:p w14:paraId="51F26A15">
      <w:pPr>
        <w:pStyle w:val="4"/>
        <w:keepNext w:val="0"/>
        <w:keepLines w:val="0"/>
        <w:pageBreakBefore w:val="0"/>
        <w:widowControl w:val="0"/>
        <w:kinsoku/>
        <w:wordWrap/>
        <w:overflowPunct/>
        <w:topLinePunct w:val="0"/>
        <w:autoSpaceDE/>
        <w:autoSpaceDN/>
        <w:bidi w:val="0"/>
        <w:adjustRightInd/>
        <w:snapToGrid w:val="0"/>
        <w:spacing w:line="360" w:lineRule="auto"/>
        <w:ind w:firstLine="1205" w:firstLineChars="400"/>
        <w:textAlignment w:val="auto"/>
        <w:rPr>
          <w:rFonts w:hint="default" w:ascii="Times New Roman" w:hAnsi="Times New Roman" w:eastAsia="宋体" w:cs="Times New Roman"/>
          <w:b/>
          <w:bCs/>
          <w:sz w:val="30"/>
          <w:szCs w:val="30"/>
          <w:highlight w:val="none"/>
          <w:lang w:val="en-US" w:eastAsia="zh-CN"/>
        </w:rPr>
      </w:pPr>
      <w:r>
        <w:rPr>
          <w:rFonts w:hint="eastAsia" w:ascii="Times New Roman" w:hAnsi="Times New Roman" w:cs="Times New Roman"/>
          <w:b/>
          <w:bCs/>
          <w:sz w:val="30"/>
          <w:szCs w:val="30"/>
          <w:highlight w:val="none"/>
          <w:lang w:val="en-US" w:eastAsia="zh-CN"/>
        </w:rPr>
        <w:t>服务</w:t>
      </w:r>
      <w:r>
        <w:rPr>
          <w:rFonts w:hint="eastAsia" w:ascii="Times New Roman" w:hAnsi="Times New Roman" w:eastAsia="宋体" w:cs="Times New Roman"/>
          <w:b/>
          <w:bCs/>
          <w:sz w:val="30"/>
          <w:szCs w:val="30"/>
          <w:highlight w:val="none"/>
          <w:lang w:val="en-US" w:eastAsia="zh-CN"/>
        </w:rPr>
        <w:t>方：陕西诚德信房地产资产评估咨询有限公司</w:t>
      </w:r>
    </w:p>
    <w:p w14:paraId="518027FA">
      <w:pPr>
        <w:pStyle w:val="4"/>
        <w:keepNext w:val="0"/>
        <w:keepLines w:val="0"/>
        <w:pageBreakBefore w:val="0"/>
        <w:widowControl w:val="0"/>
        <w:kinsoku/>
        <w:wordWrap/>
        <w:overflowPunct/>
        <w:topLinePunct w:val="0"/>
        <w:autoSpaceDE/>
        <w:autoSpaceDN/>
        <w:bidi w:val="0"/>
        <w:adjustRightInd/>
        <w:snapToGrid w:val="0"/>
        <w:spacing w:before="157" w:beforeLines="50" w:line="360" w:lineRule="auto"/>
        <w:jc w:val="center"/>
        <w:textAlignment w:val="auto"/>
        <w:rPr>
          <w:rFonts w:hint="eastAsia" w:ascii="Times New Roman" w:hAnsi="Times New Roman" w:cs="Times New Roman"/>
          <w:b/>
          <w:bCs/>
          <w:sz w:val="30"/>
          <w:szCs w:val="30"/>
          <w:lang w:eastAsia="zh-CN"/>
        </w:rPr>
      </w:pPr>
      <w:r>
        <w:rPr>
          <w:rFonts w:hint="eastAsia" w:ascii="Times New Roman" w:hAnsi="Times New Roman" w:eastAsia="宋体" w:cs="Times New Roman"/>
          <w:b/>
          <w:bCs/>
          <w:sz w:val="30"/>
          <w:szCs w:val="30"/>
          <w:highlight w:val="none"/>
          <w:lang w:val="en-US" w:eastAsia="zh-CN"/>
        </w:rPr>
        <w:t>二〇二</w:t>
      </w:r>
      <w:r>
        <w:rPr>
          <w:rFonts w:hint="eastAsia" w:ascii="Times New Roman" w:hAnsi="Times New Roman" w:cs="Times New Roman"/>
          <w:b/>
          <w:bCs/>
          <w:sz w:val="30"/>
          <w:szCs w:val="30"/>
          <w:highlight w:val="none"/>
          <w:lang w:val="en-US" w:eastAsia="zh-CN"/>
        </w:rPr>
        <w:t>五</w:t>
      </w:r>
      <w:r>
        <w:rPr>
          <w:rFonts w:hint="eastAsia" w:ascii="Times New Roman" w:hAnsi="Times New Roman" w:eastAsia="宋体" w:cs="Times New Roman"/>
          <w:b/>
          <w:bCs/>
          <w:sz w:val="30"/>
          <w:szCs w:val="30"/>
          <w:highlight w:val="none"/>
        </w:rPr>
        <w:t>年</w:t>
      </w:r>
      <w:r>
        <w:rPr>
          <w:rFonts w:hint="eastAsia" w:ascii="Times New Roman" w:hAnsi="Times New Roman" w:cs="Times New Roman"/>
          <w:b/>
          <w:bCs/>
          <w:sz w:val="30"/>
          <w:szCs w:val="30"/>
          <w:highlight w:val="none"/>
          <w:u w:val="none"/>
          <w:lang w:val="en-US" w:eastAsia="zh-CN"/>
        </w:rPr>
        <w:t xml:space="preserve">    </w:t>
      </w:r>
      <w:r>
        <w:rPr>
          <w:rFonts w:hint="eastAsia" w:ascii="Times New Roman" w:hAnsi="Times New Roman" w:eastAsia="宋体" w:cs="Times New Roman"/>
          <w:b/>
          <w:bCs/>
          <w:sz w:val="30"/>
          <w:szCs w:val="30"/>
          <w:highlight w:val="none"/>
        </w:rPr>
        <w:t>月</w:t>
      </w:r>
    </w:p>
    <w:p w14:paraId="1924C510">
      <w:pPr>
        <w:rPr>
          <w:rFonts w:hint="eastAsia" w:ascii="Times New Roman" w:hAnsi="Times New Roman" w:cs="Times New Roman"/>
          <w:b/>
          <w:bCs/>
          <w:sz w:val="30"/>
          <w:szCs w:val="30"/>
          <w:lang w:eastAsia="zh-CN"/>
        </w:rPr>
      </w:pPr>
      <w:r>
        <w:rPr>
          <w:rFonts w:hint="eastAsia" w:ascii="Times New Roman" w:hAnsi="Times New Roman" w:cs="Times New Roman"/>
          <w:b/>
          <w:bCs/>
          <w:sz w:val="30"/>
          <w:szCs w:val="30"/>
          <w:lang w:eastAsia="zh-CN"/>
        </w:rPr>
        <w:br w:type="page"/>
      </w:r>
    </w:p>
    <w:p w14:paraId="58CC78A6">
      <w:pPr>
        <w:rPr>
          <w:rFonts w:hint="eastAsia" w:ascii="Times New Roman" w:hAnsi="Times New Roman" w:cs="Times New Roman"/>
          <w:b/>
          <w:bCs/>
          <w:sz w:val="30"/>
          <w:szCs w:val="30"/>
          <w:lang w:eastAsia="zh-CN"/>
        </w:rPr>
      </w:pPr>
      <w:r>
        <w:rPr>
          <w:rFonts w:hint="eastAsia" w:ascii="Times New Roman" w:hAnsi="Times New Roman" w:cs="Times New Roman"/>
          <w:b/>
          <w:bCs/>
          <w:sz w:val="30"/>
          <w:szCs w:val="30"/>
          <w:lang w:eastAsia="zh-CN"/>
        </w:rPr>
        <w:br w:type="page"/>
      </w:r>
    </w:p>
    <w:p w14:paraId="7AE4C2D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firstLine="1506" w:firstLineChars="500"/>
        <w:jc w:val="left"/>
        <w:rPr>
          <w:rFonts w:hint="eastAsia" w:ascii="Times New Roman" w:hAnsi="Times New Roman" w:cs="Times New Roman"/>
          <w:b/>
          <w:bCs/>
          <w:sz w:val="30"/>
          <w:szCs w:val="30"/>
          <w:lang w:eastAsia="zh-CN"/>
        </w:rPr>
        <w:sectPr>
          <w:pgSz w:w="11906" w:h="16838"/>
          <w:pgMar w:top="1440" w:right="1701" w:bottom="1440" w:left="1701" w:header="851" w:footer="992" w:gutter="0"/>
          <w:pgNumType w:fmt="numberInDash" w:start="1"/>
          <w:cols w:space="425" w:num="1"/>
          <w:docGrid w:type="lines" w:linePitch="312" w:charSpace="0"/>
        </w:sectPr>
      </w:pPr>
    </w:p>
    <w:p w14:paraId="2B01420E">
      <w:pPr>
        <w:pStyle w:val="4"/>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int="eastAsia"/>
          <w:lang w:val="en-US" w:eastAsia="zh-CN"/>
        </w:rPr>
      </w:pPr>
      <w:r>
        <w:rPr>
          <w:rFonts w:hint="eastAsia" w:ascii="仿宋_GB2312" w:hAnsi="仿宋_GB2312" w:eastAsia="仿宋_GB2312" w:cs="仿宋_GB2312"/>
          <w:b/>
          <w:bCs/>
          <w:color w:val="auto"/>
          <w:sz w:val="36"/>
          <w:szCs w:val="36"/>
          <w:lang w:val="en-US" w:eastAsia="zh-CN"/>
        </w:rPr>
        <w:t>米脂县自然资源和规划局城镇基准地价更新和调整项目合同书</w:t>
      </w:r>
    </w:p>
    <w:p w14:paraId="688C7DE1">
      <w:pPr>
        <w:keepNext w:val="0"/>
        <w:keepLines w:val="0"/>
        <w:pageBreakBefore w:val="0"/>
        <w:wordWrap/>
        <w:overflowPunct/>
        <w:topLinePunct w:val="0"/>
        <w:bidi w:val="0"/>
        <w:spacing w:line="540" w:lineRule="exact"/>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委托方（</w:t>
      </w:r>
      <w:r>
        <w:rPr>
          <w:rFonts w:hint="eastAsia" w:ascii="Times New Roman" w:hAnsi="Times New Roman" w:eastAsia="仿宋_GB2312" w:cs="Times New Roman"/>
          <w:sz w:val="28"/>
          <w:szCs w:val="28"/>
          <w:lang w:val="zh-CN" w:eastAsia="zh-CN"/>
        </w:rPr>
        <w:t>以下简称</w:t>
      </w:r>
      <w:r>
        <w:rPr>
          <w:rFonts w:hint="eastAsia" w:ascii="Times New Roman" w:hAnsi="Times New Roman" w:eastAsia="仿宋_GB2312" w:cs="Times New Roman"/>
          <w:sz w:val="28"/>
          <w:szCs w:val="28"/>
          <w:lang w:val="en-US" w:eastAsia="zh-CN"/>
        </w:rPr>
        <w:t>甲方）：米脂县自然资源和规划局</w:t>
      </w:r>
    </w:p>
    <w:p w14:paraId="7EFFFA04">
      <w:pPr>
        <w:keepNext w:val="0"/>
        <w:keepLines w:val="0"/>
        <w:pageBreakBefore w:val="0"/>
        <w:wordWrap/>
        <w:overflowPunct/>
        <w:topLinePunct w:val="0"/>
        <w:bidi w:val="0"/>
        <w:spacing w:line="540" w:lineRule="exact"/>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服务</w:t>
      </w:r>
      <w:r>
        <w:rPr>
          <w:rFonts w:hint="eastAsia" w:ascii="Times New Roman" w:hAnsi="Times New Roman" w:eastAsia="仿宋_GB2312" w:cs="Times New Roman"/>
          <w:kern w:val="2"/>
          <w:sz w:val="28"/>
          <w:szCs w:val="28"/>
          <w:lang w:val="en-US" w:eastAsia="zh-CN" w:bidi="ar-SA"/>
        </w:rPr>
        <w:t>方（</w:t>
      </w:r>
      <w:r>
        <w:rPr>
          <w:rFonts w:hint="eastAsia" w:ascii="Times New Roman" w:hAnsi="Times New Roman" w:eastAsia="仿宋_GB2312" w:cs="Times New Roman"/>
          <w:kern w:val="2"/>
          <w:sz w:val="28"/>
          <w:szCs w:val="28"/>
          <w:lang w:val="zh-CN" w:eastAsia="zh-CN" w:bidi="ar-SA"/>
        </w:rPr>
        <w:t>以下简称</w:t>
      </w:r>
      <w:r>
        <w:rPr>
          <w:rFonts w:hint="eastAsia" w:ascii="Times New Roman" w:hAnsi="Times New Roman" w:eastAsia="仿宋_GB2312" w:cs="Times New Roman"/>
          <w:kern w:val="2"/>
          <w:sz w:val="28"/>
          <w:szCs w:val="28"/>
          <w:lang w:val="en-US" w:eastAsia="zh-CN" w:bidi="ar-SA"/>
        </w:rPr>
        <w:t>乙方）：陕西</w:t>
      </w:r>
      <w:r>
        <w:rPr>
          <w:rFonts w:hint="eastAsia" w:ascii="Times New Roman" w:hAnsi="Times New Roman" w:eastAsia="仿宋_GB2312" w:cs="Times New Roman"/>
          <w:sz w:val="28"/>
          <w:szCs w:val="28"/>
          <w:lang w:val="en-US" w:eastAsia="zh-CN"/>
        </w:rPr>
        <w:t>诚德信房地产资产评估咨询有限公司</w:t>
      </w:r>
    </w:p>
    <w:p w14:paraId="49104D46">
      <w:pPr>
        <w:keepNext w:val="0"/>
        <w:keepLines w:val="0"/>
        <w:pageBreakBefore w:val="0"/>
        <w:wordWrap/>
        <w:overflowPunct/>
        <w:topLinePunct w:val="0"/>
        <w:bidi w:val="0"/>
        <w:spacing w:line="540" w:lineRule="exact"/>
        <w:ind w:firstLine="560" w:firstLineChars="200"/>
        <w:rPr>
          <w:rFonts w:hint="eastAsia" w:ascii="Times New Roman" w:hAnsi="Times New Roman" w:eastAsia="仿宋_GB2312" w:cs="Times New Roman"/>
          <w:kern w:val="2"/>
          <w:sz w:val="28"/>
          <w:szCs w:val="28"/>
          <w:lang w:val="en-US" w:eastAsia="zh-CN" w:bidi="ar-SA"/>
        </w:rPr>
      </w:pPr>
      <w:r>
        <w:rPr>
          <w:rFonts w:hint="eastAsia" w:ascii="Times New Roman" w:hAnsi="Times New Roman" w:eastAsia="仿宋_GB2312" w:cs="Times New Roman"/>
          <w:kern w:val="2"/>
          <w:sz w:val="28"/>
          <w:szCs w:val="28"/>
          <w:lang w:val="en-US" w:eastAsia="zh-CN" w:bidi="ar-SA"/>
        </w:rPr>
        <w:t>根据《中华人民共和国政府采购法》、《中华人民共和国民法典》及相关法律法规，甲、乙双方就</w:t>
      </w:r>
      <w:r>
        <w:rPr>
          <w:rFonts w:hint="eastAsia" w:eastAsia="仿宋_GB2312" w:cs="Times New Roman"/>
          <w:kern w:val="2"/>
          <w:sz w:val="28"/>
          <w:szCs w:val="28"/>
          <w:lang w:val="en-US" w:eastAsia="zh-CN" w:bidi="ar-SA"/>
        </w:rPr>
        <w:t>米脂县自然资源和规划局城镇基准地价更新和调整项目</w:t>
      </w:r>
      <w:r>
        <w:rPr>
          <w:rFonts w:hint="eastAsia" w:ascii="Times New Roman" w:hAnsi="Times New Roman" w:eastAsia="仿宋_GB2312" w:cs="Times New Roman"/>
          <w:kern w:val="2"/>
          <w:sz w:val="28"/>
          <w:szCs w:val="28"/>
          <w:lang w:val="en-US" w:eastAsia="zh-CN" w:bidi="ar-SA"/>
        </w:rPr>
        <w:t>事宜，经协商一致，达成如下协议：</w:t>
      </w:r>
    </w:p>
    <w:p w14:paraId="22F43563">
      <w:pPr>
        <w:pStyle w:val="4"/>
        <w:keepNext w:val="0"/>
        <w:keepLines w:val="0"/>
        <w:pageBreakBefore w:val="0"/>
        <w:kinsoku/>
        <w:wordWrap/>
        <w:overflowPunct/>
        <w:topLinePunct w:val="0"/>
        <w:bidi w:val="0"/>
        <w:snapToGrid w:val="0"/>
        <w:spacing w:line="540" w:lineRule="exact"/>
        <w:ind w:firstLine="562" w:firstLineChars="200"/>
        <w:jc w:val="both"/>
        <w:rPr>
          <w:rFonts w:hint="default" w:ascii="Times New Roman" w:hAnsi="Times New Roman" w:eastAsia="仿宋_GB2312" w:cs="Times New Roman"/>
          <w:sz w:val="28"/>
          <w:szCs w:val="28"/>
          <w:lang w:val="en-US" w:eastAsia="zh-CN"/>
        </w:rPr>
      </w:pPr>
      <w:r>
        <w:rPr>
          <w:rFonts w:hint="eastAsia" w:ascii="Times New Roman" w:hAnsi="Times New Roman" w:eastAsia="仿宋_GB2312" w:cs="Times New Roman"/>
          <w:b/>
          <w:bCs/>
          <w:sz w:val="28"/>
          <w:szCs w:val="28"/>
          <w:lang w:val="zh-CN" w:eastAsia="zh-CN"/>
        </w:rPr>
        <w:t>一、</w:t>
      </w:r>
      <w:r>
        <w:rPr>
          <w:rFonts w:hint="eastAsia" w:ascii="Times New Roman" w:hAnsi="Times New Roman" w:eastAsia="仿宋_GB2312" w:cs="Times New Roman"/>
          <w:b/>
          <w:bCs/>
          <w:sz w:val="28"/>
          <w:szCs w:val="28"/>
          <w:lang w:val="en-US" w:eastAsia="zh-CN"/>
        </w:rPr>
        <w:t>项目概况</w:t>
      </w:r>
    </w:p>
    <w:p w14:paraId="392203AF">
      <w:pPr>
        <w:pStyle w:val="4"/>
        <w:keepNext w:val="0"/>
        <w:keepLines w:val="0"/>
        <w:pageBreakBefore w:val="0"/>
        <w:kinsoku/>
        <w:wordWrap/>
        <w:overflowPunct/>
        <w:topLinePunct w:val="0"/>
        <w:bidi w:val="0"/>
        <w:snapToGrid w:val="0"/>
        <w:spacing w:line="540" w:lineRule="exact"/>
        <w:ind w:firstLine="560" w:firstLineChars="200"/>
        <w:jc w:val="both"/>
        <w:rPr>
          <w:rFonts w:hint="eastAsia" w:ascii="Times New Roman" w:hAnsi="Times New Roman" w:eastAsia="仿宋_GB2312" w:cs="Times New Roman"/>
          <w:kern w:val="2"/>
          <w:sz w:val="28"/>
          <w:szCs w:val="28"/>
          <w:lang w:val="en-US" w:eastAsia="zh-CN" w:bidi="ar-SA"/>
        </w:rPr>
      </w:pPr>
      <w:r>
        <w:rPr>
          <w:rFonts w:hint="eastAsia" w:ascii="Times New Roman" w:hAnsi="Times New Roman" w:eastAsia="仿宋_GB2312" w:cs="Times New Roman"/>
          <w:sz w:val="28"/>
          <w:szCs w:val="28"/>
          <w:lang w:val="en-US" w:eastAsia="zh-CN"/>
        </w:rPr>
        <w:t>（一）项目名称：</w:t>
      </w:r>
      <w:r>
        <w:rPr>
          <w:rFonts w:hint="eastAsia" w:ascii="Times New Roman" w:hAnsi="Times New Roman" w:eastAsia="仿宋_GB2312" w:cs="Times New Roman"/>
          <w:kern w:val="2"/>
          <w:sz w:val="28"/>
          <w:szCs w:val="28"/>
          <w:lang w:val="en-US" w:eastAsia="zh-CN" w:bidi="ar-SA"/>
        </w:rPr>
        <w:t>米脂县自然资源和规划局城镇基准地价更新和调整项目</w:t>
      </w:r>
    </w:p>
    <w:p w14:paraId="7C1390E4">
      <w:pPr>
        <w:keepNext w:val="0"/>
        <w:keepLines w:val="0"/>
        <w:pageBreakBefore w:val="0"/>
        <w:wordWrap/>
        <w:overflowPunct/>
        <w:topLinePunct w:val="0"/>
        <w:bidi w:val="0"/>
        <w:spacing w:line="540" w:lineRule="exact"/>
        <w:ind w:firstLine="560" w:firstLineChars="200"/>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（二）项目地点：</w:t>
      </w:r>
      <w:r>
        <w:rPr>
          <w:rFonts w:hint="eastAsia" w:eastAsia="仿宋_GB2312" w:cs="Times New Roman"/>
          <w:kern w:val="2"/>
          <w:sz w:val="28"/>
          <w:szCs w:val="28"/>
          <w:lang w:val="en-US" w:eastAsia="zh-CN" w:bidi="ar-SA"/>
        </w:rPr>
        <w:t>米脂县</w:t>
      </w:r>
    </w:p>
    <w:p w14:paraId="64A37B30">
      <w:pPr>
        <w:keepNext w:val="0"/>
        <w:keepLines w:val="0"/>
        <w:pageBreakBefore w:val="0"/>
        <w:wordWrap/>
        <w:overflowPunct/>
        <w:topLinePunct w:val="0"/>
        <w:bidi w:val="0"/>
        <w:spacing w:line="540" w:lineRule="exact"/>
        <w:ind w:firstLine="560" w:firstLineChars="200"/>
        <w:rPr>
          <w:rFonts w:hint="eastAsia"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w:t>
      </w:r>
      <w:r>
        <w:rPr>
          <w:rFonts w:hint="eastAsia" w:eastAsia="仿宋_GB2312" w:cs="Times New Roman"/>
          <w:sz w:val="28"/>
          <w:szCs w:val="28"/>
          <w:lang w:val="en-US" w:eastAsia="zh-CN"/>
        </w:rPr>
        <w:t>三）项目内容</w:t>
      </w:r>
    </w:p>
    <w:p w14:paraId="6B5DBFF7">
      <w:pPr>
        <w:keepNext w:val="0"/>
        <w:keepLines w:val="0"/>
        <w:pageBreakBefore w:val="0"/>
        <w:wordWrap/>
        <w:overflowPunct/>
        <w:topLinePunct w:val="0"/>
        <w:bidi w:val="0"/>
        <w:spacing w:line="540" w:lineRule="exact"/>
        <w:ind w:firstLine="560" w:firstLineChars="200"/>
        <w:rPr>
          <w:rFonts w:hint="eastAsia" w:ascii="Times New Roman" w:hAnsi="Times New Roman" w:eastAsia="仿宋_GB2312" w:cs="Times New Roman"/>
          <w:kern w:val="2"/>
          <w:sz w:val="28"/>
          <w:szCs w:val="28"/>
          <w:highlight w:val="none"/>
          <w:lang w:val="en-US" w:eastAsia="zh-CN" w:bidi="ar-SA"/>
        </w:rPr>
      </w:pPr>
      <w:r>
        <w:rPr>
          <w:rFonts w:hint="eastAsia" w:ascii="Times New Roman" w:hAnsi="Times New Roman" w:eastAsia="仿宋_GB2312" w:cs="Times New Roman"/>
          <w:kern w:val="2"/>
          <w:sz w:val="28"/>
          <w:szCs w:val="28"/>
          <w:highlight w:val="none"/>
          <w:lang w:val="en-US" w:eastAsia="zh-CN" w:bidi="ar-SA"/>
        </w:rPr>
        <w:t>1.根据</w:t>
      </w:r>
      <w:r>
        <w:rPr>
          <w:rFonts w:hint="eastAsia" w:eastAsia="仿宋_GB2312" w:cs="Times New Roman"/>
          <w:kern w:val="2"/>
          <w:sz w:val="28"/>
          <w:szCs w:val="28"/>
          <w:highlight w:val="none"/>
          <w:lang w:val="en-US" w:eastAsia="zh-CN" w:bidi="ar-SA"/>
        </w:rPr>
        <w:t>米脂县</w:t>
      </w:r>
      <w:r>
        <w:rPr>
          <w:rFonts w:hint="eastAsia" w:ascii="Times New Roman" w:hAnsi="Times New Roman" w:eastAsia="仿宋_GB2312" w:cs="Times New Roman"/>
          <w:kern w:val="2"/>
          <w:sz w:val="28"/>
          <w:szCs w:val="28"/>
          <w:highlight w:val="none"/>
          <w:lang w:val="en-US" w:eastAsia="zh-CN" w:bidi="ar-SA"/>
        </w:rPr>
        <w:t>的自然社会经济状况，对原有城镇基准地价成果进行更新；</w:t>
      </w:r>
    </w:p>
    <w:p w14:paraId="34260010">
      <w:pPr>
        <w:keepNext w:val="0"/>
        <w:keepLines w:val="0"/>
        <w:pageBreakBefore w:val="0"/>
        <w:wordWrap/>
        <w:overflowPunct/>
        <w:topLinePunct w:val="0"/>
        <w:bidi w:val="0"/>
        <w:spacing w:line="540" w:lineRule="exact"/>
        <w:ind w:firstLine="560" w:firstLineChars="200"/>
        <w:rPr>
          <w:rFonts w:hint="eastAsia" w:ascii="Times New Roman" w:hAnsi="Times New Roman" w:eastAsia="仿宋_GB2312" w:cs="Times New Roman"/>
          <w:kern w:val="2"/>
          <w:sz w:val="28"/>
          <w:szCs w:val="28"/>
          <w:highlight w:val="none"/>
          <w:lang w:val="en-US" w:eastAsia="zh-CN" w:bidi="ar-SA"/>
        </w:rPr>
      </w:pPr>
      <w:r>
        <w:rPr>
          <w:rFonts w:hint="eastAsia" w:ascii="Times New Roman" w:hAnsi="Times New Roman" w:eastAsia="仿宋_GB2312" w:cs="Times New Roman"/>
          <w:kern w:val="2"/>
          <w:sz w:val="28"/>
          <w:szCs w:val="28"/>
          <w:highlight w:val="none"/>
          <w:lang w:val="en-US" w:eastAsia="zh-CN" w:bidi="ar-SA"/>
        </w:rPr>
        <w:t>2.在土地级别更新</w:t>
      </w:r>
      <w:r>
        <w:rPr>
          <w:rFonts w:hint="eastAsia" w:eastAsia="仿宋_GB2312" w:cs="Times New Roman"/>
          <w:kern w:val="2"/>
          <w:sz w:val="28"/>
          <w:szCs w:val="28"/>
          <w:highlight w:val="none"/>
          <w:lang w:val="en-US" w:eastAsia="zh-CN" w:bidi="ar-SA"/>
        </w:rPr>
        <w:t>的</w:t>
      </w:r>
      <w:r>
        <w:rPr>
          <w:rFonts w:hint="eastAsia" w:ascii="Times New Roman" w:hAnsi="Times New Roman" w:eastAsia="仿宋_GB2312" w:cs="Times New Roman"/>
          <w:kern w:val="2"/>
          <w:sz w:val="28"/>
          <w:szCs w:val="28"/>
          <w:highlight w:val="none"/>
          <w:lang w:val="en-US" w:eastAsia="zh-CN" w:bidi="ar-SA"/>
        </w:rPr>
        <w:t>基础上，对原有</w:t>
      </w:r>
      <w:r>
        <w:rPr>
          <w:rFonts w:hint="eastAsia" w:eastAsia="仿宋_GB2312" w:cs="Times New Roman"/>
          <w:kern w:val="2"/>
          <w:sz w:val="28"/>
          <w:szCs w:val="28"/>
          <w:highlight w:val="none"/>
          <w:lang w:val="en-US" w:eastAsia="zh-CN" w:bidi="ar-SA"/>
        </w:rPr>
        <w:t>商业服务业</w:t>
      </w:r>
      <w:r>
        <w:rPr>
          <w:rFonts w:hint="eastAsia" w:ascii="Times New Roman" w:hAnsi="Times New Roman" w:eastAsia="仿宋_GB2312" w:cs="Times New Roman"/>
          <w:kern w:val="2"/>
          <w:sz w:val="28"/>
          <w:szCs w:val="28"/>
          <w:highlight w:val="none"/>
          <w:lang w:val="en-US" w:eastAsia="zh-CN" w:bidi="ar-SA"/>
        </w:rPr>
        <w:t>、</w:t>
      </w:r>
      <w:r>
        <w:rPr>
          <w:rFonts w:hint="eastAsia" w:eastAsia="仿宋_GB2312" w:cs="Times New Roman"/>
          <w:kern w:val="2"/>
          <w:sz w:val="28"/>
          <w:szCs w:val="28"/>
          <w:highlight w:val="none"/>
          <w:lang w:val="en-US" w:eastAsia="zh-CN" w:bidi="ar-SA"/>
        </w:rPr>
        <w:t>居住</w:t>
      </w:r>
      <w:r>
        <w:rPr>
          <w:rFonts w:hint="eastAsia" w:ascii="Times New Roman" w:hAnsi="Times New Roman" w:eastAsia="仿宋_GB2312" w:cs="Times New Roman"/>
          <w:kern w:val="2"/>
          <w:sz w:val="28"/>
          <w:szCs w:val="28"/>
          <w:highlight w:val="none"/>
          <w:lang w:val="en-US" w:eastAsia="zh-CN" w:bidi="ar-SA"/>
        </w:rPr>
        <w:t>、工矿、公服</w:t>
      </w:r>
      <w:r>
        <w:rPr>
          <w:rFonts w:hint="eastAsia" w:eastAsia="仿宋_GB2312" w:cs="Times New Roman"/>
          <w:kern w:val="2"/>
          <w:sz w:val="28"/>
          <w:szCs w:val="28"/>
          <w:highlight w:val="none"/>
          <w:lang w:val="en-US" w:eastAsia="zh-CN" w:bidi="ar-SA"/>
        </w:rPr>
        <w:t>、仓储用地</w:t>
      </w:r>
      <w:r>
        <w:rPr>
          <w:rFonts w:hint="eastAsia" w:ascii="Times New Roman" w:hAnsi="Times New Roman" w:eastAsia="仿宋_GB2312" w:cs="Times New Roman"/>
          <w:kern w:val="2"/>
          <w:sz w:val="28"/>
          <w:szCs w:val="28"/>
          <w:highlight w:val="none"/>
          <w:lang w:val="en-US" w:eastAsia="zh-CN" w:bidi="ar-SA"/>
        </w:rPr>
        <w:t>的基准地价进行更新调整；</w:t>
      </w:r>
    </w:p>
    <w:p w14:paraId="1B3E5526">
      <w:pPr>
        <w:keepNext w:val="0"/>
        <w:keepLines w:val="0"/>
        <w:pageBreakBefore w:val="0"/>
        <w:wordWrap/>
        <w:overflowPunct/>
        <w:topLinePunct w:val="0"/>
        <w:bidi w:val="0"/>
        <w:spacing w:line="540" w:lineRule="exact"/>
        <w:ind w:firstLine="560" w:firstLineChars="200"/>
        <w:rPr>
          <w:rFonts w:hint="eastAsia" w:ascii="Times New Roman" w:hAnsi="Times New Roman" w:eastAsia="仿宋_GB2312" w:cs="Times New Roman"/>
          <w:kern w:val="2"/>
          <w:sz w:val="28"/>
          <w:szCs w:val="28"/>
          <w:highlight w:val="none"/>
          <w:lang w:val="en-US" w:eastAsia="zh-CN" w:bidi="ar-SA"/>
        </w:rPr>
      </w:pPr>
      <w:r>
        <w:rPr>
          <w:rFonts w:hint="eastAsia" w:ascii="Times New Roman" w:hAnsi="Times New Roman" w:eastAsia="仿宋_GB2312" w:cs="Times New Roman"/>
          <w:kern w:val="2"/>
          <w:sz w:val="28"/>
          <w:szCs w:val="28"/>
          <w:highlight w:val="none"/>
          <w:lang w:val="en-US" w:eastAsia="zh-CN" w:bidi="ar-SA"/>
        </w:rPr>
        <w:t>3.调整</w:t>
      </w:r>
      <w:r>
        <w:rPr>
          <w:rFonts w:hint="eastAsia" w:eastAsia="仿宋_GB2312" w:cs="Times New Roman"/>
          <w:kern w:val="2"/>
          <w:sz w:val="28"/>
          <w:szCs w:val="28"/>
          <w:highlight w:val="none"/>
          <w:lang w:val="en-US" w:eastAsia="zh-CN" w:bidi="ar-SA"/>
        </w:rPr>
        <w:t>商业服务业</w:t>
      </w:r>
      <w:r>
        <w:rPr>
          <w:rFonts w:hint="eastAsia" w:ascii="Times New Roman" w:hAnsi="Times New Roman" w:eastAsia="仿宋_GB2312" w:cs="Times New Roman"/>
          <w:kern w:val="2"/>
          <w:sz w:val="28"/>
          <w:szCs w:val="28"/>
          <w:highlight w:val="none"/>
          <w:lang w:val="en-US" w:eastAsia="zh-CN" w:bidi="ar-SA"/>
        </w:rPr>
        <w:t>、</w:t>
      </w:r>
      <w:r>
        <w:rPr>
          <w:rFonts w:hint="eastAsia" w:eastAsia="仿宋_GB2312" w:cs="Times New Roman"/>
          <w:kern w:val="2"/>
          <w:sz w:val="28"/>
          <w:szCs w:val="28"/>
          <w:highlight w:val="none"/>
          <w:lang w:val="en-US" w:eastAsia="zh-CN" w:bidi="ar-SA"/>
        </w:rPr>
        <w:t>居住</w:t>
      </w:r>
      <w:r>
        <w:rPr>
          <w:rFonts w:hint="eastAsia" w:ascii="Times New Roman" w:hAnsi="Times New Roman" w:eastAsia="仿宋_GB2312" w:cs="Times New Roman"/>
          <w:kern w:val="2"/>
          <w:sz w:val="28"/>
          <w:szCs w:val="28"/>
          <w:highlight w:val="none"/>
          <w:lang w:val="en-US" w:eastAsia="zh-CN" w:bidi="ar-SA"/>
        </w:rPr>
        <w:t>、工矿、公服</w:t>
      </w:r>
      <w:r>
        <w:rPr>
          <w:rFonts w:hint="eastAsia" w:eastAsia="仿宋_GB2312" w:cs="Times New Roman"/>
          <w:kern w:val="2"/>
          <w:sz w:val="28"/>
          <w:szCs w:val="28"/>
          <w:highlight w:val="none"/>
          <w:lang w:val="en-US" w:eastAsia="zh-CN" w:bidi="ar-SA"/>
        </w:rPr>
        <w:t>、仓储用地</w:t>
      </w:r>
      <w:r>
        <w:rPr>
          <w:rFonts w:hint="eastAsia" w:ascii="Times New Roman" w:hAnsi="Times New Roman" w:eastAsia="仿宋_GB2312" w:cs="Times New Roman"/>
          <w:kern w:val="2"/>
          <w:sz w:val="28"/>
          <w:szCs w:val="28"/>
          <w:highlight w:val="none"/>
          <w:lang w:val="en-US" w:eastAsia="zh-CN" w:bidi="ar-SA"/>
        </w:rPr>
        <w:t>的地价修正体系；</w:t>
      </w:r>
    </w:p>
    <w:p w14:paraId="13A1D828">
      <w:pPr>
        <w:keepNext w:val="0"/>
        <w:keepLines w:val="0"/>
        <w:pageBreakBefore w:val="0"/>
        <w:wordWrap/>
        <w:overflowPunct/>
        <w:topLinePunct w:val="0"/>
        <w:bidi w:val="0"/>
        <w:spacing w:line="540" w:lineRule="exact"/>
        <w:ind w:firstLine="560" w:firstLineChars="200"/>
        <w:rPr>
          <w:rFonts w:hint="eastAsia" w:ascii="Times New Roman" w:hAnsi="Times New Roman" w:eastAsia="仿宋_GB2312" w:cs="Times New Roman"/>
          <w:kern w:val="2"/>
          <w:sz w:val="28"/>
          <w:szCs w:val="28"/>
          <w:highlight w:val="none"/>
          <w:lang w:val="en-US" w:eastAsia="zh-CN" w:bidi="ar-SA"/>
        </w:rPr>
      </w:pPr>
      <w:r>
        <w:rPr>
          <w:rFonts w:hint="eastAsia" w:ascii="Times New Roman" w:hAnsi="Times New Roman" w:eastAsia="仿宋_GB2312" w:cs="Times New Roman"/>
          <w:kern w:val="2"/>
          <w:sz w:val="28"/>
          <w:szCs w:val="28"/>
          <w:highlight w:val="none"/>
          <w:lang w:val="en-US" w:eastAsia="zh-CN" w:bidi="ar-SA"/>
        </w:rPr>
        <w:t>4.建立</w:t>
      </w:r>
      <w:r>
        <w:rPr>
          <w:rFonts w:hint="eastAsia" w:eastAsia="仿宋_GB2312" w:cs="Times New Roman"/>
          <w:kern w:val="2"/>
          <w:sz w:val="28"/>
          <w:szCs w:val="28"/>
          <w:highlight w:val="none"/>
          <w:lang w:val="en-US" w:eastAsia="zh-CN" w:bidi="ar-SA"/>
        </w:rPr>
        <w:t>城镇基准地价</w:t>
      </w:r>
      <w:r>
        <w:rPr>
          <w:rFonts w:hint="eastAsia" w:ascii="Times New Roman" w:hAnsi="Times New Roman" w:eastAsia="仿宋_GB2312" w:cs="Times New Roman"/>
          <w:kern w:val="2"/>
          <w:sz w:val="28"/>
          <w:szCs w:val="28"/>
          <w:highlight w:val="none"/>
          <w:lang w:val="en-US" w:eastAsia="zh-CN" w:bidi="ar-SA"/>
        </w:rPr>
        <w:t>数据库</w:t>
      </w:r>
      <w:r>
        <w:rPr>
          <w:rFonts w:hint="eastAsia" w:eastAsia="仿宋_GB2312" w:cs="Times New Roman"/>
          <w:kern w:val="2"/>
          <w:sz w:val="28"/>
          <w:szCs w:val="28"/>
          <w:highlight w:val="none"/>
          <w:lang w:val="en-US" w:eastAsia="zh-CN" w:bidi="ar-SA"/>
        </w:rPr>
        <w:t>、形成图件成果、编制</w:t>
      </w:r>
      <w:r>
        <w:rPr>
          <w:rFonts w:hint="eastAsia" w:ascii="Times New Roman" w:hAnsi="Times New Roman" w:eastAsia="仿宋_GB2312" w:cs="Times New Roman"/>
          <w:kern w:val="2"/>
          <w:sz w:val="28"/>
          <w:szCs w:val="28"/>
          <w:highlight w:val="none"/>
          <w:lang w:val="en-US" w:eastAsia="zh-CN" w:bidi="ar-SA"/>
        </w:rPr>
        <w:t>工作报告和技术报告；</w:t>
      </w:r>
    </w:p>
    <w:p w14:paraId="2CCE9AF0">
      <w:pPr>
        <w:keepNext w:val="0"/>
        <w:keepLines w:val="0"/>
        <w:pageBreakBefore w:val="0"/>
        <w:wordWrap/>
        <w:overflowPunct/>
        <w:topLinePunct w:val="0"/>
        <w:bidi w:val="0"/>
        <w:spacing w:line="540" w:lineRule="exact"/>
        <w:ind w:firstLine="560" w:firstLineChars="200"/>
        <w:rPr>
          <w:rFonts w:hint="eastAsia" w:eastAsia="仿宋_GB2312" w:cs="Times New Roman"/>
          <w:sz w:val="28"/>
          <w:szCs w:val="28"/>
          <w:highlight w:val="yellow"/>
          <w:lang w:val="en-US" w:eastAsia="zh-CN"/>
        </w:rPr>
      </w:pPr>
      <w:r>
        <w:rPr>
          <w:rFonts w:hint="eastAsia" w:ascii="Times New Roman" w:hAnsi="Times New Roman" w:eastAsia="仿宋_GB2312" w:cs="Times New Roman"/>
          <w:kern w:val="2"/>
          <w:sz w:val="28"/>
          <w:szCs w:val="28"/>
          <w:highlight w:val="none"/>
          <w:lang w:val="en-US" w:eastAsia="zh-CN" w:bidi="ar-SA"/>
        </w:rPr>
        <w:t>5.</w:t>
      </w:r>
      <w:r>
        <w:rPr>
          <w:rFonts w:hint="eastAsia" w:eastAsia="仿宋_GB2312" w:cs="Times New Roman"/>
          <w:kern w:val="2"/>
          <w:sz w:val="28"/>
          <w:szCs w:val="28"/>
          <w:highlight w:val="none"/>
          <w:lang w:val="en-US" w:eastAsia="zh-CN" w:bidi="ar-SA"/>
        </w:rPr>
        <w:t>完成城镇基准地价成果备案</w:t>
      </w:r>
      <w:r>
        <w:rPr>
          <w:rFonts w:hint="eastAsia" w:ascii="Times New Roman" w:hAnsi="Times New Roman" w:eastAsia="仿宋_GB2312" w:cs="Times New Roman"/>
          <w:kern w:val="2"/>
          <w:sz w:val="28"/>
          <w:szCs w:val="28"/>
          <w:highlight w:val="none"/>
          <w:lang w:val="en-US" w:eastAsia="zh-CN" w:bidi="ar-SA"/>
        </w:rPr>
        <w:t>。</w:t>
      </w:r>
    </w:p>
    <w:p w14:paraId="6F8A4D6B">
      <w:pPr>
        <w:pStyle w:val="15"/>
        <w:keepNext w:val="0"/>
        <w:keepLines w:val="0"/>
        <w:pageBreakBefore w:val="0"/>
        <w:wordWrap/>
        <w:overflowPunct/>
        <w:topLinePunct w:val="0"/>
        <w:bidi w:val="0"/>
        <w:spacing w:line="540" w:lineRule="exact"/>
        <w:ind w:firstLine="562" w:firstLineChars="200"/>
        <w:rPr>
          <w:rFonts w:hint="eastAsia" w:ascii="Times New Roman" w:hAnsi="Times New Roman" w:eastAsia="仿宋_GB2312" w:cs="Times New Roman"/>
          <w:sz w:val="28"/>
          <w:szCs w:val="28"/>
          <w:highlight w:val="none"/>
          <w:lang w:val="en-US" w:eastAsia="zh-CN"/>
        </w:rPr>
      </w:pPr>
      <w:r>
        <w:rPr>
          <w:rFonts w:hint="eastAsia" w:ascii="Times New Roman" w:hAnsi="Times New Roman" w:eastAsia="仿宋_GB2312" w:cs="Times New Roman"/>
          <w:b/>
          <w:bCs/>
          <w:sz w:val="28"/>
          <w:szCs w:val="28"/>
          <w:lang w:val="en-US" w:eastAsia="zh-CN"/>
        </w:rPr>
        <w:t>二、服务期限</w:t>
      </w:r>
      <w:r>
        <w:rPr>
          <w:rFonts w:hint="eastAsia" w:ascii="Times New Roman" w:hAnsi="Times New Roman" w:eastAsia="仿宋_GB2312" w:cs="Times New Roman"/>
          <w:b/>
          <w:bCs/>
          <w:sz w:val="28"/>
          <w:szCs w:val="28"/>
          <w:highlight w:val="none"/>
          <w:lang w:val="en-US" w:eastAsia="zh-CN"/>
        </w:rPr>
        <w:t>：</w:t>
      </w:r>
      <w:r>
        <w:rPr>
          <w:rFonts w:hint="eastAsia" w:ascii="Times New Roman" w:hAnsi="Times New Roman" w:eastAsia="仿宋_GB2312" w:cs="Times New Roman"/>
          <w:kern w:val="2"/>
          <w:sz w:val="28"/>
          <w:szCs w:val="28"/>
          <w:lang w:val="en-US" w:eastAsia="zh-CN" w:bidi="ar-SA"/>
        </w:rPr>
        <w:t>15日历天</w:t>
      </w:r>
      <w:r>
        <w:rPr>
          <w:rFonts w:hint="eastAsia" w:ascii="仿宋_GB2312" w:hAnsi="仿宋_GB2312" w:eastAsia="仿宋_GB2312" w:cs="仿宋_GB2312"/>
          <w:kern w:val="2"/>
          <w:sz w:val="28"/>
          <w:szCs w:val="28"/>
          <w:lang w:val="en-US" w:eastAsia="zh-CN" w:bidi="ar-SA"/>
        </w:rPr>
        <w:t>（具</w:t>
      </w:r>
      <w:r>
        <w:rPr>
          <w:rFonts w:hint="eastAsia" w:ascii="Times New Roman" w:hAnsi="Times New Roman" w:eastAsia="仿宋_GB2312" w:cs="Times New Roman"/>
          <w:kern w:val="2"/>
          <w:sz w:val="28"/>
          <w:szCs w:val="28"/>
          <w:highlight w:val="none"/>
          <w:lang w:val="en-US" w:eastAsia="zh-CN" w:bidi="ar-SA"/>
        </w:rPr>
        <w:t>体以项目实际情况为准,并符合甲方实际要求</w:t>
      </w:r>
      <w:r>
        <w:rPr>
          <w:rFonts w:hint="eastAsia" w:eastAsia="仿宋_GB2312" w:cs="Times New Roman"/>
          <w:kern w:val="2"/>
          <w:sz w:val="28"/>
          <w:szCs w:val="28"/>
          <w:highlight w:val="none"/>
          <w:lang w:val="en-US" w:eastAsia="zh-CN" w:bidi="ar-SA"/>
        </w:rPr>
        <w:t>）</w:t>
      </w:r>
      <w:r>
        <w:rPr>
          <w:rFonts w:hint="eastAsia" w:ascii="仿宋_GB2312" w:hAnsi="仿宋_GB2312" w:eastAsia="仿宋_GB2312" w:cs="仿宋_GB2312"/>
          <w:kern w:val="2"/>
          <w:sz w:val="28"/>
          <w:szCs w:val="28"/>
          <w:lang w:val="en-US" w:eastAsia="zh-CN" w:bidi="ar-SA"/>
        </w:rPr>
        <w:t>。</w:t>
      </w:r>
    </w:p>
    <w:p w14:paraId="5807E113">
      <w:pPr>
        <w:keepNext w:val="0"/>
        <w:keepLines w:val="0"/>
        <w:pageBreakBefore w:val="0"/>
        <w:wordWrap/>
        <w:overflowPunct/>
        <w:topLinePunct w:val="0"/>
        <w:bidi w:val="0"/>
        <w:spacing w:line="540" w:lineRule="exact"/>
        <w:ind w:firstLine="562" w:firstLineChars="200"/>
        <w:rPr>
          <w:rFonts w:hint="eastAsia" w:ascii="Times New Roman" w:hAnsi="Times New Roman" w:eastAsia="仿宋_GB2312" w:cs="Times New Roman"/>
          <w:b/>
          <w:bCs/>
          <w:sz w:val="28"/>
          <w:szCs w:val="28"/>
          <w:lang w:val="en-US" w:eastAsia="zh-CN"/>
        </w:rPr>
      </w:pPr>
      <w:r>
        <w:rPr>
          <w:rFonts w:hint="eastAsia" w:ascii="Times New Roman" w:hAnsi="Times New Roman" w:eastAsia="仿宋_GB2312" w:cs="Times New Roman"/>
          <w:b/>
          <w:bCs/>
          <w:sz w:val="28"/>
          <w:szCs w:val="28"/>
          <w:lang w:val="en-US" w:eastAsia="zh-CN"/>
        </w:rPr>
        <w:t>三、甲乙双方权利和义务</w:t>
      </w:r>
    </w:p>
    <w:p w14:paraId="7BF61EA7">
      <w:pPr>
        <w:keepNext w:val="0"/>
        <w:keepLines w:val="0"/>
        <w:pageBreakBefore w:val="0"/>
        <w:wordWrap/>
        <w:overflowPunct/>
        <w:topLinePunct w:val="0"/>
        <w:bidi w:val="0"/>
        <w:spacing w:line="540" w:lineRule="exact"/>
        <w:ind w:firstLine="560" w:firstLineChars="200"/>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（一）甲方的权利和义务：</w:t>
      </w:r>
    </w:p>
    <w:p w14:paraId="0F36258D">
      <w:pPr>
        <w:keepNext w:val="0"/>
        <w:keepLines w:val="0"/>
        <w:pageBreakBefore w:val="0"/>
        <w:wordWrap/>
        <w:overflowPunct/>
        <w:topLinePunct w:val="0"/>
        <w:bidi w:val="0"/>
        <w:spacing w:line="540" w:lineRule="exact"/>
        <w:ind w:firstLine="560" w:firstLineChars="200"/>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1.负责</w:t>
      </w:r>
      <w:r>
        <w:rPr>
          <w:rFonts w:hint="eastAsia" w:eastAsia="仿宋_GB2312" w:cs="Times New Roman"/>
          <w:sz w:val="28"/>
          <w:szCs w:val="28"/>
          <w:lang w:val="en-US" w:eastAsia="zh-CN"/>
        </w:rPr>
        <w:t>项目</w:t>
      </w:r>
      <w:r>
        <w:rPr>
          <w:rFonts w:hint="eastAsia" w:ascii="Times New Roman" w:hAnsi="Times New Roman" w:eastAsia="仿宋_GB2312" w:cs="Times New Roman"/>
          <w:sz w:val="28"/>
          <w:szCs w:val="28"/>
          <w:lang w:val="en-US" w:eastAsia="zh-CN"/>
        </w:rPr>
        <w:t>组织与相关部门的协调工作。</w:t>
      </w:r>
    </w:p>
    <w:p w14:paraId="510D4534">
      <w:pPr>
        <w:keepNext w:val="0"/>
        <w:keepLines w:val="0"/>
        <w:pageBreakBefore w:val="0"/>
        <w:wordWrap/>
        <w:overflowPunct/>
        <w:topLinePunct w:val="0"/>
        <w:bidi w:val="0"/>
        <w:spacing w:line="540" w:lineRule="exact"/>
        <w:ind w:firstLine="560" w:firstLineChars="200"/>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2.负责提供真实、准确、完整、合法、有效项目相关资料及项目涉及相关部门资料搜集函调的协调工作。</w:t>
      </w:r>
    </w:p>
    <w:p w14:paraId="333B391D">
      <w:pPr>
        <w:keepNext w:val="0"/>
        <w:keepLines w:val="0"/>
        <w:pageBreakBefore w:val="0"/>
        <w:wordWrap/>
        <w:overflowPunct/>
        <w:topLinePunct w:val="0"/>
        <w:bidi w:val="0"/>
        <w:spacing w:line="540" w:lineRule="exact"/>
        <w:ind w:firstLine="560" w:firstLineChars="200"/>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3.负责项目成果的组织验收工作。</w:t>
      </w:r>
    </w:p>
    <w:p w14:paraId="47513625">
      <w:pPr>
        <w:keepNext w:val="0"/>
        <w:keepLines w:val="0"/>
        <w:pageBreakBefore w:val="0"/>
        <w:wordWrap/>
        <w:overflowPunct/>
        <w:topLinePunct w:val="0"/>
        <w:bidi w:val="0"/>
        <w:spacing w:line="540" w:lineRule="exact"/>
        <w:ind w:firstLine="560" w:firstLineChars="200"/>
        <w:rPr>
          <w:rFonts w:hint="default"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4.负责服务经费支付工作。</w:t>
      </w:r>
    </w:p>
    <w:p w14:paraId="5F4ADF29">
      <w:pPr>
        <w:keepNext w:val="0"/>
        <w:keepLines w:val="0"/>
        <w:pageBreakBefore w:val="0"/>
        <w:wordWrap/>
        <w:overflowPunct/>
        <w:topLinePunct w:val="0"/>
        <w:bidi w:val="0"/>
        <w:spacing w:line="540" w:lineRule="exact"/>
        <w:ind w:firstLine="560" w:firstLineChars="200"/>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（二）乙方的权利和义务</w:t>
      </w:r>
    </w:p>
    <w:p w14:paraId="36153FC5">
      <w:pPr>
        <w:keepNext w:val="0"/>
        <w:keepLines w:val="0"/>
        <w:pageBreakBefore w:val="0"/>
        <w:wordWrap/>
        <w:overflowPunct/>
        <w:topLinePunct w:val="0"/>
        <w:bidi w:val="0"/>
        <w:spacing w:line="540" w:lineRule="exact"/>
        <w:ind w:firstLine="560" w:firstLineChars="200"/>
        <w:rPr>
          <w:rFonts w:hint="eastAsia" w:ascii="Times New Roman" w:hAnsi="Times New Roman" w:eastAsia="仿宋_GB2312" w:cs="Times New Roman"/>
          <w:sz w:val="28"/>
          <w:szCs w:val="28"/>
          <w:highlight w:val="none"/>
          <w:lang w:val="en-US" w:eastAsia="zh-CN"/>
        </w:rPr>
      </w:pPr>
      <w:r>
        <w:rPr>
          <w:rFonts w:hint="eastAsia" w:ascii="Times New Roman" w:hAnsi="Times New Roman" w:eastAsia="仿宋_GB2312" w:cs="Times New Roman"/>
          <w:sz w:val="28"/>
          <w:szCs w:val="28"/>
          <w:highlight w:val="none"/>
          <w:lang w:val="en-US" w:eastAsia="zh-CN"/>
        </w:rPr>
        <w:t>1.负责项目</w:t>
      </w:r>
      <w:r>
        <w:rPr>
          <w:rFonts w:hint="eastAsia" w:eastAsia="仿宋_GB2312" w:cs="Times New Roman"/>
          <w:sz w:val="28"/>
          <w:szCs w:val="28"/>
          <w:highlight w:val="none"/>
          <w:lang w:val="en-US" w:eastAsia="zh-CN"/>
        </w:rPr>
        <w:t>具体</w:t>
      </w:r>
      <w:r>
        <w:rPr>
          <w:rFonts w:hint="eastAsia" w:ascii="Times New Roman" w:hAnsi="Times New Roman" w:eastAsia="仿宋_GB2312" w:cs="Times New Roman"/>
          <w:sz w:val="28"/>
          <w:szCs w:val="28"/>
          <w:highlight w:val="none"/>
          <w:lang w:val="en-US" w:eastAsia="zh-CN"/>
        </w:rPr>
        <w:t>实施工作。</w:t>
      </w:r>
    </w:p>
    <w:p w14:paraId="360F8CF7">
      <w:pPr>
        <w:keepNext w:val="0"/>
        <w:keepLines w:val="0"/>
        <w:pageBreakBefore w:val="0"/>
        <w:wordWrap/>
        <w:overflowPunct/>
        <w:topLinePunct w:val="0"/>
        <w:bidi w:val="0"/>
        <w:spacing w:line="540" w:lineRule="exact"/>
        <w:ind w:firstLine="560" w:firstLineChars="200"/>
        <w:rPr>
          <w:rFonts w:hint="eastAsia" w:ascii="Times New Roman" w:hAnsi="Times New Roman" w:eastAsia="仿宋_GB2312" w:cs="Times New Roman"/>
          <w:sz w:val="28"/>
          <w:szCs w:val="28"/>
          <w:highlight w:val="none"/>
          <w:lang w:val="en-US" w:eastAsia="zh-CN"/>
        </w:rPr>
      </w:pPr>
      <w:r>
        <w:rPr>
          <w:rFonts w:hint="eastAsia" w:ascii="Times New Roman" w:hAnsi="Times New Roman" w:eastAsia="仿宋_GB2312" w:cs="Times New Roman"/>
          <w:sz w:val="28"/>
          <w:szCs w:val="28"/>
          <w:highlight w:val="none"/>
          <w:lang w:val="en-US" w:eastAsia="zh-CN"/>
        </w:rPr>
        <w:t>2.负责</w:t>
      </w:r>
      <w:r>
        <w:rPr>
          <w:rFonts w:hint="eastAsia" w:eastAsia="仿宋_GB2312" w:cs="Times New Roman"/>
          <w:sz w:val="28"/>
          <w:szCs w:val="28"/>
          <w:highlight w:val="none"/>
          <w:lang w:val="en-US" w:eastAsia="zh-CN"/>
        </w:rPr>
        <w:t>相关</w:t>
      </w:r>
      <w:r>
        <w:rPr>
          <w:rFonts w:hint="eastAsia" w:ascii="Times New Roman" w:hAnsi="Times New Roman" w:eastAsia="仿宋_GB2312" w:cs="Times New Roman"/>
          <w:sz w:val="28"/>
          <w:szCs w:val="28"/>
          <w:highlight w:val="none"/>
          <w:lang w:val="en-US" w:eastAsia="zh-CN"/>
        </w:rPr>
        <w:t>资料的</w:t>
      </w:r>
      <w:r>
        <w:rPr>
          <w:rFonts w:hint="eastAsia" w:eastAsia="仿宋_GB2312" w:cs="Times New Roman"/>
          <w:sz w:val="28"/>
          <w:szCs w:val="28"/>
          <w:highlight w:val="none"/>
          <w:lang w:val="en-US" w:eastAsia="zh-CN"/>
        </w:rPr>
        <w:t>收集、查阅</w:t>
      </w:r>
      <w:r>
        <w:rPr>
          <w:rFonts w:hint="eastAsia" w:ascii="Times New Roman" w:hAnsi="Times New Roman" w:eastAsia="仿宋_GB2312" w:cs="Times New Roman"/>
          <w:sz w:val="28"/>
          <w:szCs w:val="28"/>
          <w:highlight w:val="none"/>
          <w:lang w:val="en-US" w:eastAsia="zh-CN"/>
        </w:rPr>
        <w:t>，妥善保管</w:t>
      </w:r>
      <w:r>
        <w:rPr>
          <w:rFonts w:hint="eastAsia" w:eastAsia="仿宋_GB2312" w:cs="Times New Roman"/>
          <w:sz w:val="28"/>
          <w:szCs w:val="28"/>
          <w:highlight w:val="none"/>
          <w:lang w:val="en-US" w:eastAsia="zh-CN"/>
        </w:rPr>
        <w:t>数据，防止数据泄密</w:t>
      </w:r>
      <w:r>
        <w:rPr>
          <w:rFonts w:hint="eastAsia" w:ascii="Times New Roman" w:hAnsi="Times New Roman" w:eastAsia="仿宋_GB2312" w:cs="Times New Roman"/>
          <w:sz w:val="28"/>
          <w:szCs w:val="28"/>
          <w:highlight w:val="none"/>
          <w:lang w:val="en-US" w:eastAsia="zh-CN"/>
        </w:rPr>
        <w:t>等。</w:t>
      </w:r>
    </w:p>
    <w:p w14:paraId="5E457B75">
      <w:pPr>
        <w:keepNext w:val="0"/>
        <w:keepLines w:val="0"/>
        <w:pageBreakBefore w:val="0"/>
        <w:wordWrap/>
        <w:overflowPunct/>
        <w:topLinePunct w:val="0"/>
        <w:bidi w:val="0"/>
        <w:spacing w:line="540" w:lineRule="exact"/>
        <w:ind w:firstLine="560" w:firstLineChars="200"/>
        <w:rPr>
          <w:rFonts w:hint="eastAsia" w:ascii="Times New Roman" w:hAnsi="Times New Roman" w:eastAsia="仿宋_GB2312" w:cs="Times New Roman"/>
          <w:sz w:val="28"/>
          <w:szCs w:val="28"/>
          <w:highlight w:val="none"/>
          <w:lang w:val="en-US" w:eastAsia="zh-CN"/>
        </w:rPr>
      </w:pPr>
      <w:r>
        <w:rPr>
          <w:rFonts w:hint="eastAsia" w:ascii="Times New Roman" w:hAnsi="Times New Roman" w:eastAsia="仿宋_GB2312" w:cs="Times New Roman"/>
          <w:sz w:val="28"/>
          <w:szCs w:val="28"/>
          <w:highlight w:val="none"/>
          <w:lang w:val="en-US" w:eastAsia="zh-CN"/>
        </w:rPr>
        <w:t>3.</w:t>
      </w:r>
      <w:r>
        <w:rPr>
          <w:rFonts w:hint="eastAsia" w:eastAsia="仿宋_GB2312" w:cs="Times New Roman"/>
          <w:sz w:val="28"/>
          <w:szCs w:val="28"/>
          <w:highlight w:val="none"/>
          <w:lang w:val="en-US" w:eastAsia="zh-CN"/>
        </w:rPr>
        <w:t>根据省、市相关文件要求，按期完成</w:t>
      </w:r>
      <w:r>
        <w:rPr>
          <w:rFonts w:hint="eastAsia" w:ascii="Times New Roman" w:hAnsi="Times New Roman" w:eastAsia="仿宋_GB2312" w:cs="Times New Roman"/>
          <w:sz w:val="28"/>
          <w:szCs w:val="28"/>
          <w:highlight w:val="none"/>
          <w:lang w:val="en-US" w:eastAsia="zh-CN"/>
        </w:rPr>
        <w:t>工作</w:t>
      </w:r>
      <w:r>
        <w:rPr>
          <w:rFonts w:hint="eastAsia" w:eastAsia="仿宋_GB2312" w:cs="Times New Roman"/>
          <w:sz w:val="28"/>
          <w:szCs w:val="28"/>
          <w:highlight w:val="none"/>
          <w:lang w:val="en-US" w:eastAsia="zh-CN"/>
        </w:rPr>
        <w:t>任务</w:t>
      </w:r>
      <w:r>
        <w:rPr>
          <w:rFonts w:hint="eastAsia" w:ascii="Times New Roman" w:hAnsi="Times New Roman" w:eastAsia="仿宋_GB2312" w:cs="Times New Roman"/>
          <w:sz w:val="28"/>
          <w:szCs w:val="28"/>
          <w:highlight w:val="none"/>
          <w:lang w:val="en-US" w:eastAsia="zh-CN"/>
        </w:rPr>
        <w:t>。</w:t>
      </w:r>
    </w:p>
    <w:p w14:paraId="71A2751C">
      <w:pPr>
        <w:keepNext w:val="0"/>
        <w:keepLines w:val="0"/>
        <w:pageBreakBefore w:val="0"/>
        <w:wordWrap/>
        <w:overflowPunct/>
        <w:topLinePunct w:val="0"/>
        <w:bidi w:val="0"/>
        <w:spacing w:line="540" w:lineRule="exact"/>
        <w:ind w:firstLine="560" w:firstLineChars="200"/>
        <w:rPr>
          <w:rFonts w:hint="default"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highlight w:val="none"/>
          <w:lang w:val="en-US" w:eastAsia="zh-CN"/>
        </w:rPr>
        <w:t>4.负责项目服务费收</w:t>
      </w:r>
      <w:bookmarkStart w:id="3" w:name="_GoBack"/>
      <w:bookmarkEnd w:id="3"/>
      <w:r>
        <w:rPr>
          <w:rFonts w:hint="eastAsia" w:ascii="Times New Roman" w:hAnsi="Times New Roman" w:eastAsia="仿宋_GB2312" w:cs="Times New Roman"/>
          <w:sz w:val="28"/>
          <w:szCs w:val="28"/>
          <w:highlight w:val="none"/>
          <w:lang w:val="en-US" w:eastAsia="zh-CN"/>
        </w:rPr>
        <w:t>取工作。</w:t>
      </w:r>
    </w:p>
    <w:p w14:paraId="67704D36">
      <w:pPr>
        <w:keepNext w:val="0"/>
        <w:keepLines w:val="0"/>
        <w:pageBreakBefore w:val="0"/>
        <w:wordWrap/>
        <w:overflowPunct/>
        <w:topLinePunct w:val="0"/>
        <w:bidi w:val="0"/>
        <w:spacing w:line="540" w:lineRule="exact"/>
        <w:ind w:firstLine="562" w:firstLineChars="200"/>
        <w:rPr>
          <w:rFonts w:hint="default" w:ascii="Times New Roman" w:hAnsi="Times New Roman" w:eastAsia="仿宋_GB2312" w:cs="Times New Roman"/>
          <w:b/>
          <w:bCs/>
          <w:sz w:val="28"/>
          <w:szCs w:val="28"/>
          <w:lang w:val="en-US" w:eastAsia="zh-CN"/>
        </w:rPr>
      </w:pPr>
      <w:r>
        <w:rPr>
          <w:rFonts w:hint="eastAsia" w:ascii="Times New Roman" w:hAnsi="Times New Roman" w:eastAsia="仿宋_GB2312" w:cs="Times New Roman"/>
          <w:b/>
          <w:bCs/>
          <w:sz w:val="28"/>
          <w:szCs w:val="28"/>
          <w:lang w:val="en-US" w:eastAsia="zh-CN"/>
        </w:rPr>
        <w:t>四</w:t>
      </w:r>
      <w:r>
        <w:rPr>
          <w:rFonts w:hint="eastAsia" w:ascii="Times New Roman" w:hAnsi="Times New Roman" w:eastAsia="仿宋_GB2312" w:cs="Times New Roman"/>
          <w:b/>
          <w:bCs/>
          <w:sz w:val="28"/>
          <w:szCs w:val="28"/>
          <w:lang w:val="zh-CN" w:eastAsia="zh-CN"/>
        </w:rPr>
        <w:t>、合同价款</w:t>
      </w:r>
      <w:r>
        <w:rPr>
          <w:rFonts w:hint="eastAsia" w:ascii="Times New Roman" w:hAnsi="Times New Roman" w:eastAsia="仿宋_GB2312" w:cs="Times New Roman"/>
          <w:b/>
          <w:bCs/>
          <w:sz w:val="28"/>
          <w:szCs w:val="28"/>
          <w:lang w:val="en-US" w:eastAsia="zh-CN"/>
        </w:rPr>
        <w:t>及付款方式</w:t>
      </w:r>
    </w:p>
    <w:p w14:paraId="1919CCB5">
      <w:pPr>
        <w:keepNext w:val="0"/>
        <w:keepLines w:val="0"/>
        <w:pageBreakBefore w:val="0"/>
        <w:wordWrap/>
        <w:overflowPunct/>
        <w:topLinePunct w:val="0"/>
        <w:bidi w:val="0"/>
        <w:spacing w:line="540" w:lineRule="exact"/>
        <w:ind w:firstLine="560" w:firstLineChars="200"/>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（一）合同总价款：人民币</w:t>
      </w:r>
      <w:r>
        <w:rPr>
          <w:rFonts w:hint="eastAsia" w:eastAsia="仿宋_GB2312" w:cs="Times New Roman"/>
          <w:sz w:val="28"/>
          <w:szCs w:val="28"/>
          <w:lang w:val="en-US" w:eastAsia="zh-CN"/>
        </w:rPr>
        <w:t>（大写）</w:t>
      </w:r>
      <w:r>
        <w:rPr>
          <w:rFonts w:hint="eastAsia" w:ascii="Times New Roman" w:hAnsi="Times New Roman" w:eastAsia="仿宋_GB2312" w:cs="Times New Roman"/>
          <w:sz w:val="28"/>
          <w:szCs w:val="28"/>
          <w:lang w:val="en-US" w:eastAsia="zh-CN"/>
        </w:rPr>
        <w:t>贰拾柒万玖仟陆佰元整（¥：279600.00元）。</w:t>
      </w:r>
    </w:p>
    <w:p w14:paraId="70839707">
      <w:pPr>
        <w:keepNext w:val="0"/>
        <w:keepLines w:val="0"/>
        <w:pageBreakBefore w:val="0"/>
        <w:widowControl w:val="0"/>
        <w:kinsoku/>
        <w:wordWrap/>
        <w:overflowPunct/>
        <w:topLinePunct w:val="0"/>
        <w:autoSpaceDE/>
        <w:autoSpaceDN/>
        <w:bidi w:val="0"/>
        <w:adjustRightInd/>
        <w:snapToGrid/>
        <w:spacing w:line="540" w:lineRule="exact"/>
        <w:ind w:firstLine="560" w:firstLineChars="200"/>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（二）结算方式</w:t>
      </w:r>
    </w:p>
    <w:p w14:paraId="5FD4EEC6">
      <w:pPr>
        <w:keepNext w:val="0"/>
        <w:keepLines w:val="0"/>
        <w:pageBreakBefore w:val="0"/>
        <w:widowControl w:val="0"/>
        <w:kinsoku/>
        <w:wordWrap/>
        <w:overflowPunct/>
        <w:topLinePunct w:val="0"/>
        <w:autoSpaceDE/>
        <w:autoSpaceDN/>
        <w:bidi w:val="0"/>
        <w:adjustRightInd/>
        <w:snapToGrid/>
        <w:spacing w:line="540" w:lineRule="exact"/>
        <w:ind w:firstLine="560" w:firstLineChars="200"/>
        <w:textAlignment w:val="auto"/>
        <w:rPr>
          <w:rFonts w:hint="eastAsia" w:ascii="Times New Roman" w:hAnsi="Times New Roman" w:eastAsia="仿宋_GB2312" w:cs="Times New Roman"/>
          <w:color w:val="auto"/>
          <w:sz w:val="28"/>
          <w:szCs w:val="28"/>
          <w:lang w:val="en-US" w:eastAsia="zh-CN"/>
        </w:rPr>
      </w:pPr>
      <w:r>
        <w:rPr>
          <w:rFonts w:hint="eastAsia" w:ascii="仿宋_GB2312" w:hAnsi="宋体" w:eastAsia="仿宋_GB2312" w:cs="宋体"/>
          <w:color w:val="000000"/>
          <w:sz w:val="28"/>
          <w:szCs w:val="28"/>
          <w:lang w:val="en-US" w:eastAsia="zh-CN"/>
        </w:rPr>
        <w:t>项目完成并通过省厅验收后，甲方一次性支付合同总价款；付款前乙方需向甲方提供增值税发票</w:t>
      </w:r>
      <w:r>
        <w:rPr>
          <w:rFonts w:hint="eastAsia" w:ascii="Times New Roman" w:hAnsi="Times New Roman" w:eastAsia="仿宋_GB2312" w:cs="Times New Roman"/>
          <w:color w:val="auto"/>
          <w:sz w:val="28"/>
          <w:szCs w:val="28"/>
          <w:lang w:val="en-US" w:eastAsia="zh-CN"/>
        </w:rPr>
        <w:t>。</w:t>
      </w:r>
    </w:p>
    <w:p w14:paraId="58CBEED8">
      <w:pPr>
        <w:keepNext w:val="0"/>
        <w:keepLines w:val="0"/>
        <w:pageBreakBefore w:val="0"/>
        <w:wordWrap/>
        <w:overflowPunct/>
        <w:topLinePunct w:val="0"/>
        <w:bidi w:val="0"/>
        <w:spacing w:line="540" w:lineRule="exact"/>
        <w:ind w:firstLine="560" w:firstLineChars="200"/>
        <w:rPr>
          <w:rFonts w:hint="eastAsia" w:ascii="Times New Roman" w:hAnsi="Times New Roman" w:eastAsia="仿宋_GB2312" w:cs="Times New Roman"/>
          <w:color w:val="auto"/>
          <w:sz w:val="28"/>
          <w:szCs w:val="28"/>
          <w:lang w:val="en-US" w:eastAsia="zh-CN"/>
        </w:rPr>
      </w:pPr>
      <w:r>
        <w:rPr>
          <w:rFonts w:hint="eastAsia" w:ascii="Times New Roman" w:hAnsi="Times New Roman" w:eastAsia="仿宋_GB2312" w:cs="Times New Roman"/>
          <w:color w:val="auto"/>
          <w:sz w:val="28"/>
          <w:szCs w:val="28"/>
          <w:lang w:val="en-US" w:eastAsia="zh-CN"/>
        </w:rPr>
        <w:t>（三）付款方式：银行转</w:t>
      </w:r>
      <w:r>
        <w:rPr>
          <w:rFonts w:hint="eastAsia" w:eastAsia="仿宋_GB2312" w:cs="Times New Roman"/>
          <w:color w:val="auto"/>
          <w:sz w:val="28"/>
          <w:szCs w:val="28"/>
          <w:lang w:val="en-US" w:eastAsia="zh-CN"/>
        </w:rPr>
        <w:t>账</w:t>
      </w:r>
      <w:r>
        <w:rPr>
          <w:rFonts w:hint="eastAsia" w:ascii="Times New Roman" w:hAnsi="Times New Roman" w:eastAsia="仿宋_GB2312" w:cs="Times New Roman"/>
          <w:color w:val="auto"/>
          <w:sz w:val="28"/>
          <w:szCs w:val="28"/>
          <w:lang w:val="en-US" w:eastAsia="zh-CN"/>
        </w:rPr>
        <w:t>。</w:t>
      </w:r>
    </w:p>
    <w:p w14:paraId="56C8B190">
      <w:pPr>
        <w:keepNext w:val="0"/>
        <w:keepLines w:val="0"/>
        <w:pageBreakBefore w:val="0"/>
        <w:wordWrap/>
        <w:overflowPunct/>
        <w:topLinePunct w:val="0"/>
        <w:bidi w:val="0"/>
        <w:spacing w:line="540" w:lineRule="exact"/>
        <w:ind w:firstLine="560" w:firstLineChars="200"/>
        <w:rPr>
          <w:rFonts w:hint="eastAsia" w:ascii="Times New Roman" w:hAnsi="Times New Roman" w:eastAsia="仿宋_GB2312" w:cs="Times New Roman"/>
          <w:color w:val="auto"/>
          <w:sz w:val="28"/>
          <w:szCs w:val="28"/>
          <w:lang w:val="en-US" w:eastAsia="zh-CN"/>
        </w:rPr>
      </w:pPr>
      <w:r>
        <w:rPr>
          <w:rFonts w:hint="eastAsia" w:eastAsia="仿宋_GB2312" w:cs="Times New Roman"/>
          <w:color w:val="auto"/>
          <w:sz w:val="28"/>
          <w:szCs w:val="28"/>
          <w:lang w:val="en-US" w:eastAsia="zh-CN"/>
        </w:rPr>
        <w:t>1.</w:t>
      </w:r>
      <w:r>
        <w:rPr>
          <w:rFonts w:hint="eastAsia" w:ascii="Times New Roman" w:hAnsi="Times New Roman" w:eastAsia="仿宋_GB2312" w:cs="Times New Roman"/>
          <w:color w:val="auto"/>
          <w:sz w:val="28"/>
          <w:szCs w:val="28"/>
          <w:lang w:val="en-US" w:eastAsia="zh-CN"/>
        </w:rPr>
        <w:t>账户名称：陕西诚德信房地产资产评估咨询有限公司</w:t>
      </w:r>
    </w:p>
    <w:p w14:paraId="467DC223">
      <w:pPr>
        <w:keepNext w:val="0"/>
        <w:keepLines w:val="0"/>
        <w:pageBreakBefore w:val="0"/>
        <w:wordWrap/>
        <w:overflowPunct/>
        <w:topLinePunct w:val="0"/>
        <w:bidi w:val="0"/>
        <w:spacing w:line="540" w:lineRule="exact"/>
        <w:ind w:firstLine="560" w:firstLineChars="200"/>
        <w:rPr>
          <w:rFonts w:hint="eastAsia" w:ascii="Times New Roman" w:hAnsi="Times New Roman" w:eastAsia="仿宋_GB2312" w:cs="Times New Roman"/>
          <w:color w:val="auto"/>
          <w:sz w:val="28"/>
          <w:szCs w:val="28"/>
          <w:lang w:val="en-US" w:eastAsia="zh-CN"/>
        </w:rPr>
      </w:pPr>
      <w:r>
        <w:rPr>
          <w:rFonts w:hint="eastAsia" w:eastAsia="仿宋_GB2312" w:cs="Times New Roman"/>
          <w:color w:val="auto"/>
          <w:sz w:val="28"/>
          <w:szCs w:val="28"/>
          <w:lang w:val="en-US" w:eastAsia="zh-CN"/>
        </w:rPr>
        <w:t>2.</w:t>
      </w:r>
      <w:r>
        <w:rPr>
          <w:rFonts w:hint="eastAsia" w:ascii="Times New Roman" w:hAnsi="Times New Roman" w:eastAsia="仿宋_GB2312" w:cs="Times New Roman"/>
          <w:color w:val="auto"/>
          <w:sz w:val="28"/>
          <w:szCs w:val="28"/>
          <w:lang w:val="en-US" w:eastAsia="zh-CN"/>
        </w:rPr>
        <w:t>开户银行：中国农业银行股份有限公司榆林长城路支行</w:t>
      </w:r>
    </w:p>
    <w:p w14:paraId="104FC29F">
      <w:pPr>
        <w:keepNext w:val="0"/>
        <w:keepLines w:val="0"/>
        <w:pageBreakBefore w:val="0"/>
        <w:wordWrap/>
        <w:overflowPunct/>
        <w:topLinePunct w:val="0"/>
        <w:bidi w:val="0"/>
        <w:spacing w:line="540" w:lineRule="exact"/>
        <w:ind w:firstLine="560" w:firstLineChars="200"/>
        <w:rPr>
          <w:rFonts w:hint="eastAsia" w:ascii="Times New Roman" w:hAnsi="Times New Roman" w:eastAsia="仿宋_GB2312" w:cs="Times New Roman"/>
          <w:color w:val="auto"/>
          <w:sz w:val="28"/>
          <w:szCs w:val="28"/>
          <w:lang w:val="en-US" w:eastAsia="zh-CN"/>
        </w:rPr>
      </w:pPr>
      <w:r>
        <w:rPr>
          <w:rFonts w:hint="eastAsia" w:eastAsia="仿宋_GB2312" w:cs="Times New Roman"/>
          <w:color w:val="auto"/>
          <w:sz w:val="28"/>
          <w:szCs w:val="28"/>
          <w:lang w:val="en-US" w:eastAsia="zh-CN"/>
        </w:rPr>
        <w:t>3.</w:t>
      </w:r>
      <w:r>
        <w:rPr>
          <w:rFonts w:hint="eastAsia" w:ascii="Times New Roman" w:hAnsi="Times New Roman" w:eastAsia="仿宋_GB2312" w:cs="Times New Roman"/>
          <w:color w:val="auto"/>
          <w:sz w:val="28"/>
          <w:szCs w:val="28"/>
          <w:lang w:val="en-US" w:eastAsia="zh-CN"/>
        </w:rPr>
        <w:t>账    号：26006001040026637</w:t>
      </w:r>
    </w:p>
    <w:p w14:paraId="2CA5331F">
      <w:pPr>
        <w:keepNext w:val="0"/>
        <w:keepLines w:val="0"/>
        <w:pageBreakBefore w:val="0"/>
        <w:wordWrap/>
        <w:overflowPunct/>
        <w:topLinePunct w:val="0"/>
        <w:bidi w:val="0"/>
        <w:spacing w:line="540" w:lineRule="exact"/>
        <w:ind w:firstLine="562" w:firstLineChars="200"/>
        <w:rPr>
          <w:rFonts w:hint="eastAsia" w:ascii="Times New Roman" w:hAnsi="Times New Roman" w:eastAsia="仿宋_GB2312" w:cs="Times New Roman"/>
          <w:b/>
          <w:bCs/>
          <w:color w:val="auto"/>
          <w:sz w:val="28"/>
          <w:szCs w:val="28"/>
          <w:lang w:val="en-US" w:eastAsia="zh-CN"/>
        </w:rPr>
      </w:pPr>
      <w:r>
        <w:rPr>
          <w:rFonts w:hint="eastAsia" w:ascii="Times New Roman" w:hAnsi="Times New Roman" w:eastAsia="仿宋_GB2312" w:cs="Times New Roman"/>
          <w:b/>
          <w:bCs/>
          <w:color w:val="auto"/>
          <w:sz w:val="28"/>
          <w:szCs w:val="28"/>
          <w:lang w:val="en-US" w:eastAsia="zh-CN"/>
        </w:rPr>
        <w:t>五</w:t>
      </w:r>
      <w:r>
        <w:rPr>
          <w:rFonts w:hint="eastAsia" w:ascii="Times New Roman" w:hAnsi="Times New Roman" w:eastAsia="仿宋_GB2312" w:cs="Times New Roman"/>
          <w:b/>
          <w:bCs/>
          <w:color w:val="auto"/>
          <w:sz w:val="28"/>
          <w:szCs w:val="28"/>
          <w:lang w:val="zh-CN" w:eastAsia="zh-CN"/>
        </w:rPr>
        <w:t>、</w:t>
      </w:r>
      <w:r>
        <w:rPr>
          <w:rFonts w:hint="eastAsia" w:ascii="Times New Roman" w:hAnsi="Times New Roman" w:eastAsia="仿宋_GB2312" w:cs="Times New Roman"/>
          <w:b/>
          <w:bCs/>
          <w:color w:val="auto"/>
          <w:sz w:val="28"/>
          <w:szCs w:val="28"/>
          <w:lang w:val="en-US" w:eastAsia="zh-CN"/>
        </w:rPr>
        <w:t>违约责任</w:t>
      </w:r>
    </w:p>
    <w:p w14:paraId="37393635">
      <w:pPr>
        <w:keepNext w:val="0"/>
        <w:keepLines w:val="0"/>
        <w:pageBreakBefore w:val="0"/>
        <w:widowControl w:val="0"/>
        <w:kinsoku/>
        <w:wordWrap/>
        <w:overflowPunct/>
        <w:topLinePunct w:val="0"/>
        <w:autoSpaceDE/>
        <w:autoSpaceDN/>
        <w:bidi w:val="0"/>
        <w:adjustRightInd/>
        <w:snapToGrid/>
        <w:spacing w:line="540" w:lineRule="exact"/>
        <w:ind w:firstLine="560" w:firstLineChars="200"/>
        <w:jc w:val="left"/>
        <w:textAlignment w:val="auto"/>
        <w:rPr>
          <w:rFonts w:hint="eastAsia" w:ascii="Times New Roman" w:hAnsi="Times New Roman" w:eastAsia="仿宋_GB2312" w:cs="Times New Roman"/>
          <w:sz w:val="28"/>
          <w:szCs w:val="28"/>
          <w:lang w:val="en-US" w:eastAsia="zh-CN"/>
        </w:rPr>
      </w:pPr>
      <w:r>
        <w:rPr>
          <w:rFonts w:hint="eastAsia" w:eastAsia="仿宋_GB2312" w:cs="Times New Roman"/>
          <w:sz w:val="28"/>
          <w:szCs w:val="28"/>
          <w:lang w:val="en-US" w:eastAsia="zh-CN"/>
        </w:rPr>
        <w:t>（一）</w:t>
      </w:r>
      <w:r>
        <w:rPr>
          <w:rFonts w:hint="eastAsia" w:ascii="Times New Roman" w:hAnsi="Times New Roman" w:eastAsia="仿宋_GB2312" w:cs="Times New Roman"/>
          <w:sz w:val="28"/>
          <w:szCs w:val="28"/>
          <w:lang w:val="en-US" w:eastAsia="zh-CN"/>
        </w:rPr>
        <w:t>按《中华人民共和国民法典》中的相关条款执行</w:t>
      </w:r>
      <w:r>
        <w:rPr>
          <w:rFonts w:hint="eastAsia" w:eastAsia="仿宋_GB2312" w:cs="Times New Roman"/>
          <w:sz w:val="28"/>
          <w:szCs w:val="28"/>
          <w:lang w:val="en-US" w:eastAsia="zh-CN"/>
        </w:rPr>
        <w:t>。</w:t>
      </w:r>
    </w:p>
    <w:p w14:paraId="533C91BE">
      <w:pPr>
        <w:keepNext w:val="0"/>
        <w:keepLines w:val="0"/>
        <w:pageBreakBefore w:val="0"/>
        <w:widowControl w:val="0"/>
        <w:kinsoku/>
        <w:wordWrap/>
        <w:overflowPunct/>
        <w:topLinePunct w:val="0"/>
        <w:autoSpaceDE/>
        <w:autoSpaceDN/>
        <w:bidi w:val="0"/>
        <w:adjustRightInd/>
        <w:snapToGrid/>
        <w:spacing w:line="540" w:lineRule="exact"/>
        <w:ind w:firstLine="560" w:firstLineChars="200"/>
        <w:jc w:val="left"/>
        <w:textAlignment w:val="auto"/>
        <w:rPr>
          <w:rFonts w:hint="eastAsia" w:ascii="Times New Roman" w:hAnsi="Times New Roman" w:eastAsia="仿宋_GB2312" w:cs="Times New Roman"/>
          <w:sz w:val="28"/>
          <w:szCs w:val="28"/>
          <w:lang w:val="en-US" w:eastAsia="zh-CN"/>
        </w:rPr>
      </w:pPr>
      <w:r>
        <w:rPr>
          <w:rFonts w:hint="eastAsia" w:eastAsia="仿宋_GB2312" w:cs="Times New Roman"/>
          <w:sz w:val="28"/>
          <w:szCs w:val="28"/>
          <w:lang w:val="en-US" w:eastAsia="zh-CN"/>
        </w:rPr>
        <w:t>（二）</w:t>
      </w:r>
      <w:r>
        <w:rPr>
          <w:rFonts w:hint="eastAsia" w:ascii="Times New Roman" w:hAnsi="Times New Roman" w:eastAsia="仿宋_GB2312" w:cs="Times New Roman"/>
          <w:sz w:val="28"/>
          <w:szCs w:val="28"/>
          <w:lang w:val="en-US" w:eastAsia="zh-CN"/>
        </w:rPr>
        <w:t>在本合同履行过程中，甲乙双方如有一方违反本合同书，造成对方损失的，另一方有权向对方索赔</w:t>
      </w:r>
      <w:r>
        <w:rPr>
          <w:rFonts w:hint="eastAsia" w:eastAsia="仿宋_GB2312" w:cs="Times New Roman"/>
          <w:sz w:val="28"/>
          <w:szCs w:val="28"/>
          <w:lang w:val="en-US" w:eastAsia="zh-CN"/>
        </w:rPr>
        <w:t>。</w:t>
      </w:r>
    </w:p>
    <w:p w14:paraId="0A804EED">
      <w:pPr>
        <w:keepNext w:val="0"/>
        <w:keepLines w:val="0"/>
        <w:pageBreakBefore w:val="0"/>
        <w:widowControl w:val="0"/>
        <w:kinsoku/>
        <w:wordWrap/>
        <w:overflowPunct/>
        <w:topLinePunct w:val="0"/>
        <w:autoSpaceDE/>
        <w:autoSpaceDN/>
        <w:bidi w:val="0"/>
        <w:adjustRightInd/>
        <w:snapToGrid/>
        <w:spacing w:line="540" w:lineRule="exact"/>
        <w:ind w:firstLine="560" w:firstLineChars="200"/>
        <w:jc w:val="left"/>
        <w:textAlignment w:val="auto"/>
        <w:rPr>
          <w:rFonts w:hint="eastAsia" w:ascii="Times New Roman" w:hAnsi="Times New Roman" w:eastAsia="仿宋_GB2312" w:cs="Times New Roman"/>
          <w:sz w:val="28"/>
          <w:szCs w:val="28"/>
          <w:lang w:val="en-US" w:eastAsia="zh-CN"/>
        </w:rPr>
      </w:pPr>
      <w:r>
        <w:rPr>
          <w:rFonts w:hint="eastAsia" w:eastAsia="仿宋_GB2312" w:cs="Times New Roman"/>
          <w:sz w:val="28"/>
          <w:szCs w:val="28"/>
          <w:lang w:val="en-US" w:eastAsia="zh-CN"/>
        </w:rPr>
        <w:t>（三）</w:t>
      </w:r>
      <w:r>
        <w:rPr>
          <w:rFonts w:hint="eastAsia" w:ascii="Times New Roman" w:hAnsi="Times New Roman" w:eastAsia="仿宋_GB2312" w:cs="Times New Roman"/>
          <w:sz w:val="28"/>
          <w:szCs w:val="28"/>
          <w:lang w:val="en-US" w:eastAsia="zh-CN"/>
        </w:rPr>
        <w:t>签约各方因不可抗力无法履行本合同的，根据不可抗力的影响，部分或者全部免除责任，法律另有规定的除外</w:t>
      </w:r>
      <w:r>
        <w:rPr>
          <w:rFonts w:hint="eastAsia" w:eastAsia="仿宋_GB2312" w:cs="Times New Roman"/>
          <w:sz w:val="28"/>
          <w:szCs w:val="28"/>
          <w:lang w:val="en-US" w:eastAsia="zh-CN"/>
        </w:rPr>
        <w:t>。</w:t>
      </w:r>
    </w:p>
    <w:p w14:paraId="326B0EEF">
      <w:pPr>
        <w:keepNext w:val="0"/>
        <w:keepLines w:val="0"/>
        <w:pageBreakBefore w:val="0"/>
        <w:widowControl w:val="0"/>
        <w:kinsoku/>
        <w:wordWrap/>
        <w:overflowPunct/>
        <w:topLinePunct w:val="0"/>
        <w:autoSpaceDE/>
        <w:autoSpaceDN/>
        <w:bidi w:val="0"/>
        <w:adjustRightInd/>
        <w:snapToGrid/>
        <w:spacing w:line="540" w:lineRule="exact"/>
        <w:ind w:firstLine="560" w:firstLineChars="200"/>
        <w:jc w:val="left"/>
        <w:textAlignment w:val="auto"/>
        <w:rPr>
          <w:rFonts w:hint="eastAsia" w:ascii="Times New Roman" w:hAnsi="Times New Roman" w:eastAsia="仿宋" w:cs="Times New Roman"/>
          <w:color w:val="auto"/>
          <w:sz w:val="28"/>
          <w:szCs w:val="28"/>
        </w:rPr>
      </w:pPr>
      <w:r>
        <w:rPr>
          <w:rFonts w:hint="eastAsia" w:eastAsia="仿宋_GB2312" w:cs="Times New Roman"/>
          <w:sz w:val="28"/>
          <w:szCs w:val="28"/>
          <w:lang w:val="en-US" w:eastAsia="zh-CN"/>
        </w:rPr>
        <w:t>（四）</w:t>
      </w:r>
      <w:r>
        <w:rPr>
          <w:rFonts w:hint="eastAsia" w:ascii="Times New Roman" w:hAnsi="Times New Roman" w:eastAsia="仿宋_GB2312" w:cs="Times New Roman"/>
          <w:sz w:val="28"/>
          <w:szCs w:val="28"/>
          <w:lang w:val="en-US" w:eastAsia="zh-CN"/>
        </w:rPr>
        <w:t>未经甲方同意，乙方不得擅自将本合同转包第三方承担。</w:t>
      </w:r>
    </w:p>
    <w:p w14:paraId="6259D4CE">
      <w:pPr>
        <w:keepNext w:val="0"/>
        <w:keepLines w:val="0"/>
        <w:pageBreakBefore w:val="0"/>
        <w:wordWrap/>
        <w:overflowPunct/>
        <w:topLinePunct w:val="0"/>
        <w:bidi w:val="0"/>
        <w:spacing w:line="540" w:lineRule="exact"/>
        <w:ind w:firstLine="562" w:firstLineChars="200"/>
        <w:rPr>
          <w:rFonts w:hint="eastAsia" w:ascii="Times New Roman" w:hAnsi="Times New Roman" w:eastAsia="仿宋_GB2312" w:cs="Times New Roman"/>
          <w:b/>
          <w:bCs/>
          <w:sz w:val="28"/>
          <w:szCs w:val="28"/>
          <w:lang w:val="en-US" w:eastAsia="zh-CN"/>
        </w:rPr>
      </w:pPr>
      <w:r>
        <w:rPr>
          <w:rFonts w:hint="eastAsia" w:ascii="Times New Roman" w:hAnsi="Times New Roman" w:eastAsia="仿宋_GB2312" w:cs="Times New Roman"/>
          <w:b/>
          <w:bCs/>
          <w:sz w:val="28"/>
          <w:szCs w:val="28"/>
          <w:lang w:val="en-US" w:eastAsia="zh-CN"/>
        </w:rPr>
        <w:t>六、</w:t>
      </w:r>
      <w:bookmarkStart w:id="0" w:name="_Toc7134"/>
      <w:bookmarkStart w:id="1" w:name="_Toc4141"/>
      <w:bookmarkStart w:id="2" w:name="_Toc10611"/>
      <w:r>
        <w:rPr>
          <w:rFonts w:hint="eastAsia" w:ascii="Times New Roman" w:hAnsi="Times New Roman" w:eastAsia="仿宋_GB2312" w:cs="Times New Roman"/>
          <w:b/>
          <w:bCs/>
          <w:sz w:val="28"/>
          <w:szCs w:val="28"/>
          <w:lang w:val="en-US" w:eastAsia="zh-CN"/>
        </w:rPr>
        <w:t>合同效力与变更</w:t>
      </w:r>
    </w:p>
    <w:p w14:paraId="747272F4">
      <w:pPr>
        <w:keepNext w:val="0"/>
        <w:keepLines w:val="0"/>
        <w:pageBreakBefore w:val="0"/>
        <w:widowControl w:val="0"/>
        <w:kinsoku/>
        <w:wordWrap/>
        <w:overflowPunct/>
        <w:topLinePunct w:val="0"/>
        <w:autoSpaceDE/>
        <w:autoSpaceDN/>
        <w:bidi w:val="0"/>
        <w:adjustRightInd/>
        <w:snapToGrid/>
        <w:spacing w:line="540" w:lineRule="exact"/>
        <w:ind w:firstLine="560" w:firstLineChars="200"/>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（一）本合同生效后，除双方另行商定并达成书面协议或本合同另有约定或法律规定的原因外，任何一方不得单方解除本合同</w:t>
      </w:r>
      <w:r>
        <w:rPr>
          <w:rFonts w:hint="eastAsia" w:eastAsia="仿宋_GB2312" w:cs="Times New Roman"/>
          <w:sz w:val="28"/>
          <w:szCs w:val="28"/>
          <w:lang w:val="en-US" w:eastAsia="zh-CN"/>
        </w:rPr>
        <w:t>。</w:t>
      </w:r>
    </w:p>
    <w:p w14:paraId="27A6C666">
      <w:pPr>
        <w:keepNext w:val="0"/>
        <w:keepLines w:val="0"/>
        <w:pageBreakBefore w:val="0"/>
        <w:widowControl w:val="0"/>
        <w:kinsoku/>
        <w:wordWrap/>
        <w:overflowPunct/>
        <w:topLinePunct w:val="0"/>
        <w:autoSpaceDE/>
        <w:autoSpaceDN/>
        <w:bidi w:val="0"/>
        <w:adjustRightInd/>
        <w:snapToGrid/>
        <w:spacing w:line="540" w:lineRule="exact"/>
        <w:ind w:firstLine="560" w:firstLineChars="200"/>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（二）本合同的变更，除双方另有约定外，均需双方共同协商同意并采用书面方式</w:t>
      </w:r>
      <w:r>
        <w:rPr>
          <w:rFonts w:hint="eastAsia" w:eastAsia="仿宋_GB2312" w:cs="Times New Roman"/>
          <w:sz w:val="28"/>
          <w:szCs w:val="28"/>
          <w:lang w:val="en-US" w:eastAsia="zh-CN"/>
        </w:rPr>
        <w:t>。</w:t>
      </w:r>
    </w:p>
    <w:p w14:paraId="09ED1D38">
      <w:pPr>
        <w:keepNext w:val="0"/>
        <w:keepLines w:val="0"/>
        <w:pageBreakBefore w:val="0"/>
        <w:widowControl w:val="0"/>
        <w:kinsoku/>
        <w:wordWrap/>
        <w:overflowPunct/>
        <w:topLinePunct w:val="0"/>
        <w:autoSpaceDE/>
        <w:autoSpaceDN/>
        <w:bidi w:val="0"/>
        <w:adjustRightInd/>
        <w:snapToGrid/>
        <w:spacing w:line="540" w:lineRule="exact"/>
        <w:ind w:firstLine="560" w:firstLineChars="200"/>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（三）本合同未尽事宜，由双方另行协商并达成一致后，可以签订补充协议。补充协议是本合同的有效组成部分，与本合同具有同等法律效力。如补充协议的约定与本合同不一致的，则以补充协议为准</w:t>
      </w:r>
      <w:r>
        <w:rPr>
          <w:rFonts w:hint="eastAsia" w:eastAsia="仿宋_GB2312" w:cs="Times New Roman"/>
          <w:sz w:val="28"/>
          <w:szCs w:val="28"/>
          <w:lang w:val="en-US" w:eastAsia="zh-CN"/>
        </w:rPr>
        <w:t>。</w:t>
      </w:r>
    </w:p>
    <w:p w14:paraId="2554785E">
      <w:pPr>
        <w:keepNext w:val="0"/>
        <w:keepLines w:val="0"/>
        <w:pageBreakBefore w:val="0"/>
        <w:widowControl w:val="0"/>
        <w:kinsoku/>
        <w:wordWrap/>
        <w:overflowPunct/>
        <w:topLinePunct w:val="0"/>
        <w:autoSpaceDE/>
        <w:autoSpaceDN/>
        <w:bidi w:val="0"/>
        <w:adjustRightInd/>
        <w:snapToGrid/>
        <w:spacing w:line="540" w:lineRule="exact"/>
        <w:ind w:firstLine="560" w:firstLineChars="200"/>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四）若由于国家政策的调整或其他当事人在订立合同时无法预见、非不可抗力所造成的不属于商业风险的重大变化，而导致合同不能继续履行或者不能实现合同目的，双方应协商变更或解除合同，但乙方已实际完成的服务事项，甲方应当支付相应的服务费。</w:t>
      </w:r>
    </w:p>
    <w:p w14:paraId="6653BBA0">
      <w:pPr>
        <w:keepNext w:val="0"/>
        <w:keepLines w:val="0"/>
        <w:pageBreakBefore w:val="0"/>
        <w:widowControl w:val="0"/>
        <w:kinsoku/>
        <w:wordWrap/>
        <w:overflowPunct/>
        <w:topLinePunct w:val="0"/>
        <w:autoSpaceDE/>
        <w:autoSpaceDN/>
        <w:bidi w:val="0"/>
        <w:adjustRightInd/>
        <w:snapToGrid/>
        <w:spacing w:line="540" w:lineRule="exact"/>
        <w:ind w:firstLine="560" w:firstLineChars="200"/>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（五）双方因合同主体基本信息变更（如机构名称、法人、账户等），应及时通知对方，继续履行本合同。</w:t>
      </w:r>
    </w:p>
    <w:p w14:paraId="4DCFF445">
      <w:pPr>
        <w:keepNext w:val="0"/>
        <w:keepLines w:val="0"/>
        <w:pageBreakBefore w:val="0"/>
        <w:widowControl w:val="0"/>
        <w:kinsoku/>
        <w:wordWrap/>
        <w:overflowPunct/>
        <w:topLinePunct w:val="0"/>
        <w:autoSpaceDE/>
        <w:autoSpaceDN/>
        <w:bidi w:val="0"/>
        <w:adjustRightInd/>
        <w:snapToGrid/>
        <w:spacing w:line="540" w:lineRule="exact"/>
        <w:ind w:firstLine="560" w:firstLineChars="200"/>
        <w:jc w:val="left"/>
        <w:textAlignment w:val="auto"/>
        <w:rPr>
          <w:rFonts w:hint="eastAsia" w:ascii="Times New Roman" w:hAnsi="Times New Roman" w:eastAsia="仿宋_GB2312" w:cs="Times New Roman"/>
          <w:sz w:val="28"/>
          <w:szCs w:val="28"/>
        </w:rPr>
      </w:pPr>
      <w:r>
        <w:rPr>
          <w:rFonts w:hint="eastAsia" w:ascii="Times New Roman" w:hAnsi="Times New Roman" w:eastAsia="仿宋_GB2312" w:cs="Times New Roman"/>
          <w:sz w:val="28"/>
          <w:szCs w:val="28"/>
          <w:lang w:eastAsia="zh-CN"/>
        </w:rPr>
        <w:t>（</w:t>
      </w:r>
      <w:r>
        <w:rPr>
          <w:rFonts w:hint="eastAsia" w:ascii="Times New Roman" w:hAnsi="Times New Roman" w:eastAsia="仿宋_GB2312" w:cs="Times New Roman"/>
          <w:sz w:val="28"/>
          <w:szCs w:val="28"/>
          <w:lang w:val="en-US" w:eastAsia="zh-CN"/>
        </w:rPr>
        <w:t>六</w:t>
      </w:r>
      <w:r>
        <w:rPr>
          <w:rFonts w:hint="eastAsia" w:ascii="Times New Roman" w:hAnsi="Times New Roman" w:eastAsia="仿宋_GB2312" w:cs="Times New Roman"/>
          <w:sz w:val="28"/>
          <w:szCs w:val="28"/>
          <w:lang w:eastAsia="zh-CN"/>
        </w:rPr>
        <w:t>）</w:t>
      </w:r>
      <w:r>
        <w:rPr>
          <w:rFonts w:hint="eastAsia" w:ascii="Times New Roman" w:hAnsi="Times New Roman" w:eastAsia="仿宋_GB2312" w:cs="Times New Roman"/>
          <w:sz w:val="28"/>
          <w:szCs w:val="28"/>
        </w:rPr>
        <w:t>合同履行过程中，</w:t>
      </w:r>
      <w:r>
        <w:rPr>
          <w:rFonts w:hint="eastAsia" w:ascii="Times New Roman" w:hAnsi="Times New Roman" w:eastAsia="仿宋_GB2312" w:cs="Times New Roman"/>
          <w:sz w:val="28"/>
          <w:szCs w:val="28"/>
          <w:lang w:val="en-US" w:eastAsia="zh-CN"/>
        </w:rPr>
        <w:t>因甲方未能按时按期提供相关资料等原因致使该项目工作期限延长的，乙方完成工作任务期限顺延。因</w:t>
      </w:r>
      <w:r>
        <w:rPr>
          <w:rFonts w:hint="eastAsia" w:ascii="Times New Roman" w:hAnsi="Times New Roman" w:eastAsia="仿宋_GB2312" w:cs="Times New Roman"/>
          <w:sz w:val="28"/>
          <w:szCs w:val="28"/>
        </w:rPr>
        <w:t>乙方遇到不能按时提供服务的情况，应及时以书面形式将不能按时提供服务的理由、预期延误时间通知甲方；甲方收到乙方通知后，认为其理由正当的，可以书面形式酌情同意乙方可以延长履行的具体时间。</w:t>
      </w:r>
    </w:p>
    <w:p w14:paraId="43CF0289">
      <w:pPr>
        <w:keepNext w:val="0"/>
        <w:keepLines w:val="0"/>
        <w:pageBreakBefore w:val="0"/>
        <w:widowControl/>
        <w:kinsoku w:val="0"/>
        <w:wordWrap/>
        <w:overflowPunct/>
        <w:topLinePunct w:val="0"/>
        <w:autoSpaceDE w:val="0"/>
        <w:autoSpaceDN w:val="0"/>
        <w:bidi w:val="0"/>
        <w:adjustRightInd w:val="0"/>
        <w:snapToGrid w:val="0"/>
        <w:spacing w:line="540" w:lineRule="exact"/>
        <w:ind w:firstLine="562" w:firstLineChars="200"/>
        <w:jc w:val="left"/>
        <w:textAlignment w:val="baseline"/>
        <w:rPr>
          <w:rFonts w:hint="eastAsia" w:ascii="Times New Roman" w:hAnsi="Times New Roman" w:eastAsia="仿宋_GB2312" w:cs="Times New Roman"/>
          <w:b/>
          <w:bCs/>
          <w:sz w:val="28"/>
          <w:szCs w:val="28"/>
        </w:rPr>
      </w:pPr>
      <w:r>
        <w:rPr>
          <w:rFonts w:hint="eastAsia" w:ascii="Times New Roman" w:hAnsi="Times New Roman" w:eastAsia="仿宋_GB2312" w:cs="Times New Roman"/>
          <w:b/>
          <w:bCs/>
          <w:sz w:val="28"/>
          <w:szCs w:val="28"/>
          <w:lang w:val="en-US" w:eastAsia="zh-CN"/>
        </w:rPr>
        <w:t>七、</w:t>
      </w:r>
      <w:r>
        <w:rPr>
          <w:rFonts w:hint="eastAsia" w:ascii="Times New Roman" w:hAnsi="Times New Roman" w:eastAsia="仿宋_GB2312" w:cs="Times New Roman"/>
          <w:b/>
          <w:bCs/>
          <w:sz w:val="28"/>
          <w:szCs w:val="28"/>
        </w:rPr>
        <w:t>保密条款</w:t>
      </w:r>
    </w:p>
    <w:p w14:paraId="6E2A83A4">
      <w:pPr>
        <w:keepNext w:val="0"/>
        <w:keepLines w:val="0"/>
        <w:pageBreakBefore w:val="0"/>
        <w:widowControl/>
        <w:kinsoku w:val="0"/>
        <w:wordWrap/>
        <w:overflowPunct/>
        <w:topLinePunct w:val="0"/>
        <w:autoSpaceDE w:val="0"/>
        <w:autoSpaceDN w:val="0"/>
        <w:bidi w:val="0"/>
        <w:adjustRightInd w:val="0"/>
        <w:snapToGrid w:val="0"/>
        <w:spacing w:line="540" w:lineRule="exact"/>
        <w:ind w:firstLine="560" w:firstLineChars="200"/>
        <w:textAlignment w:val="baseline"/>
        <w:rPr>
          <w:rFonts w:hint="eastAsia" w:ascii="Times New Roman" w:hAnsi="Times New Roman" w:eastAsia="仿宋_GB2312" w:cs="Times New Roman"/>
          <w:sz w:val="28"/>
          <w:szCs w:val="28"/>
          <w:highlight w:val="none"/>
          <w:lang w:val="en-US" w:eastAsia="zh-CN"/>
        </w:rPr>
      </w:pPr>
      <w:r>
        <w:rPr>
          <w:rFonts w:hint="eastAsia" w:ascii="Times New Roman" w:hAnsi="Times New Roman" w:eastAsia="仿宋_GB2312" w:cs="Times New Roman"/>
          <w:sz w:val="28"/>
          <w:szCs w:val="28"/>
          <w:highlight w:val="none"/>
          <w:lang w:val="en-US" w:eastAsia="zh-CN"/>
        </w:rPr>
        <w:t>（一）乙方应遵守国家有关保密的法律法规和行业规定，并对甲方提供的资料负有保密义务。未经甲方同意，不得将承接政府服务项目获得的政府、公民个人等各种信息和资料提供给其他单位和个人。如发生以上情况，甲方有权索赔</w:t>
      </w:r>
      <w:r>
        <w:rPr>
          <w:rFonts w:hint="eastAsia" w:eastAsia="仿宋_GB2312" w:cs="Times New Roman"/>
          <w:sz w:val="28"/>
          <w:szCs w:val="28"/>
          <w:highlight w:val="none"/>
          <w:lang w:val="en-US" w:eastAsia="zh-CN"/>
        </w:rPr>
        <w:t>。</w:t>
      </w:r>
    </w:p>
    <w:p w14:paraId="3D0371D2">
      <w:pPr>
        <w:keepNext w:val="0"/>
        <w:keepLines w:val="0"/>
        <w:pageBreakBefore w:val="0"/>
        <w:widowControl/>
        <w:kinsoku w:val="0"/>
        <w:wordWrap/>
        <w:overflowPunct/>
        <w:topLinePunct w:val="0"/>
        <w:autoSpaceDE w:val="0"/>
        <w:autoSpaceDN w:val="0"/>
        <w:bidi w:val="0"/>
        <w:adjustRightInd w:val="0"/>
        <w:snapToGrid w:val="0"/>
        <w:spacing w:line="540" w:lineRule="exact"/>
        <w:ind w:firstLine="560" w:firstLineChars="200"/>
        <w:textAlignment w:val="baseline"/>
        <w:rPr>
          <w:rFonts w:hint="eastAsia" w:ascii="Times New Roman" w:hAnsi="Times New Roman" w:eastAsia="仿宋_GB2312" w:cs="Times New Roman"/>
          <w:sz w:val="28"/>
          <w:szCs w:val="28"/>
          <w:highlight w:val="none"/>
          <w:lang w:val="en-US" w:eastAsia="zh-CN"/>
        </w:rPr>
      </w:pPr>
      <w:r>
        <w:rPr>
          <w:rFonts w:hint="eastAsia" w:ascii="Times New Roman" w:hAnsi="Times New Roman" w:eastAsia="仿宋_GB2312" w:cs="Times New Roman"/>
          <w:sz w:val="28"/>
          <w:szCs w:val="28"/>
          <w:highlight w:val="none"/>
          <w:lang w:val="en-US" w:eastAsia="zh-CN"/>
        </w:rPr>
        <w:t>（二）甲方有义务保护乙方的知识产权，未经乙方同意，不得将乙方交付的具有知识产权性质的成果文件、资料交付第三方或用于本合同以外的项目。如发生以上情况，乙方有权索赔，但甲方依据相关法定职责对外公开的除外。</w:t>
      </w:r>
    </w:p>
    <w:p w14:paraId="3D18BB06">
      <w:pPr>
        <w:keepNext w:val="0"/>
        <w:keepLines w:val="0"/>
        <w:pageBreakBefore w:val="0"/>
        <w:wordWrap/>
        <w:overflowPunct/>
        <w:topLinePunct w:val="0"/>
        <w:bidi w:val="0"/>
        <w:spacing w:line="540" w:lineRule="exact"/>
        <w:ind w:firstLine="562" w:firstLineChars="200"/>
        <w:rPr>
          <w:rFonts w:hint="eastAsia" w:ascii="Times New Roman" w:hAnsi="Times New Roman" w:eastAsia="仿宋_GB2312" w:cs="Times New Roman"/>
          <w:b/>
          <w:bCs/>
          <w:sz w:val="28"/>
          <w:szCs w:val="28"/>
          <w:lang w:val="en-US" w:eastAsia="zh-CN"/>
        </w:rPr>
      </w:pPr>
      <w:r>
        <w:rPr>
          <w:rFonts w:hint="eastAsia" w:ascii="Times New Roman" w:hAnsi="Times New Roman" w:eastAsia="仿宋_GB2312" w:cs="Times New Roman"/>
          <w:b/>
          <w:bCs/>
          <w:sz w:val="28"/>
          <w:szCs w:val="28"/>
          <w:lang w:val="en-US" w:eastAsia="zh-CN"/>
        </w:rPr>
        <w:t>八、争议解决</w:t>
      </w:r>
    </w:p>
    <w:p w14:paraId="7A9F75C6">
      <w:pPr>
        <w:keepNext w:val="0"/>
        <w:keepLines w:val="0"/>
        <w:pageBreakBefore w:val="0"/>
        <w:wordWrap/>
        <w:overflowPunct/>
        <w:topLinePunct w:val="0"/>
        <w:bidi w:val="0"/>
        <w:spacing w:line="540" w:lineRule="exact"/>
        <w:ind w:firstLine="560" w:firstLineChars="200"/>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本合同履行过程中双方产生的争议，由双方协商解决，协商不成，则双方均可向当地仲裁委员会申请仲裁。</w:t>
      </w:r>
    </w:p>
    <w:p w14:paraId="0294AA28">
      <w:pPr>
        <w:keepNext w:val="0"/>
        <w:keepLines w:val="0"/>
        <w:pageBreakBefore w:val="0"/>
        <w:wordWrap/>
        <w:overflowPunct/>
        <w:topLinePunct w:val="0"/>
        <w:bidi w:val="0"/>
        <w:spacing w:line="540" w:lineRule="exact"/>
        <w:ind w:firstLine="562" w:firstLineChars="200"/>
        <w:rPr>
          <w:rFonts w:hint="eastAsia" w:ascii="Times New Roman" w:hAnsi="Times New Roman" w:eastAsia="仿宋_GB2312" w:cs="Times New Roman"/>
          <w:b/>
          <w:bCs/>
          <w:sz w:val="28"/>
          <w:szCs w:val="28"/>
          <w:lang w:val="en-US" w:eastAsia="zh-CN"/>
        </w:rPr>
      </w:pPr>
      <w:r>
        <w:rPr>
          <w:rFonts w:hint="eastAsia" w:ascii="Times New Roman" w:hAnsi="Times New Roman" w:eastAsia="仿宋_GB2312" w:cs="Times New Roman"/>
          <w:b/>
          <w:bCs/>
          <w:sz w:val="28"/>
          <w:szCs w:val="28"/>
          <w:lang w:val="en-US" w:eastAsia="zh-CN"/>
        </w:rPr>
        <w:t>九、附则</w:t>
      </w:r>
    </w:p>
    <w:p w14:paraId="0E68A512">
      <w:pPr>
        <w:keepNext w:val="0"/>
        <w:keepLines w:val="0"/>
        <w:pageBreakBefore w:val="0"/>
        <w:wordWrap/>
        <w:overflowPunct/>
        <w:topLinePunct w:val="0"/>
        <w:bidi w:val="0"/>
        <w:spacing w:line="540" w:lineRule="exact"/>
        <w:ind w:firstLine="560" w:firstLineChars="200"/>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（一）本合同经甲方法定代表人</w:t>
      </w:r>
      <w:r>
        <w:rPr>
          <w:rFonts w:hint="eastAsia" w:eastAsia="仿宋_GB2312" w:cs="Times New Roman"/>
          <w:sz w:val="28"/>
          <w:szCs w:val="28"/>
          <w:lang w:val="en-US" w:eastAsia="zh-CN"/>
        </w:rPr>
        <w:t>（</w:t>
      </w:r>
      <w:r>
        <w:rPr>
          <w:rFonts w:hint="eastAsia" w:ascii="Times New Roman" w:hAnsi="Times New Roman" w:eastAsia="仿宋_GB2312" w:cs="Times New Roman"/>
          <w:sz w:val="28"/>
          <w:szCs w:val="28"/>
          <w:lang w:val="en-US" w:eastAsia="zh-CN"/>
        </w:rPr>
        <w:t>负责人</w:t>
      </w:r>
      <w:r>
        <w:rPr>
          <w:rFonts w:hint="eastAsia" w:eastAsia="仿宋_GB2312" w:cs="Times New Roman"/>
          <w:sz w:val="28"/>
          <w:szCs w:val="28"/>
          <w:lang w:val="en-US" w:eastAsia="zh-CN"/>
        </w:rPr>
        <w:t>）</w:t>
      </w:r>
      <w:r>
        <w:rPr>
          <w:rFonts w:hint="eastAsia" w:ascii="Times New Roman" w:hAnsi="Times New Roman" w:eastAsia="仿宋_GB2312" w:cs="Times New Roman"/>
          <w:sz w:val="28"/>
          <w:szCs w:val="28"/>
          <w:lang w:val="en-US" w:eastAsia="zh-CN"/>
        </w:rPr>
        <w:t>或授权代理人签字并加盖公章，及乙方法定代表人（负责人）或授权代理人签字并加盖公章后生效。</w:t>
      </w:r>
    </w:p>
    <w:p w14:paraId="0D1CE86C">
      <w:pPr>
        <w:keepNext w:val="0"/>
        <w:keepLines w:val="0"/>
        <w:pageBreakBefore w:val="0"/>
        <w:wordWrap/>
        <w:overflowPunct/>
        <w:topLinePunct w:val="0"/>
        <w:bidi w:val="0"/>
        <w:spacing w:line="540" w:lineRule="exact"/>
        <w:ind w:firstLine="560" w:firstLineChars="200"/>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（二）本合同壹式肆份，双方各执贰份，各份具有同等法律效力。</w:t>
      </w:r>
    </w:p>
    <w:bookmarkEnd w:id="0"/>
    <w:bookmarkEnd w:id="1"/>
    <w:bookmarkEnd w:id="2"/>
    <w:tbl>
      <w:tblPr>
        <w:tblStyle w:val="12"/>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392"/>
        <w:gridCol w:w="4551"/>
      </w:tblGrid>
      <w:tr w14:paraId="047153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8" w:hRule="atLeast"/>
          <w:jc w:val="center"/>
        </w:trPr>
        <w:tc>
          <w:tcPr>
            <w:tcW w:w="4392" w:type="dxa"/>
            <w:tcBorders>
              <w:top w:val="nil"/>
              <w:left w:val="nil"/>
              <w:bottom w:val="nil"/>
              <w:right w:val="nil"/>
            </w:tcBorders>
            <w:vAlign w:val="center"/>
          </w:tcPr>
          <w:p w14:paraId="037A7EBA">
            <w:pPr>
              <w:spacing w:line="360" w:lineRule="auto"/>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甲  方：米脂县自然资源和规划局</w:t>
            </w:r>
          </w:p>
          <w:p w14:paraId="01A11398">
            <w:pPr>
              <w:spacing w:line="360" w:lineRule="auto"/>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（盖章）</w:t>
            </w:r>
          </w:p>
        </w:tc>
        <w:tc>
          <w:tcPr>
            <w:tcW w:w="4551" w:type="dxa"/>
            <w:tcBorders>
              <w:top w:val="nil"/>
              <w:left w:val="nil"/>
              <w:bottom w:val="nil"/>
              <w:right w:val="nil"/>
            </w:tcBorders>
            <w:vAlign w:val="center"/>
          </w:tcPr>
          <w:p w14:paraId="46FAE703">
            <w:pPr>
              <w:spacing w:line="360" w:lineRule="auto"/>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乙  方：陕西诚德信房地产资产评估咨询有限公司（盖章）</w:t>
            </w:r>
          </w:p>
        </w:tc>
      </w:tr>
      <w:tr w14:paraId="408901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7" w:hRule="atLeast"/>
          <w:jc w:val="center"/>
        </w:trPr>
        <w:tc>
          <w:tcPr>
            <w:tcW w:w="4392" w:type="dxa"/>
            <w:tcBorders>
              <w:top w:val="nil"/>
              <w:left w:val="nil"/>
              <w:bottom w:val="nil"/>
              <w:right w:val="nil"/>
            </w:tcBorders>
            <w:vAlign w:val="top"/>
          </w:tcPr>
          <w:p w14:paraId="2741B2F1">
            <w:pPr>
              <w:spacing w:line="360" w:lineRule="auto"/>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法定代表人或负责人（签字或盖章）：</w:t>
            </w:r>
          </w:p>
        </w:tc>
        <w:tc>
          <w:tcPr>
            <w:tcW w:w="4551" w:type="dxa"/>
            <w:tcBorders>
              <w:top w:val="nil"/>
              <w:left w:val="nil"/>
              <w:bottom w:val="nil"/>
              <w:right w:val="nil"/>
            </w:tcBorders>
            <w:vAlign w:val="top"/>
          </w:tcPr>
          <w:p w14:paraId="14CDD64C">
            <w:pPr>
              <w:spacing w:line="360" w:lineRule="auto"/>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法定代表人或负责人（签字或盖章）：</w:t>
            </w:r>
          </w:p>
        </w:tc>
      </w:tr>
      <w:tr w14:paraId="162678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392" w:type="dxa"/>
            <w:tcBorders>
              <w:top w:val="nil"/>
              <w:left w:val="nil"/>
              <w:bottom w:val="nil"/>
              <w:right w:val="nil"/>
            </w:tcBorders>
            <w:vAlign w:val="center"/>
          </w:tcPr>
          <w:p w14:paraId="55C735A8">
            <w:pPr>
              <w:spacing w:line="360" w:lineRule="auto"/>
              <w:jc w:val="both"/>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联系人：</w:t>
            </w:r>
          </w:p>
        </w:tc>
        <w:tc>
          <w:tcPr>
            <w:tcW w:w="4551" w:type="dxa"/>
            <w:tcBorders>
              <w:top w:val="nil"/>
              <w:left w:val="nil"/>
              <w:bottom w:val="nil"/>
              <w:right w:val="nil"/>
            </w:tcBorders>
            <w:vAlign w:val="center"/>
          </w:tcPr>
          <w:p w14:paraId="35746B35">
            <w:pPr>
              <w:spacing w:line="360" w:lineRule="auto"/>
              <w:jc w:val="both"/>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lang w:val="en-US" w:eastAsia="zh-CN"/>
              </w:rPr>
              <w:t>联系人：</w:t>
            </w:r>
          </w:p>
        </w:tc>
      </w:tr>
      <w:tr w14:paraId="310D40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392" w:type="dxa"/>
            <w:tcBorders>
              <w:top w:val="nil"/>
              <w:left w:val="nil"/>
              <w:bottom w:val="nil"/>
              <w:right w:val="nil"/>
            </w:tcBorders>
            <w:vAlign w:val="center"/>
          </w:tcPr>
          <w:p w14:paraId="1C3C6C84">
            <w:pPr>
              <w:spacing w:line="360" w:lineRule="auto"/>
              <w:jc w:val="both"/>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电话：</w:t>
            </w:r>
          </w:p>
        </w:tc>
        <w:tc>
          <w:tcPr>
            <w:tcW w:w="4551" w:type="dxa"/>
            <w:tcBorders>
              <w:top w:val="nil"/>
              <w:left w:val="nil"/>
              <w:bottom w:val="nil"/>
              <w:right w:val="nil"/>
            </w:tcBorders>
            <w:vAlign w:val="center"/>
          </w:tcPr>
          <w:p w14:paraId="3F4C82B7">
            <w:pPr>
              <w:spacing w:line="360" w:lineRule="auto"/>
              <w:jc w:val="both"/>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b w:val="0"/>
                <w:bCs w:val="0"/>
                <w:sz w:val="24"/>
                <w:szCs w:val="24"/>
                <w:vertAlign w:val="baseline"/>
                <w:lang w:val="en-US" w:eastAsia="zh-CN"/>
              </w:rPr>
              <w:t>电话：</w:t>
            </w:r>
            <w:r>
              <w:rPr>
                <w:rFonts w:hint="eastAsia" w:ascii="仿宋_GB2312" w:hAnsi="仿宋_GB2312" w:eastAsia="仿宋_GB2312" w:cs="仿宋_GB2312"/>
                <w:b w:val="0"/>
                <w:bCs w:val="0"/>
                <w:color w:val="auto"/>
                <w:sz w:val="24"/>
                <w:szCs w:val="24"/>
                <w:lang w:val="en-US" w:eastAsia="zh-CN"/>
              </w:rPr>
              <w:t>029-88850709</w:t>
            </w:r>
          </w:p>
        </w:tc>
      </w:tr>
      <w:tr w14:paraId="515A0B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392" w:type="dxa"/>
            <w:tcBorders>
              <w:top w:val="nil"/>
              <w:left w:val="nil"/>
              <w:bottom w:val="nil"/>
              <w:right w:val="nil"/>
            </w:tcBorders>
            <w:vAlign w:val="center"/>
          </w:tcPr>
          <w:p w14:paraId="329C731A">
            <w:pPr>
              <w:spacing w:line="360" w:lineRule="auto"/>
              <w:jc w:val="both"/>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vertAlign w:val="baseline"/>
                <w:lang w:val="en-US" w:eastAsia="zh-CN"/>
              </w:rPr>
              <w:t>日期：</w:t>
            </w:r>
          </w:p>
        </w:tc>
        <w:tc>
          <w:tcPr>
            <w:tcW w:w="4551" w:type="dxa"/>
            <w:tcBorders>
              <w:top w:val="nil"/>
              <w:left w:val="nil"/>
              <w:bottom w:val="nil"/>
              <w:right w:val="nil"/>
            </w:tcBorders>
            <w:vAlign w:val="center"/>
          </w:tcPr>
          <w:p w14:paraId="044525FF">
            <w:pPr>
              <w:spacing w:line="360" w:lineRule="auto"/>
              <w:jc w:val="both"/>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日期：</w:t>
            </w:r>
          </w:p>
        </w:tc>
      </w:tr>
    </w:tbl>
    <w:p w14:paraId="7CD4531F">
      <w:pPr>
        <w:bidi w:val="0"/>
        <w:jc w:val="both"/>
        <w:rPr>
          <w:rFonts w:hint="default"/>
          <w:lang w:val="en-US" w:eastAsia="zh-CN"/>
        </w:rPr>
      </w:pPr>
    </w:p>
    <w:sectPr>
      <w:footerReference r:id="rId5" w:type="default"/>
      <w:pgSz w:w="11906" w:h="16838"/>
      <w:pgMar w:top="1440" w:right="1587" w:bottom="1440" w:left="1587" w:header="851" w:footer="992" w:gutter="0"/>
      <w:pgNumType w:fmt="numberInDash" w:start="1"/>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1"/>
    <w:family w:val="swiss"/>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altName w:val="楷体"/>
    <w:panose1 w:val="02010609030101010101"/>
    <w:charset w:val="86"/>
    <w:family w:val="auto"/>
    <w:pitch w:val="default"/>
    <w:sig w:usb0="00000000" w:usb1="00000000" w:usb2="00000000" w:usb3="00000000" w:csb0="00040000" w:csb1="00000000"/>
  </w:font>
  <w:font w:name="Copperplate Gothic Bold">
    <w:altName w:val="Segoe Print"/>
    <w:panose1 w:val="020E0705020206020404"/>
    <w:charset w:val="00"/>
    <w:family w:val="swiss"/>
    <w:pitch w:val="default"/>
    <w:sig w:usb0="00000000" w:usb1="00000000" w:usb2="00000000" w:usb3="00000000" w:csb0="20000001" w:csb1="00000000"/>
  </w:font>
  <w:font w:name="微软雅黑">
    <w:panose1 w:val="020B0503020204020204"/>
    <w:charset w:val="86"/>
    <w:family w:val="swiss"/>
    <w:pitch w:val="default"/>
    <w:sig w:usb0="80000287" w:usb1="2ACF3C50" w:usb2="00000016" w:usb3="00000000" w:csb0="0004001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00D44E">
    <w:pPr>
      <w:pStyle w:val="6"/>
    </w:pPr>
    <w:r>
      <w:rPr>
        <w:sz w:val="18"/>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2"/>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0471BA9E">
                          <w:pPr>
                            <w:pStyle w:val="6"/>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vert="horz" wrap="none" lIns="0" tIns="0" rIns="0" bIns="0" anchor="t" upright="0">
                      <a:spAutoFit/>
                    </wps:bodyPr>
                  </wps:wsp>
                </a:graphicData>
              </a:graphic>
            </wp:anchor>
          </w:drawing>
        </mc:Choice>
        <mc:Fallback>
          <w:pict>
            <v:rect id="文本框 2"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">
              <v:fill on="f" focussize="0,0"/>
              <v:stroke on="f"/>
              <v:imagedata o:title=""/>
              <o:lock v:ext="edit" aspectratio="f"/>
              <v:textbox inset="0mm,0mm,0mm,0mm" style="mso-fit-shape-to-text:t;">
                <w:txbxContent>
                  <w:p w14:paraId="0471BA9E">
                    <w:pPr>
                      <w:pStyle w:val="6"/>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24" w:lineRule="auto"/>
      </w:pPr>
      <w:r>
        <w:separator/>
      </w:r>
    </w:p>
  </w:footnote>
  <w:footnote w:type="continuationSeparator" w:id="1">
    <w:p>
      <w:pPr>
        <w:spacing w:line="324"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NjZGRjNzExMmVhYWQ3YjYyYjU2ZmVlOWI4Y2ExMGIifQ=="/>
  </w:docVars>
  <w:rsids>
    <w:rsidRoot w:val="00000000"/>
    <w:rsid w:val="007958E0"/>
    <w:rsid w:val="00F121B1"/>
    <w:rsid w:val="035E700F"/>
    <w:rsid w:val="039931C3"/>
    <w:rsid w:val="05EB4B0E"/>
    <w:rsid w:val="064D67C6"/>
    <w:rsid w:val="07B701B3"/>
    <w:rsid w:val="08510EF1"/>
    <w:rsid w:val="0AE1759A"/>
    <w:rsid w:val="0EBE5015"/>
    <w:rsid w:val="0ED4462A"/>
    <w:rsid w:val="109E4EEF"/>
    <w:rsid w:val="120F50C7"/>
    <w:rsid w:val="123F000C"/>
    <w:rsid w:val="14A4376A"/>
    <w:rsid w:val="14CE1D18"/>
    <w:rsid w:val="15121A08"/>
    <w:rsid w:val="158C17BA"/>
    <w:rsid w:val="164E1294"/>
    <w:rsid w:val="17BC191D"/>
    <w:rsid w:val="1BAF6202"/>
    <w:rsid w:val="1BEA0FE8"/>
    <w:rsid w:val="1C7928E8"/>
    <w:rsid w:val="1DAB70EE"/>
    <w:rsid w:val="1FDC333E"/>
    <w:rsid w:val="1FE26AD4"/>
    <w:rsid w:val="209E4AD2"/>
    <w:rsid w:val="22534A7A"/>
    <w:rsid w:val="227E7EFB"/>
    <w:rsid w:val="232A7AA5"/>
    <w:rsid w:val="246502E3"/>
    <w:rsid w:val="25B10727"/>
    <w:rsid w:val="264B4D7A"/>
    <w:rsid w:val="29B6075C"/>
    <w:rsid w:val="29C0782D"/>
    <w:rsid w:val="2A1B3DCF"/>
    <w:rsid w:val="2AAB50B9"/>
    <w:rsid w:val="2AEE19AC"/>
    <w:rsid w:val="2B304265"/>
    <w:rsid w:val="2C81272D"/>
    <w:rsid w:val="2D7B7CF2"/>
    <w:rsid w:val="2DE51610"/>
    <w:rsid w:val="2E1802CB"/>
    <w:rsid w:val="2FE73D65"/>
    <w:rsid w:val="337E50B9"/>
    <w:rsid w:val="33D939C5"/>
    <w:rsid w:val="353A6A68"/>
    <w:rsid w:val="37483AAF"/>
    <w:rsid w:val="37CF580A"/>
    <w:rsid w:val="37F114EF"/>
    <w:rsid w:val="3ABF15A9"/>
    <w:rsid w:val="3AF6677C"/>
    <w:rsid w:val="3C195A37"/>
    <w:rsid w:val="3CBF5F1F"/>
    <w:rsid w:val="3CEF5B84"/>
    <w:rsid w:val="3CFB0E50"/>
    <w:rsid w:val="3CFC24D2"/>
    <w:rsid w:val="44C164DB"/>
    <w:rsid w:val="47372A84"/>
    <w:rsid w:val="474B35B6"/>
    <w:rsid w:val="48BD520B"/>
    <w:rsid w:val="49090680"/>
    <w:rsid w:val="49FC6433"/>
    <w:rsid w:val="4A5460AE"/>
    <w:rsid w:val="4B542EFC"/>
    <w:rsid w:val="4C912C37"/>
    <w:rsid w:val="4CB87403"/>
    <w:rsid w:val="4F602D94"/>
    <w:rsid w:val="4FFF6109"/>
    <w:rsid w:val="512E1E71"/>
    <w:rsid w:val="51D92395"/>
    <w:rsid w:val="52954FC5"/>
    <w:rsid w:val="52C24B4E"/>
    <w:rsid w:val="533165CE"/>
    <w:rsid w:val="539B225E"/>
    <w:rsid w:val="54280325"/>
    <w:rsid w:val="54497329"/>
    <w:rsid w:val="5A6515B9"/>
    <w:rsid w:val="5B63111D"/>
    <w:rsid w:val="5DA14F5A"/>
    <w:rsid w:val="5DB1065F"/>
    <w:rsid w:val="5FAA3C02"/>
    <w:rsid w:val="600F2306"/>
    <w:rsid w:val="60480506"/>
    <w:rsid w:val="606F4BE5"/>
    <w:rsid w:val="607A5E68"/>
    <w:rsid w:val="617E2507"/>
    <w:rsid w:val="63EC3C2E"/>
    <w:rsid w:val="64A864A5"/>
    <w:rsid w:val="66927E42"/>
    <w:rsid w:val="67FA6E6F"/>
    <w:rsid w:val="684035EC"/>
    <w:rsid w:val="69FA716A"/>
    <w:rsid w:val="6AD2649C"/>
    <w:rsid w:val="6AE73653"/>
    <w:rsid w:val="6B0A1ACC"/>
    <w:rsid w:val="6C092392"/>
    <w:rsid w:val="6D871B76"/>
    <w:rsid w:val="709B04C9"/>
    <w:rsid w:val="70F23D6E"/>
    <w:rsid w:val="728A5FB3"/>
    <w:rsid w:val="73A0553D"/>
    <w:rsid w:val="74FD4A5E"/>
    <w:rsid w:val="76625710"/>
    <w:rsid w:val="785410F7"/>
    <w:rsid w:val="78FF771F"/>
    <w:rsid w:val="79C0611D"/>
    <w:rsid w:val="7B5B603A"/>
    <w:rsid w:val="7C5036C5"/>
    <w:rsid w:val="7E1E7F1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24" w:lineRule="auto"/>
      <w:jc w:val="both"/>
    </w:pPr>
    <w:rPr>
      <w:rFonts w:ascii="Times New Roman" w:hAnsi="Times New Roman" w:eastAsia="宋体" w:cs="Times New Roman"/>
      <w:kern w:val="2"/>
      <w:sz w:val="21"/>
      <w:szCs w:val="24"/>
      <w:lang w:val="en-US" w:eastAsia="zh-CN" w:bidi="ar-SA"/>
    </w:rPr>
  </w:style>
  <w:style w:type="character" w:default="1" w:styleId="13">
    <w:name w:val="Default Paragraph Font"/>
    <w:qFormat/>
    <w:uiPriority w:val="0"/>
  </w:style>
  <w:style w:type="table" w:default="1" w:styleId="11">
    <w:name w:val="Normal Table"/>
    <w:qFormat/>
    <w:uiPriority w:val="0"/>
    <w:tblPr>
      <w:tblCellMar>
        <w:top w:w="0" w:type="dxa"/>
        <w:left w:w="108" w:type="dxa"/>
        <w:bottom w:w="0" w:type="dxa"/>
        <w:right w:w="108" w:type="dxa"/>
      </w:tblCellMar>
    </w:tblPr>
  </w:style>
  <w:style w:type="paragraph" w:styleId="2">
    <w:name w:val="Normal Indent"/>
    <w:basedOn w:val="1"/>
    <w:qFormat/>
    <w:uiPriority w:val="0"/>
    <w:pPr>
      <w:ind w:firstLine="420" w:firstLineChars="200"/>
    </w:pPr>
    <w:rPr>
      <w:rFonts w:ascii="Times New Roman" w:hAnsi="Times New Roman"/>
    </w:rPr>
  </w:style>
  <w:style w:type="paragraph" w:styleId="3">
    <w:name w:val="Body Text"/>
    <w:basedOn w:val="1"/>
    <w:next w:val="1"/>
    <w:qFormat/>
    <w:uiPriority w:val="0"/>
    <w:rPr>
      <w:color w:val="993300"/>
      <w:sz w:val="24"/>
    </w:rPr>
  </w:style>
  <w:style w:type="paragraph" w:styleId="4">
    <w:name w:val="Plain Text"/>
    <w:basedOn w:val="1"/>
    <w:qFormat/>
    <w:uiPriority w:val="0"/>
    <w:rPr>
      <w:rFonts w:ascii="宋体" w:hAnsi="Courier New" w:cs="Courier New"/>
      <w:szCs w:val="21"/>
    </w:rPr>
  </w:style>
  <w:style w:type="paragraph" w:styleId="5">
    <w:name w:val="Body Text Indent 2"/>
    <w:basedOn w:val="1"/>
    <w:qFormat/>
    <w:uiPriority w:val="0"/>
    <w:pPr>
      <w:spacing w:after="120" w:line="480" w:lineRule="auto"/>
      <w:ind w:left="420" w:leftChars="200"/>
    </w:pPr>
    <w:rPr>
      <w:kern w:val="2"/>
      <w:sz w:val="21"/>
      <w:szCs w:val="24"/>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Body Text 2"/>
    <w:basedOn w:val="1"/>
    <w:qFormat/>
    <w:uiPriority w:val="0"/>
    <w:rPr>
      <w:rFonts w:ascii="楷体_GB2312" w:hAnsi="Copperplate Gothic Bold" w:eastAsia="楷体_GB2312"/>
      <w:sz w:val="28"/>
    </w:rPr>
  </w:style>
  <w:style w:type="paragraph" w:styleId="9">
    <w:name w:val="Normal (Web)"/>
    <w:basedOn w:val="1"/>
    <w:qFormat/>
    <w:uiPriority w:val="0"/>
    <w:pPr>
      <w:spacing w:before="0" w:beforeAutospacing="1" w:after="0" w:afterAutospacing="1"/>
      <w:ind w:left="0" w:right="0"/>
      <w:jc w:val="left"/>
    </w:pPr>
    <w:rPr>
      <w:kern w:val="0"/>
      <w:sz w:val="24"/>
      <w:lang w:val="en-US" w:eastAsia="zh-CN" w:bidi="ar"/>
    </w:rPr>
  </w:style>
  <w:style w:type="paragraph" w:styleId="10">
    <w:name w:val="Body Text First Indent"/>
    <w:basedOn w:val="3"/>
    <w:unhideWhenUsed/>
    <w:qFormat/>
    <w:uiPriority w:val="99"/>
    <w:pPr>
      <w:ind w:firstLine="100" w:firstLineChars="100"/>
    </w:pPr>
    <w:rPr>
      <w:rFonts w:ascii="微软雅黑" w:hAnsi="微软雅黑" w:eastAsia="微软雅黑" w:cs="微软雅黑"/>
      <w:szCs w:val="21"/>
    </w:rPr>
  </w:style>
  <w:style w:type="table" w:styleId="12">
    <w:name w:val="Table Grid"/>
    <w:basedOn w:val="1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4">
    <w:name w:val="Strong"/>
    <w:basedOn w:val="13"/>
    <w:qFormat/>
    <w:uiPriority w:val="0"/>
    <w:rPr>
      <w:b/>
    </w:rPr>
  </w:style>
  <w:style w:type="paragraph" w:customStyle="1" w:styleId="15">
    <w:name w:val="首行缩进"/>
    <w:basedOn w:val="1"/>
    <w:qFormat/>
    <w:uiPriority w:val="0"/>
    <w:pPr>
      <w:ind w:firstLine="480" w:firstLineChars="200"/>
    </w:pPr>
    <w:rPr>
      <w:szCs w:val="20"/>
      <w:lang w:val="zh-CN"/>
    </w:rPr>
  </w:style>
  <w:style w:type="paragraph" w:customStyle="1" w:styleId="16">
    <w:name w:val="列出段落1"/>
    <w:basedOn w:val="1"/>
    <w:qFormat/>
    <w:uiPriority w:val="34"/>
    <w:pPr>
      <w:ind w:firstLine="420" w:firstLineChars="200"/>
    </w:pPr>
    <w:rPr>
      <w:rFonts w:ascii="Times New Roman" w:hAnsi="Times New Roman" w:eastAsia="宋体" w:cs="Times New Roman"/>
      <w:szCs w:val="21"/>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1952</Words>
  <Characters>2020</Characters>
  <Paragraphs>119</Paragraphs>
  <TotalTime>24</TotalTime>
  <ScaleCrop>false</ScaleCrop>
  <LinksUpToDate>false</LinksUpToDate>
  <CharactersWithSpaces>2063</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2020-08-22T09:37:00Z</dcterms:created>
  <dc:creator>123</dc:creator>
  <cp:lastModifiedBy>远方</cp:lastModifiedBy>
  <cp:lastPrinted>2024-08-13T08:10:00Z</cp:lastPrinted>
  <dcterms:modified xsi:type="dcterms:W3CDTF">2025-11-26T01:35:00Z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5B10E6559D384441A70667698DAD5068_13</vt:lpwstr>
  </property>
  <property fmtid="{D5CDD505-2E9C-101B-9397-08002B2CF9AE}" pid="4" name="KSOTemplateDocerSaveRecord">
    <vt:lpwstr>eyJoZGlkIjoiMmNjZGRjNzExMmVhYWQ3YjYyYjU2ZmVlOWI4Y2ExMGIiLCJ1c2VySWQiOiIyNjYzNjQ0NjYifQ==</vt:lpwstr>
  </property>
</Properties>
</file>